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F3D6" w14:textId="045F2168" w:rsidR="008A5C28" w:rsidRPr="001B6AF8" w:rsidRDefault="00A66649" w:rsidP="00A6664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B6AF8">
        <w:rPr>
          <w:rFonts w:ascii="Garamond" w:hAnsi="Garamond"/>
          <w:b/>
          <w:sz w:val="24"/>
          <w:szCs w:val="24"/>
          <w:lang w:val="sq-AL"/>
        </w:rPr>
        <w:t>VENDIM</w:t>
      </w:r>
    </w:p>
    <w:p w14:paraId="2ADC38A7" w14:textId="431EE2E4" w:rsidR="008A5C28" w:rsidRPr="001B6AF8" w:rsidRDefault="00A66649" w:rsidP="00A6664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B6AF8">
        <w:rPr>
          <w:rFonts w:ascii="Garamond" w:hAnsi="Garamond"/>
          <w:b/>
          <w:sz w:val="24"/>
          <w:szCs w:val="24"/>
          <w:lang w:val="sq-AL"/>
        </w:rPr>
        <w:t>Nr. 73, datë 2.12.2020</w:t>
      </w:r>
    </w:p>
    <w:p w14:paraId="0A2B870F" w14:textId="77777777" w:rsidR="00A66649" w:rsidRPr="001B6AF8" w:rsidRDefault="00A66649" w:rsidP="00A6664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9120567" w14:textId="5549E256" w:rsidR="008A5C28" w:rsidRPr="001B6AF8" w:rsidRDefault="00A66649" w:rsidP="00A6664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1B6AF8">
        <w:rPr>
          <w:rFonts w:ascii="Garamond" w:hAnsi="Garamond"/>
          <w:b/>
          <w:sz w:val="24"/>
          <w:szCs w:val="24"/>
          <w:lang w:val="sq-AL"/>
        </w:rPr>
        <w:t>PËR DHËNIEN E MIRATIMIT PARAPRAK PËR KRYERJEN E VEPRIMTARIVE FINANCIARE SHTESË NGA B</w:t>
      </w:r>
      <w:r w:rsidR="001B6AF8">
        <w:rPr>
          <w:rFonts w:ascii="Garamond" w:hAnsi="Garamond"/>
          <w:b/>
          <w:sz w:val="24"/>
          <w:szCs w:val="24"/>
          <w:lang w:val="sq-AL"/>
        </w:rPr>
        <w:t>ANKA AMERIKANE E INVESTIMEVE SHA</w:t>
      </w:r>
    </w:p>
    <w:p w14:paraId="036601C2" w14:textId="77777777" w:rsidR="008A5C28" w:rsidRPr="001B6AF8" w:rsidRDefault="008A5C28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B5E31EF" w14:textId="7C118E03" w:rsidR="008A5C28" w:rsidRPr="001B6AF8" w:rsidRDefault="008A5C28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>Në bazë dhe për zbatim të nenit 43, shkronja “e”, të ligjit nr. 8269, datë 23.12.1997</w:t>
      </w:r>
      <w:r w:rsidR="001B6AF8">
        <w:rPr>
          <w:rFonts w:ascii="Garamond" w:hAnsi="Garamond"/>
          <w:sz w:val="24"/>
          <w:szCs w:val="24"/>
          <w:lang w:val="sq-AL"/>
        </w:rPr>
        <w:t>, “Për Bankën e Shqipërisë“, të</w:t>
      </w:r>
      <w:r w:rsidRPr="001B6AF8">
        <w:rPr>
          <w:rFonts w:ascii="Garamond" w:hAnsi="Garamond"/>
          <w:sz w:val="24"/>
          <w:szCs w:val="24"/>
          <w:lang w:val="sq-AL"/>
        </w:rPr>
        <w:t xml:space="preserve"> ndryshuar; të nenit 23, pikat 1 dhe 3, të nenit 24, pika 1, shkronja “ç”, të nenit 54, pika 2, shkronja “dh”, nënpika “</w:t>
      </w:r>
      <w:proofErr w:type="spellStart"/>
      <w:r w:rsidRPr="001B6AF8">
        <w:rPr>
          <w:rFonts w:ascii="Garamond" w:hAnsi="Garamond"/>
          <w:sz w:val="24"/>
          <w:szCs w:val="24"/>
          <w:lang w:val="sq-AL"/>
        </w:rPr>
        <w:t>vii</w:t>
      </w:r>
      <w:proofErr w:type="spellEnd"/>
      <w:r w:rsidRPr="001B6AF8">
        <w:rPr>
          <w:rFonts w:ascii="Garamond" w:hAnsi="Garamond"/>
          <w:sz w:val="24"/>
          <w:szCs w:val="24"/>
          <w:lang w:val="sq-AL"/>
        </w:rPr>
        <w:t>”, nenit 54, pika 2, shkronja “ë”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Pr="001B6AF8">
        <w:rPr>
          <w:rFonts w:ascii="Garamond" w:hAnsi="Garamond"/>
          <w:sz w:val="24"/>
          <w:szCs w:val="24"/>
          <w:lang w:val="sq-AL"/>
        </w:rPr>
        <w:t xml:space="preserve"> si dhe nenit 54, pika 4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Pr="001B6AF8">
        <w:rPr>
          <w:rFonts w:ascii="Garamond" w:hAnsi="Garamond"/>
          <w:sz w:val="24"/>
          <w:szCs w:val="24"/>
          <w:lang w:val="sq-AL"/>
        </w:rPr>
        <w:t xml:space="preserve"> të ligjit nr. 9662, datë 18.12.2006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Pr="001B6AF8">
        <w:rPr>
          <w:rFonts w:ascii="Garamond" w:hAnsi="Garamond"/>
          <w:sz w:val="24"/>
          <w:szCs w:val="24"/>
          <w:lang w:val="sq-AL"/>
        </w:rPr>
        <w:t xml:space="preserve"> “Për bankat në Republikën e Shqipërisë”, </w:t>
      </w:r>
      <w:r w:rsidR="001B6AF8">
        <w:rPr>
          <w:rFonts w:ascii="Garamond" w:hAnsi="Garamond"/>
          <w:sz w:val="24"/>
          <w:szCs w:val="24"/>
          <w:lang w:val="sq-AL"/>
        </w:rPr>
        <w:t>të</w:t>
      </w:r>
      <w:r w:rsidRPr="001B6AF8">
        <w:rPr>
          <w:rFonts w:ascii="Garamond" w:hAnsi="Garamond"/>
          <w:sz w:val="24"/>
          <w:szCs w:val="24"/>
          <w:lang w:val="sq-AL"/>
        </w:rPr>
        <w:t xml:space="preserve"> ndryshuar; nenit 45, paragrafët e dytë dhe të katërt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Pr="001B6AF8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1B6AF8">
        <w:rPr>
          <w:rFonts w:ascii="Garamond" w:hAnsi="Garamond"/>
          <w:sz w:val="24"/>
          <w:szCs w:val="24"/>
          <w:lang w:val="sq-AL"/>
        </w:rPr>
        <w:t xml:space="preserve"> </w:t>
      </w:r>
      <w:r w:rsidRPr="001B6AF8">
        <w:rPr>
          <w:rFonts w:ascii="Garamond" w:hAnsi="Garamond"/>
          <w:sz w:val="24"/>
          <w:szCs w:val="24"/>
          <w:lang w:val="sq-AL"/>
        </w:rPr>
        <w:t>9879, datë 21.2.2008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Pr="001B6AF8">
        <w:rPr>
          <w:rFonts w:ascii="Garamond" w:hAnsi="Garamond"/>
          <w:sz w:val="24"/>
          <w:szCs w:val="24"/>
          <w:lang w:val="sq-AL"/>
        </w:rPr>
        <w:t xml:space="preserve"> “Për titujt”; si dhe të rregullores “Për licencimin dhe ushtrimin e veprimtarisë së bankave dhe degëve të bankave të huaja në Republikën e Shqipërisë”, miratuar me vendimin e Këshillit Mbikëqyrës nr. 14, datë 11.3.2009, </w:t>
      </w:r>
      <w:r w:rsidR="001B6AF8">
        <w:rPr>
          <w:rFonts w:ascii="Garamond" w:hAnsi="Garamond"/>
          <w:sz w:val="24"/>
          <w:szCs w:val="24"/>
          <w:lang w:val="sq-AL"/>
        </w:rPr>
        <w:t>të</w:t>
      </w:r>
      <w:r w:rsidRPr="001B6AF8">
        <w:rPr>
          <w:rFonts w:ascii="Garamond" w:hAnsi="Garamond"/>
          <w:sz w:val="24"/>
          <w:szCs w:val="24"/>
          <w:lang w:val="sq-AL"/>
        </w:rPr>
        <w:t xml:space="preserve"> ndryshuar; me propozim të Departamentit të Mbikëqyrjes, Këshilli Mb</w:t>
      </w:r>
      <w:r w:rsidR="001B6AF8">
        <w:rPr>
          <w:rFonts w:ascii="Garamond" w:hAnsi="Garamond"/>
          <w:sz w:val="24"/>
          <w:szCs w:val="24"/>
          <w:lang w:val="sq-AL"/>
        </w:rPr>
        <w:t>ikëqyrës i Bankës së Shqipërisë</w:t>
      </w:r>
    </w:p>
    <w:p w14:paraId="67AEA272" w14:textId="77777777" w:rsidR="008A5C28" w:rsidRPr="001B6AF8" w:rsidRDefault="008A5C28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19ADCBC" w14:textId="77777777" w:rsidR="008A5C28" w:rsidRPr="001B6AF8" w:rsidRDefault="008A5C28" w:rsidP="00A6664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>VENDOSI:</w:t>
      </w:r>
    </w:p>
    <w:p w14:paraId="1D12F2AA" w14:textId="77777777" w:rsidR="008A5C28" w:rsidRPr="001B6AF8" w:rsidRDefault="008A5C28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AF4197A" w14:textId="15E3612A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1. 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Të japë miratimin paraprak për kryerjen nga Banka Amerikane e Investimeve </w:t>
      </w:r>
      <w:proofErr w:type="spellStart"/>
      <w:r w:rsidR="008A5C28" w:rsidRPr="001B6AF8">
        <w:rPr>
          <w:rFonts w:ascii="Garamond" w:hAnsi="Garamond"/>
          <w:sz w:val="24"/>
          <w:szCs w:val="24"/>
          <w:lang w:val="sq-AL"/>
        </w:rPr>
        <w:t>sh.a</w:t>
      </w:r>
      <w:proofErr w:type="spellEnd"/>
      <w:r w:rsidR="008A5C28" w:rsidRPr="001B6AF8">
        <w:rPr>
          <w:rFonts w:ascii="Garamond" w:hAnsi="Garamond"/>
          <w:sz w:val="24"/>
          <w:szCs w:val="24"/>
          <w:lang w:val="sq-AL"/>
        </w:rPr>
        <w:t>. të veprimtarive financiare shtesë të:</w:t>
      </w:r>
    </w:p>
    <w:p w14:paraId="02A67FB5" w14:textId="488214E8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a) </w:t>
      </w:r>
      <w:r w:rsidR="008A5C28" w:rsidRPr="001B6AF8">
        <w:rPr>
          <w:rFonts w:ascii="Garamond" w:hAnsi="Garamond"/>
          <w:sz w:val="24"/>
          <w:szCs w:val="24"/>
          <w:lang w:val="sq-AL"/>
        </w:rPr>
        <w:t>tregtimit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për llogari të saj ose për llogari të klientëve, qoftë dhe në një këmbim valutor, në një treg të vetorganizuar (</w:t>
      </w:r>
      <w:proofErr w:type="spellStart"/>
      <w:r w:rsidR="008A5C28" w:rsidRPr="001B6AF8">
        <w:rPr>
          <w:rFonts w:ascii="Garamond" w:hAnsi="Garamond"/>
          <w:sz w:val="24"/>
          <w:szCs w:val="24"/>
          <w:lang w:val="sq-AL"/>
        </w:rPr>
        <w:t>OTC</w:t>
      </w:r>
      <w:proofErr w:type="spellEnd"/>
      <w:r w:rsidR="008A5C28" w:rsidRPr="001B6AF8">
        <w:rPr>
          <w:rFonts w:ascii="Garamond" w:hAnsi="Garamond"/>
          <w:sz w:val="24"/>
          <w:szCs w:val="24"/>
          <w:lang w:val="sq-AL"/>
        </w:rPr>
        <w:t xml:space="preserve">) ose ndryshe, si më poshtë: </w:t>
      </w:r>
    </w:p>
    <w:p w14:paraId="487DF5DB" w14:textId="2659E677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- 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pjesëmarrjen në emetimin e të gjitha llojeve të letrave me vlerë, duke përfshirë nënshkrimin dhe vendosjen si agjent (si publik, ashtu edhe privat) dhe kryerjen e shërbimeve lidhur me këto emetime; </w:t>
      </w:r>
    </w:p>
    <w:p w14:paraId="234DB341" w14:textId="731D088D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b) </w:t>
      </w:r>
      <w:r w:rsidR="008A5C28" w:rsidRPr="001B6AF8">
        <w:rPr>
          <w:rFonts w:ascii="Garamond" w:hAnsi="Garamond"/>
          <w:sz w:val="24"/>
          <w:szCs w:val="24"/>
          <w:lang w:val="sq-AL"/>
        </w:rPr>
        <w:t>shërbimeve këshilluese, ndërmjetëse dhe shërbimeve të tjera ndihmëse</w:t>
      </w:r>
      <w:r w:rsidR="001B6AF8">
        <w:rPr>
          <w:rFonts w:ascii="Garamond" w:hAnsi="Garamond"/>
          <w:sz w:val="24"/>
          <w:szCs w:val="24"/>
          <w:lang w:val="sq-AL"/>
        </w:rPr>
        <w:t>, për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veprimtarinë e mësipërme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duke përfshirë referencën e kredisë dhe të analizës, kërkimin dhe këshillimin në lidhje me investimet dhe portofolin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si dhe këshillimin mbi blerjet e mbi strategjinë dhe ristrukturimin e shoqërive.</w:t>
      </w:r>
    </w:p>
    <w:p w14:paraId="6AEC0797" w14:textId="1C5AA3D0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2. 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Autorizohet Guvernatori i Bankës së Shqipërisë për të bërë ndryshimet përkatëse në aneksin e licencës së Bankës Amerikane të Investimeve </w:t>
      </w:r>
      <w:proofErr w:type="spellStart"/>
      <w:r w:rsidR="008A5C28" w:rsidRPr="001B6AF8">
        <w:rPr>
          <w:rFonts w:ascii="Garamond" w:hAnsi="Garamond"/>
          <w:sz w:val="24"/>
          <w:szCs w:val="24"/>
          <w:lang w:val="sq-AL"/>
        </w:rPr>
        <w:t>s</w:t>
      </w:r>
      <w:bookmarkStart w:id="0" w:name="_GoBack"/>
      <w:bookmarkEnd w:id="0"/>
      <w:r w:rsidR="008A5C28" w:rsidRPr="001B6AF8">
        <w:rPr>
          <w:rFonts w:ascii="Garamond" w:hAnsi="Garamond"/>
          <w:sz w:val="24"/>
          <w:szCs w:val="24"/>
          <w:lang w:val="sq-AL"/>
        </w:rPr>
        <w:t>h.a</w:t>
      </w:r>
      <w:proofErr w:type="spellEnd"/>
      <w:r w:rsidR="008A5C28" w:rsidRPr="001B6AF8">
        <w:rPr>
          <w:rFonts w:ascii="Garamond" w:hAnsi="Garamond"/>
          <w:sz w:val="24"/>
          <w:szCs w:val="24"/>
          <w:lang w:val="sq-AL"/>
        </w:rPr>
        <w:t xml:space="preserve">. </w:t>
      </w:r>
    </w:p>
    <w:p w14:paraId="2E7A0C2A" w14:textId="2B7CF476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3. 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Banka do të ushtrojë veprimtarinë financiare të përcaktuar në pikën 1, shkronja </w:t>
      </w:r>
      <w:r w:rsidR="001B6AF8">
        <w:rPr>
          <w:rFonts w:ascii="Garamond" w:hAnsi="Garamond"/>
          <w:sz w:val="24"/>
          <w:szCs w:val="24"/>
          <w:lang w:val="sq-AL"/>
        </w:rPr>
        <w:t>“</w:t>
      </w:r>
      <w:r w:rsidR="008A5C28" w:rsidRPr="001B6AF8">
        <w:rPr>
          <w:rFonts w:ascii="Garamond" w:hAnsi="Garamond"/>
          <w:sz w:val="24"/>
          <w:szCs w:val="24"/>
          <w:lang w:val="sq-AL"/>
        </w:rPr>
        <w:t>a</w:t>
      </w:r>
      <w:r w:rsidR="001B6AF8">
        <w:rPr>
          <w:rFonts w:ascii="Garamond" w:hAnsi="Garamond"/>
          <w:sz w:val="24"/>
          <w:szCs w:val="24"/>
          <w:lang w:val="sq-AL"/>
        </w:rPr>
        <w:t>”,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të këtij vendimi</w:t>
      </w:r>
      <w:r w:rsidR="001B6AF8">
        <w:rPr>
          <w:rFonts w:ascii="Garamond" w:hAnsi="Garamond"/>
          <w:sz w:val="24"/>
          <w:szCs w:val="24"/>
          <w:lang w:val="sq-AL"/>
        </w:rPr>
        <w:t>,</w:t>
      </w:r>
      <w:r w:rsidR="008A5C28" w:rsidRPr="001B6AF8">
        <w:rPr>
          <w:rFonts w:ascii="Garamond" w:hAnsi="Garamond"/>
          <w:sz w:val="24"/>
          <w:szCs w:val="24"/>
          <w:lang w:val="sq-AL"/>
        </w:rPr>
        <w:t xml:space="preserve"> pas licencimit nga Autoriteti i Mbikëqyrjes Financiare.</w:t>
      </w:r>
    </w:p>
    <w:p w14:paraId="1B3166BA" w14:textId="47B04E45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4. </w:t>
      </w:r>
      <w:r w:rsidR="008A5C28" w:rsidRPr="001B6AF8">
        <w:rPr>
          <w:rFonts w:ascii="Garamond" w:hAnsi="Garamond"/>
          <w:sz w:val="24"/>
          <w:szCs w:val="24"/>
          <w:lang w:val="sq-AL"/>
        </w:rPr>
        <w:t>Ngarkohet Departamenti i Mbikëqyrjes për ndjekjen e zbatimit të këtij vendimi.</w:t>
      </w:r>
    </w:p>
    <w:p w14:paraId="69D7C4FD" w14:textId="51B78BDA" w:rsidR="008A5C28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 xml:space="preserve">5. </w:t>
      </w:r>
      <w:r w:rsidR="008A5C28" w:rsidRPr="001B6AF8">
        <w:rPr>
          <w:rFonts w:ascii="Garamond" w:hAnsi="Garamond"/>
          <w:sz w:val="24"/>
          <w:szCs w:val="24"/>
          <w:lang w:val="sq-AL"/>
        </w:rPr>
        <w:t>Ngarkohen Kabineti i Guvernatorit dhe Departamenti i Kërkimeve për publikimin e këtij vendimi, përkatësisht në Fletoren Zyrtare të Republikës së Shqipërisë dhe në Buletinin Zyrtar të Bankës së Shqipërisë.</w:t>
      </w:r>
    </w:p>
    <w:p w14:paraId="2927A139" w14:textId="77777777" w:rsidR="008A5C28" w:rsidRPr="001B6AF8" w:rsidRDefault="008A5C28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1B6AF8">
        <w:rPr>
          <w:rFonts w:ascii="Garamond" w:hAnsi="Garamond"/>
          <w:sz w:val="24"/>
          <w:szCs w:val="24"/>
          <w:lang w:val="sq-AL"/>
        </w:rPr>
        <w:t>Ky vendim hyn në fuqi menjëherë dhe botohet në Fletoren Zyrtare.</w:t>
      </w:r>
    </w:p>
    <w:p w14:paraId="12F32BC8" w14:textId="77777777" w:rsidR="00A66649" w:rsidRPr="001B6AF8" w:rsidRDefault="00A66649" w:rsidP="00A6664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060D614" w14:textId="6B7312AB" w:rsidR="008A5C28" w:rsidRPr="001B6AF8" w:rsidRDefault="001B6AF8" w:rsidP="00A6664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>KRYETAR</w:t>
      </w:r>
    </w:p>
    <w:p w14:paraId="4E01BD51" w14:textId="763D3F18" w:rsidR="008A5C28" w:rsidRPr="001B6AF8" w:rsidRDefault="00A66649" w:rsidP="00A6664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1B6AF8">
        <w:rPr>
          <w:rFonts w:ascii="Garamond" w:hAnsi="Garamond"/>
          <w:b/>
          <w:sz w:val="24"/>
          <w:szCs w:val="24"/>
          <w:lang w:val="sq-AL"/>
        </w:rPr>
        <w:t xml:space="preserve">Gent </w:t>
      </w:r>
      <w:proofErr w:type="spellStart"/>
      <w:r w:rsidRPr="001B6AF8">
        <w:rPr>
          <w:rFonts w:ascii="Garamond" w:hAnsi="Garamond"/>
          <w:b/>
          <w:sz w:val="24"/>
          <w:szCs w:val="24"/>
          <w:lang w:val="sq-AL"/>
        </w:rPr>
        <w:t>Sejko</w:t>
      </w:r>
      <w:proofErr w:type="spellEnd"/>
    </w:p>
    <w:p w14:paraId="33C8B69A" w14:textId="77777777" w:rsidR="008A5C28" w:rsidRPr="001B6AF8" w:rsidRDefault="008A5C28" w:rsidP="008A5C28">
      <w:pPr>
        <w:rPr>
          <w:lang w:val="sq-AL"/>
        </w:rPr>
      </w:pPr>
    </w:p>
    <w:p w14:paraId="20B78DC7" w14:textId="77777777" w:rsidR="008A5C28" w:rsidRPr="001B6AF8" w:rsidRDefault="008A5C28" w:rsidP="00AF0A60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27AA5DBF" w14:textId="77777777" w:rsidR="005C657A" w:rsidRPr="001B6AF8" w:rsidRDefault="005C657A" w:rsidP="005C657A">
      <w:pPr>
        <w:spacing w:after="0" w:line="240" w:lineRule="auto"/>
        <w:rPr>
          <w:lang w:val="sq-AL"/>
        </w:rPr>
      </w:pPr>
    </w:p>
    <w:p w14:paraId="27AA5DC0" w14:textId="77777777" w:rsidR="005C657A" w:rsidRPr="001B6AF8" w:rsidRDefault="005C657A" w:rsidP="005C657A">
      <w:pPr>
        <w:spacing w:after="0" w:line="240" w:lineRule="auto"/>
        <w:rPr>
          <w:lang w:val="sq-AL"/>
        </w:rPr>
      </w:pPr>
    </w:p>
    <w:p w14:paraId="27AA5DC1" w14:textId="77777777" w:rsidR="00122B3F" w:rsidRPr="001B6AF8" w:rsidRDefault="00122B3F" w:rsidP="005C657A">
      <w:pPr>
        <w:spacing w:after="0" w:line="240" w:lineRule="auto"/>
        <w:rPr>
          <w:lang w:val="sq-AL"/>
        </w:rPr>
      </w:pPr>
    </w:p>
    <w:sectPr w:rsidR="00122B3F" w:rsidRPr="001B6AF8" w:rsidSect="005C657A">
      <w:headerReference w:type="first" r:id="rId13"/>
      <w:footerReference w:type="first" r:id="rId14"/>
      <w:pgSz w:w="11907" w:h="16839" w:code="9"/>
      <w:pgMar w:top="1440" w:right="1800" w:bottom="1440" w:left="1800" w:header="1134" w:footer="13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A4BB7" w14:textId="77777777" w:rsidR="001B6AF8" w:rsidRDefault="001B6AF8">
      <w:pPr>
        <w:spacing w:after="0" w:line="240" w:lineRule="auto"/>
      </w:pPr>
      <w:r>
        <w:separator/>
      </w:r>
    </w:p>
  </w:endnote>
  <w:endnote w:type="continuationSeparator" w:id="0">
    <w:p w14:paraId="625A8B71" w14:textId="77777777" w:rsidR="001B6AF8" w:rsidRDefault="001B6AF8">
      <w:pPr>
        <w:spacing w:after="0" w:line="240" w:lineRule="auto"/>
      </w:pPr>
      <w:r>
        <w:continuationSeparator/>
      </w:r>
    </w:p>
  </w:endnote>
  <w:endnote w:type="continuationNotice" w:id="1">
    <w:p w14:paraId="29245375" w14:textId="77777777" w:rsidR="001B6AF8" w:rsidRDefault="001B6A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A5DCE" w14:textId="77777777" w:rsidR="001B6AF8" w:rsidRDefault="001B6AF8">
    <w:pPr>
      <w:pStyle w:val="Footer"/>
    </w:pPr>
    <w:r w:rsidRPr="007E4EA2">
      <w:rPr>
        <w:rFonts w:ascii="Arial" w:eastAsia="Times New Roman" w:hAnsi="Arial" w:cs="Times New Roman"/>
        <w:noProof/>
        <w:sz w:val="18"/>
        <w:szCs w:val="2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AA5DD5" wp14:editId="27AA5DD6">
              <wp:simplePos x="0" y="0"/>
              <wp:positionH relativeFrom="column">
                <wp:posOffset>8900160</wp:posOffset>
              </wp:positionH>
              <wp:positionV relativeFrom="paragraph">
                <wp:posOffset>-271780</wp:posOffset>
              </wp:positionV>
              <wp:extent cx="6034405" cy="0"/>
              <wp:effectExtent l="0" t="0" r="2349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3440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8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0.8pt,-21.4pt" to="1175.95pt,-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DBC56" w14:textId="77777777" w:rsidR="001B6AF8" w:rsidRDefault="001B6AF8">
      <w:pPr>
        <w:spacing w:after="0" w:line="240" w:lineRule="auto"/>
      </w:pPr>
      <w:r>
        <w:separator/>
      </w:r>
    </w:p>
  </w:footnote>
  <w:footnote w:type="continuationSeparator" w:id="0">
    <w:p w14:paraId="7A96BCDF" w14:textId="77777777" w:rsidR="001B6AF8" w:rsidRDefault="001B6AF8">
      <w:pPr>
        <w:spacing w:after="0" w:line="240" w:lineRule="auto"/>
      </w:pPr>
      <w:r>
        <w:continuationSeparator/>
      </w:r>
    </w:p>
  </w:footnote>
  <w:footnote w:type="continuationNotice" w:id="1">
    <w:p w14:paraId="2B4FF249" w14:textId="77777777" w:rsidR="001B6AF8" w:rsidRDefault="001B6A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BC6F1" w14:textId="1EE80398" w:rsidR="001B6AF8" w:rsidRPr="007E4EA2" w:rsidRDefault="001B6AF8" w:rsidP="001B6AF8">
    <w:pPr>
      <w:spacing w:after="0"/>
      <w:ind w:left="714"/>
      <w:jc w:val="both"/>
      <w:rPr>
        <w:sz w:val="16"/>
      </w:rPr>
    </w:pPr>
  </w:p>
  <w:p w14:paraId="27AA5DCD" w14:textId="078A6319" w:rsidR="001B6AF8" w:rsidRPr="00743D16" w:rsidRDefault="001B6AF8" w:rsidP="00743D16">
    <w:pPr>
      <w:spacing w:after="0" w:line="360" w:lineRule="auto"/>
      <w:jc w:val="center"/>
      <w:rPr>
        <w:rFonts w:ascii="Times New Roman" w:hAnsi="Times New Roman"/>
        <w:b/>
        <w:sz w:val="20"/>
        <w:lang w:val="sq-AL"/>
      </w:rPr>
    </w:pPr>
    <w:r w:rsidRPr="00857832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D81"/>
    <w:multiLevelType w:val="hybridMultilevel"/>
    <w:tmpl w:val="955A44C4"/>
    <w:lvl w:ilvl="0" w:tplc="0409001B">
      <w:start w:val="1"/>
      <w:numFmt w:val="lowerRoman"/>
      <w:lvlText w:val="%1."/>
      <w:lvlJc w:val="right"/>
      <w:pPr>
        <w:ind w:left="1260" w:hanging="360"/>
      </w:pPr>
    </w:lvl>
    <w:lvl w:ilvl="1" w:tplc="0409001B">
      <w:start w:val="1"/>
      <w:numFmt w:val="lowerRoman"/>
      <w:lvlText w:val="%2."/>
      <w:lvlJc w:val="righ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33C24FCB"/>
    <w:multiLevelType w:val="hybridMultilevel"/>
    <w:tmpl w:val="CFD81B3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A61813"/>
    <w:multiLevelType w:val="hybridMultilevel"/>
    <w:tmpl w:val="E9783ED8"/>
    <w:lvl w:ilvl="0" w:tplc="2DEAAE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6473AE"/>
    <w:multiLevelType w:val="hybridMultilevel"/>
    <w:tmpl w:val="A0460832"/>
    <w:lvl w:ilvl="0" w:tplc="E2F2E782">
      <w:start w:val="1"/>
      <w:numFmt w:val="low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>
    <w:nsid w:val="70C92721"/>
    <w:multiLevelType w:val="hybridMultilevel"/>
    <w:tmpl w:val="A532F2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90888"/>
    <w:multiLevelType w:val="hybridMultilevel"/>
    <w:tmpl w:val="53E27604"/>
    <w:lvl w:ilvl="0" w:tplc="89D898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9A1686C"/>
    <w:multiLevelType w:val="hybridMultilevel"/>
    <w:tmpl w:val="F5764F8E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57A"/>
    <w:rsid w:val="000146C0"/>
    <w:rsid w:val="000E707A"/>
    <w:rsid w:val="00122B3F"/>
    <w:rsid w:val="001B6AF8"/>
    <w:rsid w:val="00595F39"/>
    <w:rsid w:val="005C657A"/>
    <w:rsid w:val="00633FB3"/>
    <w:rsid w:val="006F60C2"/>
    <w:rsid w:val="00743D16"/>
    <w:rsid w:val="00753D84"/>
    <w:rsid w:val="00845FB1"/>
    <w:rsid w:val="00857832"/>
    <w:rsid w:val="008A5C28"/>
    <w:rsid w:val="00A66649"/>
    <w:rsid w:val="00AF0A60"/>
    <w:rsid w:val="00BF43AA"/>
    <w:rsid w:val="00D26CF5"/>
    <w:rsid w:val="00E0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5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57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65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A"/>
    <w:rPr>
      <w:lang w:val="en-US"/>
    </w:rPr>
  </w:style>
  <w:style w:type="paragraph" w:styleId="ListParagraph">
    <w:name w:val="List Paragraph"/>
    <w:basedOn w:val="Normal"/>
    <w:uiPriority w:val="34"/>
    <w:qFormat/>
    <w:rsid w:val="005C65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sq-AL" w:eastAsia="hr-HR"/>
    </w:rPr>
  </w:style>
  <w:style w:type="table" w:styleId="TableGrid">
    <w:name w:val="Table Grid"/>
    <w:basedOn w:val="TableNormal"/>
    <w:uiPriority w:val="39"/>
    <w:rsid w:val="005C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3A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57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65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A"/>
    <w:rPr>
      <w:lang w:val="en-US"/>
    </w:rPr>
  </w:style>
  <w:style w:type="paragraph" w:styleId="ListParagraph">
    <w:name w:val="List Paragraph"/>
    <w:basedOn w:val="Normal"/>
    <w:uiPriority w:val="34"/>
    <w:qFormat/>
    <w:rsid w:val="005C65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sq-AL" w:eastAsia="hr-HR"/>
    </w:rPr>
  </w:style>
  <w:style w:type="table" w:styleId="TableGrid">
    <w:name w:val="Table Grid"/>
    <w:basedOn w:val="TableNormal"/>
    <w:uiPriority w:val="39"/>
    <w:rsid w:val="005C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78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3A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</Nr_x002e__x0020_akti>
    <Data_x0020_e_x0020_Krijimit xmlns="0e656187-b300-4fb0-8bf4-3a50f872073c">2020-12-11T10:43:34Z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2020-12-10T23:00:00Z</Date_x0020_protokolli>
    <Titulli xmlns="0e656187-b300-4fb0-8bf4-3a50f872073c">Për dhënien e miratimit paraprak për kryerjen e veprimtarive financiare shtesë nga Banka  Amerikane e Investimeve sh.a</Titulli>
    <Modifikuesi xmlns="0e656187-b300-4fb0-8bf4-3a50f872073c">gladiola.cicako</Modifikuesi>
    <Nr_x002e__x0020_prot_x0020_QBZ xmlns="0e656187-b300-4fb0-8bf4-3a50f872073c">1826/4</Nr_x002e__x0020_prot_x0020_QBZ>
    <Data_x0020_e_x0020_Modifikimit xmlns="0e656187-b300-4fb0-8bf4-3a50f872073c">2020-12-14T09:46:34Z</Data_x0020_e_x0020_Modifikimit>
    <Dekretuar xmlns="0e656187-b300-4fb0-8bf4-3a50f872073c">false</Dekretuar>
    <Data xmlns="0e656187-b300-4fb0-8bf4-3a50f872073c">2020-12-01T23:00:00Z</Data>
    <Nr_x002e__x0020_protokolli_x0020_i_x0020_aktit xmlns="0e656187-b300-4fb0-8bf4-3a50f872073c">5568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C4A66F4CB34B559817F01E453CA2F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AC4A66F4CB34B559817F01E453CA2F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547F4A9-83A1-4CCD-BBFC-48DAF094B406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0e656187-b300-4fb0-8bf4-3a50f872073c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A636B0B-0950-4C78-B7CB-59B3B0862F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B88F44-8F99-4289-B1DC-E7CD5D263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A540D68-F95B-4E19-BE00-54960BAF93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4DBCC78-7FE6-46EA-90D3-14F0CAD76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kryerjen e veprimtarive financiare shtesë nga Banka Amerikane e Investimeve sh.a</vt:lpstr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kryerjen e veprimtarive financiare shtesë nga Banka Amerikane e Investimeve sh.a</dc:title>
  <dc:creator>Elvis Cibuku</dc:creator>
  <cp:lastModifiedBy>Fjora Cahani</cp:lastModifiedBy>
  <cp:revision>11</cp:revision>
  <dcterms:created xsi:type="dcterms:W3CDTF">2020-12-11T10:47:00Z</dcterms:created>
  <dcterms:modified xsi:type="dcterms:W3CDTF">2020-12-14T11:31:00Z</dcterms:modified>
</cp:coreProperties>
</file>