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F6C72"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VENDIM</w:t>
      </w:r>
    </w:p>
    <w:p w14:paraId="57502E06"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Nr. 35, datë 7.7.2021</w:t>
      </w:r>
    </w:p>
    <w:p w14:paraId="3A028980" w14:textId="77777777" w:rsidR="001E1764" w:rsidRPr="00C61A41" w:rsidRDefault="001E1764" w:rsidP="00C61A41">
      <w:pPr>
        <w:spacing w:after="0"/>
        <w:ind w:firstLine="284"/>
        <w:jc w:val="center"/>
        <w:rPr>
          <w:rFonts w:ascii="Garamond" w:hAnsi="Garamond"/>
          <w:b/>
          <w:sz w:val="24"/>
          <w:szCs w:val="24"/>
        </w:rPr>
      </w:pPr>
    </w:p>
    <w:p w14:paraId="5923735F" w14:textId="0480EF96" w:rsidR="001E1764" w:rsidRPr="00C61A41" w:rsidRDefault="001E1764" w:rsidP="00747364">
      <w:pPr>
        <w:spacing w:after="0"/>
        <w:jc w:val="center"/>
        <w:rPr>
          <w:rFonts w:ascii="Garamond" w:hAnsi="Garamond"/>
          <w:b/>
          <w:sz w:val="24"/>
          <w:szCs w:val="24"/>
        </w:rPr>
      </w:pPr>
      <w:r w:rsidRPr="00C61A41">
        <w:rPr>
          <w:rFonts w:ascii="Garamond" w:hAnsi="Garamond"/>
          <w:b/>
          <w:sz w:val="24"/>
          <w:szCs w:val="24"/>
        </w:rPr>
        <w:t>P</w:t>
      </w:r>
      <w:r w:rsidR="00747364">
        <w:rPr>
          <w:rFonts w:ascii="Garamond" w:hAnsi="Garamond"/>
          <w:b/>
          <w:sz w:val="24"/>
          <w:szCs w:val="24"/>
        </w:rPr>
        <w:t>ËR MIRATIMIN E RREGULLORES “PËR</w:t>
      </w:r>
      <w:r w:rsidRPr="00C61A41">
        <w:rPr>
          <w:rFonts w:ascii="Garamond" w:hAnsi="Garamond"/>
          <w:b/>
          <w:sz w:val="24"/>
          <w:szCs w:val="24"/>
        </w:rPr>
        <w:t xml:space="preserve"> LLOJET E MARRËVESHJEVE QË DO TË MBROHEN NË TRANSFERIMIN E PJESSHËM”</w:t>
      </w:r>
    </w:p>
    <w:p w14:paraId="400DE66B" w14:textId="77777777" w:rsidR="001E1764" w:rsidRPr="00C61A41" w:rsidRDefault="001E1764" w:rsidP="00C61A41">
      <w:pPr>
        <w:spacing w:after="0"/>
        <w:ind w:firstLine="284"/>
        <w:jc w:val="center"/>
        <w:rPr>
          <w:rFonts w:ascii="Garamond" w:hAnsi="Garamond"/>
          <w:b/>
          <w:sz w:val="24"/>
          <w:szCs w:val="24"/>
        </w:rPr>
      </w:pPr>
    </w:p>
    <w:p w14:paraId="704D67B7" w14:textId="79E999BB"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Në bazë dhe për zbatim të nenit  12,  shkronja  “a” dhe nenit 43, shkronja “c”, të ligjit nr. 8269, datë 23.12.1997 “Për Bankën e Shqipërisë”, i ndryshuar; si dhe të nenit 59, pika 5 dhe nenit 87</w:t>
      </w:r>
      <w:r w:rsidR="00747364">
        <w:rPr>
          <w:rFonts w:ascii="Garamond" w:hAnsi="Garamond"/>
          <w:sz w:val="24"/>
          <w:szCs w:val="24"/>
        </w:rPr>
        <w:t>,</w:t>
      </w:r>
      <w:r w:rsidRPr="00C61A41">
        <w:rPr>
          <w:rFonts w:ascii="Garamond" w:hAnsi="Garamond"/>
          <w:sz w:val="24"/>
          <w:szCs w:val="24"/>
        </w:rPr>
        <w:t xml:space="preserve"> të ligjit nr. 133/2016, datë 22.12.2016</w:t>
      </w:r>
      <w:r w:rsidR="0024699A">
        <w:rPr>
          <w:rFonts w:ascii="Garamond" w:hAnsi="Garamond"/>
          <w:sz w:val="24"/>
          <w:szCs w:val="24"/>
        </w:rPr>
        <w:t>,</w:t>
      </w:r>
      <w:r w:rsidRPr="00C61A41">
        <w:rPr>
          <w:rFonts w:ascii="Garamond" w:hAnsi="Garamond"/>
          <w:sz w:val="24"/>
          <w:szCs w:val="24"/>
        </w:rPr>
        <w:t xml:space="preserve"> “Për rimëkëmbjen dhe ndërhyrjen e jashtëzakonshme në banka në Republikën e Shqipërisë”; me propozim të Departamentit për Ndërhyrjen e Jashtëzakonshme, Këshilli Mbikëqyrës i Bankës së Shqipërisë,</w:t>
      </w:r>
    </w:p>
    <w:p w14:paraId="6490D74E" w14:textId="77777777" w:rsidR="001E1764" w:rsidRPr="00C61A41" w:rsidRDefault="001E1764" w:rsidP="00C61A41">
      <w:pPr>
        <w:spacing w:after="0"/>
        <w:ind w:firstLine="284"/>
        <w:rPr>
          <w:rFonts w:ascii="Garamond" w:hAnsi="Garamond"/>
          <w:sz w:val="24"/>
          <w:szCs w:val="24"/>
        </w:rPr>
      </w:pPr>
    </w:p>
    <w:p w14:paraId="23A0C70B"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VENDOSI:</w:t>
      </w:r>
    </w:p>
    <w:p w14:paraId="6A00C690" w14:textId="77777777" w:rsidR="001E1764" w:rsidRPr="00C61A41" w:rsidRDefault="001E1764" w:rsidP="00C61A41">
      <w:pPr>
        <w:spacing w:after="0"/>
        <w:ind w:firstLine="284"/>
        <w:rPr>
          <w:rFonts w:ascii="Garamond" w:hAnsi="Garamond"/>
          <w:sz w:val="24"/>
          <w:szCs w:val="24"/>
        </w:rPr>
      </w:pPr>
    </w:p>
    <w:p w14:paraId="3ACE6CC9" w14:textId="0F89E9B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1. Të miratojë rregulloren “Për llojet e marrëveshjeve që do të mbrohen në transferimin e pjesshëm” sipas tekstit bashkëlidhur këtij vendimi.</w:t>
      </w:r>
    </w:p>
    <w:p w14:paraId="010C863A" w14:textId="7705A6D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2. Ngarkohet Departamenti për Ndërhyrjen e Jashtëzakonshme në Bankën e Shqipërisë për ndjekjen e zbatimit të këtij vendimi.</w:t>
      </w:r>
    </w:p>
    <w:p w14:paraId="29BBFF75" w14:textId="5A5E63F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3. Ngarkohen bankat e licencuara nga Banka e Shqipërisë, me zbatimin e këtij </w:t>
      </w:r>
      <w:r w:rsidR="001E6F8E" w:rsidRPr="00C61A41">
        <w:rPr>
          <w:rFonts w:ascii="Garamond" w:hAnsi="Garamond"/>
          <w:sz w:val="24"/>
          <w:szCs w:val="24"/>
        </w:rPr>
        <w:t xml:space="preserve">VENDIMI. </w:t>
      </w:r>
    </w:p>
    <w:p w14:paraId="46D3268F" w14:textId="64847F7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4. Ngarkohet Kabineti i Guvernatorit dhe Departamenti i Kërkimeve me publikimin e këtij vendimi, përkatësisht në Fletoren Zyrtare të Republikës së Shqipërisë dhe në Buletinin Zyrtar të Bankës së Shqipërisë.</w:t>
      </w:r>
    </w:p>
    <w:p w14:paraId="634DD717" w14:textId="7777777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Ky vendim hyn në fuqi 15 ditë pas botimit në Fletoren Zyrtare.</w:t>
      </w:r>
    </w:p>
    <w:p w14:paraId="3C4184B7" w14:textId="77777777" w:rsidR="001E1764" w:rsidRPr="00C61A41" w:rsidRDefault="001E1764" w:rsidP="00C61A41">
      <w:pPr>
        <w:spacing w:after="0"/>
        <w:ind w:firstLine="284"/>
        <w:jc w:val="both"/>
        <w:rPr>
          <w:rFonts w:ascii="Garamond" w:hAnsi="Garamond"/>
          <w:sz w:val="24"/>
          <w:szCs w:val="24"/>
        </w:rPr>
      </w:pPr>
    </w:p>
    <w:p w14:paraId="388D47E2" w14:textId="119D80BA" w:rsidR="001E1764" w:rsidRPr="00C61A41" w:rsidRDefault="001E6F8E" w:rsidP="00C61A41">
      <w:pPr>
        <w:spacing w:after="0"/>
        <w:ind w:firstLine="284"/>
        <w:jc w:val="right"/>
        <w:rPr>
          <w:rFonts w:ascii="Garamond" w:hAnsi="Garamond"/>
          <w:sz w:val="24"/>
          <w:szCs w:val="24"/>
        </w:rPr>
      </w:pPr>
      <w:r w:rsidRPr="00C61A41">
        <w:rPr>
          <w:rFonts w:ascii="Garamond" w:hAnsi="Garamond"/>
          <w:sz w:val="24"/>
          <w:szCs w:val="24"/>
        </w:rPr>
        <w:t xml:space="preserve">KRYETAR </w:t>
      </w:r>
    </w:p>
    <w:p w14:paraId="1F0B760E" w14:textId="77777777" w:rsidR="001E1764" w:rsidRPr="003A3EEE" w:rsidRDefault="001E1764" w:rsidP="00C61A41">
      <w:pPr>
        <w:spacing w:after="0"/>
        <w:ind w:firstLine="284"/>
        <w:jc w:val="right"/>
        <w:rPr>
          <w:rFonts w:ascii="Garamond" w:hAnsi="Garamond"/>
          <w:b/>
          <w:sz w:val="24"/>
          <w:szCs w:val="24"/>
        </w:rPr>
      </w:pPr>
      <w:r w:rsidRPr="003A3EEE">
        <w:rPr>
          <w:rFonts w:ascii="Garamond" w:hAnsi="Garamond"/>
          <w:b/>
          <w:sz w:val="24"/>
          <w:szCs w:val="24"/>
        </w:rPr>
        <w:t>Gent Sejko</w:t>
      </w:r>
    </w:p>
    <w:p w14:paraId="15BCBF78" w14:textId="77777777" w:rsidR="001E1764" w:rsidRPr="003A3EEE" w:rsidRDefault="001E1764" w:rsidP="00C61A41">
      <w:pPr>
        <w:spacing w:after="0"/>
        <w:ind w:firstLine="284"/>
        <w:jc w:val="both"/>
        <w:rPr>
          <w:rFonts w:ascii="Garamond" w:hAnsi="Garamond"/>
          <w:sz w:val="24"/>
          <w:szCs w:val="24"/>
        </w:rPr>
      </w:pPr>
    </w:p>
    <w:p w14:paraId="2A79AA1F" w14:textId="418DD8CB" w:rsidR="0024699A" w:rsidRPr="003A3EEE" w:rsidRDefault="0024699A" w:rsidP="00FC254F">
      <w:pPr>
        <w:spacing w:after="0"/>
        <w:ind w:firstLine="284"/>
        <w:jc w:val="center"/>
        <w:rPr>
          <w:rFonts w:ascii="Garamond" w:hAnsi="Garamond"/>
          <w:b/>
          <w:sz w:val="24"/>
          <w:szCs w:val="24"/>
        </w:rPr>
      </w:pPr>
      <w:r w:rsidRPr="003A3EEE">
        <w:rPr>
          <w:rFonts w:ascii="Garamond" w:hAnsi="Garamond"/>
          <w:b/>
          <w:sz w:val="24"/>
          <w:szCs w:val="24"/>
        </w:rPr>
        <w:t>RREGULLORE</w:t>
      </w:r>
    </w:p>
    <w:p w14:paraId="4E4E6A20" w14:textId="1B3E569F" w:rsidR="0024699A" w:rsidRPr="0024699A" w:rsidRDefault="0024699A" w:rsidP="00FC254F">
      <w:pPr>
        <w:spacing w:after="0"/>
        <w:jc w:val="center"/>
        <w:rPr>
          <w:rFonts w:ascii="Garamond" w:hAnsi="Garamond"/>
          <w:sz w:val="24"/>
          <w:szCs w:val="24"/>
        </w:rPr>
      </w:pPr>
      <w:r w:rsidRPr="003A3EEE">
        <w:rPr>
          <w:rFonts w:ascii="Garamond" w:hAnsi="Garamond"/>
          <w:sz w:val="24"/>
          <w:szCs w:val="24"/>
        </w:rPr>
        <w:t>PËR LLOJET E MARRËVESHJEVE QË DO TË MBROHEN NË TRANSFERIMIN E PJESSHËM</w:t>
      </w:r>
    </w:p>
    <w:p w14:paraId="0AB03B3C" w14:textId="77777777" w:rsidR="0024699A" w:rsidRDefault="0024699A" w:rsidP="00C61A41">
      <w:pPr>
        <w:spacing w:after="0"/>
        <w:ind w:firstLine="284"/>
        <w:jc w:val="center"/>
        <w:rPr>
          <w:rFonts w:ascii="Garamond" w:hAnsi="Garamond"/>
          <w:sz w:val="24"/>
          <w:szCs w:val="24"/>
        </w:rPr>
      </w:pPr>
    </w:p>
    <w:p w14:paraId="050A23E8" w14:textId="314A28F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1</w:t>
      </w:r>
    </w:p>
    <w:p w14:paraId="71102F6E"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Objekti</w:t>
      </w:r>
    </w:p>
    <w:p w14:paraId="5CF0C2DE" w14:textId="77777777" w:rsidR="001E1764" w:rsidRPr="00C61A41" w:rsidRDefault="001E1764" w:rsidP="00C61A41">
      <w:pPr>
        <w:spacing w:after="0"/>
        <w:ind w:firstLine="284"/>
        <w:jc w:val="both"/>
        <w:rPr>
          <w:rFonts w:ascii="Garamond" w:hAnsi="Garamond"/>
          <w:sz w:val="24"/>
          <w:szCs w:val="24"/>
        </w:rPr>
      </w:pPr>
    </w:p>
    <w:p w14:paraId="14F878FD" w14:textId="7777777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Objekti i kësaj rregulloreje është përcaktimi i kushteve lidhur me llojet e marrëveshjeve të cilat mbrohen gjatë transferimit të pjesshëm të aktiveve, të drejtave dhe detyrimeve të një banke nën ndërhyrje të jashtëzakonshme. </w:t>
      </w:r>
    </w:p>
    <w:p w14:paraId="1B46364A" w14:textId="77777777" w:rsidR="001E1764" w:rsidRPr="00C61A41" w:rsidRDefault="001E1764" w:rsidP="00C61A41">
      <w:pPr>
        <w:spacing w:after="0"/>
        <w:ind w:firstLine="284"/>
        <w:jc w:val="both"/>
        <w:rPr>
          <w:rFonts w:ascii="Garamond" w:hAnsi="Garamond"/>
          <w:sz w:val="24"/>
          <w:szCs w:val="24"/>
        </w:rPr>
      </w:pPr>
    </w:p>
    <w:p w14:paraId="6F9D6715"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2</w:t>
      </w:r>
    </w:p>
    <w:p w14:paraId="0488854C"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Subjektet</w:t>
      </w:r>
    </w:p>
    <w:p w14:paraId="1B70A41B" w14:textId="77777777" w:rsidR="001E1764" w:rsidRPr="00C61A41" w:rsidRDefault="001E1764" w:rsidP="00C61A41">
      <w:pPr>
        <w:spacing w:after="0"/>
        <w:ind w:firstLine="284"/>
        <w:jc w:val="center"/>
        <w:rPr>
          <w:rFonts w:ascii="Garamond" w:hAnsi="Garamond"/>
          <w:sz w:val="24"/>
          <w:szCs w:val="24"/>
        </w:rPr>
      </w:pPr>
    </w:p>
    <w:p w14:paraId="046E610C" w14:textId="7777777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Subjekte të kësaj rregulloreje janë bankat dhe degët e bankave të huaja, të licencuara nga Banka e Shqipërisë.</w:t>
      </w:r>
    </w:p>
    <w:p w14:paraId="198DB1D3" w14:textId="77777777" w:rsidR="001E1764" w:rsidRPr="00C61A41" w:rsidRDefault="001E1764" w:rsidP="00C61A41">
      <w:pPr>
        <w:spacing w:after="0"/>
        <w:ind w:firstLine="284"/>
        <w:jc w:val="both"/>
        <w:rPr>
          <w:rFonts w:ascii="Garamond" w:hAnsi="Garamond"/>
          <w:sz w:val="24"/>
          <w:szCs w:val="24"/>
        </w:rPr>
      </w:pPr>
    </w:p>
    <w:p w14:paraId="6BEBA26C"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3</w:t>
      </w:r>
    </w:p>
    <w:p w14:paraId="49C300F8"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Baza ligjore</w:t>
      </w:r>
    </w:p>
    <w:p w14:paraId="4B545109" w14:textId="77777777" w:rsidR="001E1764" w:rsidRPr="00C61A41" w:rsidRDefault="001E1764" w:rsidP="00C61A41">
      <w:pPr>
        <w:spacing w:after="0"/>
        <w:ind w:firstLine="284"/>
        <w:jc w:val="both"/>
        <w:rPr>
          <w:rFonts w:ascii="Garamond" w:hAnsi="Garamond"/>
          <w:sz w:val="24"/>
          <w:szCs w:val="24"/>
        </w:rPr>
      </w:pPr>
    </w:p>
    <w:p w14:paraId="59090E1F" w14:textId="7777777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Kjo rregullore nxirret në bazë dhe për zbatim të:</w:t>
      </w:r>
    </w:p>
    <w:p w14:paraId="4B6FA7E8" w14:textId="5F576E46"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lastRenderedPageBreak/>
        <w:t>a</w:t>
      </w:r>
      <w:r w:rsidR="00EB079A">
        <w:rPr>
          <w:rFonts w:ascii="Garamond" w:hAnsi="Garamond"/>
          <w:sz w:val="24"/>
          <w:szCs w:val="24"/>
        </w:rPr>
        <w:t>)</w:t>
      </w:r>
      <w:r w:rsidRPr="00C61A41">
        <w:rPr>
          <w:rFonts w:ascii="Garamond" w:hAnsi="Garamond"/>
          <w:sz w:val="24"/>
          <w:szCs w:val="24"/>
        </w:rPr>
        <w:t xml:space="preserve"> nenit 12, shkronja “a” dhe nenit 43, shkronja “c”</w:t>
      </w:r>
      <w:r w:rsidR="0042000B">
        <w:rPr>
          <w:rFonts w:ascii="Garamond" w:hAnsi="Garamond"/>
          <w:sz w:val="24"/>
          <w:szCs w:val="24"/>
        </w:rPr>
        <w:t>,</w:t>
      </w:r>
      <w:r w:rsidRPr="00C61A41">
        <w:rPr>
          <w:rFonts w:ascii="Garamond" w:hAnsi="Garamond"/>
          <w:sz w:val="24"/>
          <w:szCs w:val="24"/>
        </w:rPr>
        <w:t xml:space="preserve"> të ligjit nr.</w:t>
      </w:r>
      <w:r w:rsidR="00FA75B2">
        <w:rPr>
          <w:rFonts w:ascii="Garamond" w:hAnsi="Garamond"/>
          <w:sz w:val="24"/>
          <w:szCs w:val="24"/>
        </w:rPr>
        <w:t xml:space="preserve"> </w:t>
      </w:r>
      <w:r w:rsidRPr="00C61A41">
        <w:rPr>
          <w:rFonts w:ascii="Garamond" w:hAnsi="Garamond"/>
          <w:sz w:val="24"/>
          <w:szCs w:val="24"/>
        </w:rPr>
        <w:t>8269, datë 23.12.1997</w:t>
      </w:r>
      <w:r w:rsidR="0042000B">
        <w:rPr>
          <w:rFonts w:ascii="Garamond" w:hAnsi="Garamond"/>
          <w:sz w:val="24"/>
          <w:szCs w:val="24"/>
        </w:rPr>
        <w:t>,</w:t>
      </w:r>
      <w:r w:rsidRPr="00C61A41">
        <w:rPr>
          <w:rFonts w:ascii="Garamond" w:hAnsi="Garamond"/>
          <w:sz w:val="24"/>
          <w:szCs w:val="24"/>
        </w:rPr>
        <w:t xml:space="preserve"> “Për Bankën e Shqipërisë”, i ndryshuar;</w:t>
      </w:r>
    </w:p>
    <w:p w14:paraId="158957A9" w14:textId="659607D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EB079A">
        <w:rPr>
          <w:rFonts w:ascii="Garamond" w:hAnsi="Garamond"/>
          <w:sz w:val="24"/>
          <w:szCs w:val="24"/>
        </w:rPr>
        <w:t>)</w:t>
      </w:r>
      <w:r w:rsidRPr="00C61A41">
        <w:rPr>
          <w:rFonts w:ascii="Garamond" w:hAnsi="Garamond"/>
          <w:sz w:val="24"/>
          <w:szCs w:val="24"/>
        </w:rPr>
        <w:t xml:space="preserve"> nenit 59, pika 5 dhe nenit 87</w:t>
      </w:r>
      <w:r w:rsidR="0042000B">
        <w:rPr>
          <w:rFonts w:ascii="Garamond" w:hAnsi="Garamond"/>
          <w:sz w:val="24"/>
          <w:szCs w:val="24"/>
        </w:rPr>
        <w:t>,</w:t>
      </w:r>
      <w:r w:rsidRPr="00C61A41">
        <w:rPr>
          <w:rFonts w:ascii="Garamond" w:hAnsi="Garamond"/>
          <w:sz w:val="24"/>
          <w:szCs w:val="24"/>
        </w:rPr>
        <w:t xml:space="preserve"> të ligjit nr. 133, datë 22.12.2016</w:t>
      </w:r>
      <w:r w:rsidR="0042000B">
        <w:rPr>
          <w:rFonts w:ascii="Garamond" w:hAnsi="Garamond"/>
          <w:sz w:val="24"/>
          <w:szCs w:val="24"/>
        </w:rPr>
        <w:t>,</w:t>
      </w:r>
      <w:r w:rsidRPr="00C61A41">
        <w:rPr>
          <w:rFonts w:ascii="Garamond" w:hAnsi="Garamond"/>
          <w:sz w:val="24"/>
          <w:szCs w:val="24"/>
        </w:rPr>
        <w:t xml:space="preserve"> “Për rimëkëmbjen dhe ndërhyrjen e jashtëzakonshme në banka, në Republikën e Shqipërisë”.</w:t>
      </w:r>
    </w:p>
    <w:p w14:paraId="50F4A2D8" w14:textId="77777777" w:rsidR="001E1764" w:rsidRPr="00C61A41" w:rsidRDefault="001E1764" w:rsidP="00C61A41">
      <w:pPr>
        <w:spacing w:after="0"/>
        <w:ind w:firstLine="284"/>
        <w:jc w:val="both"/>
        <w:rPr>
          <w:rFonts w:ascii="Garamond" w:hAnsi="Garamond"/>
          <w:sz w:val="24"/>
          <w:szCs w:val="24"/>
        </w:rPr>
      </w:pPr>
    </w:p>
    <w:p w14:paraId="54181800"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4</w:t>
      </w:r>
    </w:p>
    <w:p w14:paraId="3B5DA88B"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Përkufizime</w:t>
      </w:r>
    </w:p>
    <w:p w14:paraId="128545F2" w14:textId="77777777" w:rsidR="001E1764" w:rsidRPr="00C61A41" w:rsidRDefault="001E1764" w:rsidP="00C61A41">
      <w:pPr>
        <w:spacing w:after="0"/>
        <w:ind w:firstLine="284"/>
        <w:jc w:val="both"/>
        <w:rPr>
          <w:rFonts w:ascii="Garamond" w:hAnsi="Garamond"/>
          <w:sz w:val="24"/>
          <w:szCs w:val="24"/>
        </w:rPr>
      </w:pPr>
    </w:p>
    <w:p w14:paraId="1317AF98" w14:textId="5B776452"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1. Termat e përdorur në këtë rregullore kanë të njëjtin kuptim me termat e përkufizuar ose të përdorur në:</w:t>
      </w:r>
    </w:p>
    <w:p w14:paraId="0EB81E8F" w14:textId="46C35D7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 ligjin nr. 8269, datë 23.12.1997</w:t>
      </w:r>
      <w:r w:rsidR="0042000B">
        <w:rPr>
          <w:rFonts w:ascii="Garamond" w:hAnsi="Garamond"/>
          <w:sz w:val="24"/>
          <w:szCs w:val="24"/>
        </w:rPr>
        <w:t>,</w:t>
      </w:r>
      <w:r w:rsidRPr="00C61A41">
        <w:rPr>
          <w:rFonts w:ascii="Garamond" w:hAnsi="Garamond"/>
          <w:sz w:val="24"/>
          <w:szCs w:val="24"/>
        </w:rPr>
        <w:t xml:space="preserve"> “Për Bankën e Shqipërisë”, i ndryshuar;</w:t>
      </w:r>
    </w:p>
    <w:p w14:paraId="4878FA3D" w14:textId="4FE48959"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 ligjin nr. 9662, datë 18.12.2006</w:t>
      </w:r>
      <w:r w:rsidR="0042000B">
        <w:rPr>
          <w:rFonts w:ascii="Garamond" w:hAnsi="Garamond"/>
          <w:sz w:val="24"/>
          <w:szCs w:val="24"/>
        </w:rPr>
        <w:t>,</w:t>
      </w:r>
      <w:r w:rsidRPr="00C61A41">
        <w:rPr>
          <w:rFonts w:ascii="Garamond" w:hAnsi="Garamond"/>
          <w:sz w:val="24"/>
          <w:szCs w:val="24"/>
        </w:rPr>
        <w:t xml:space="preserve"> “Për bankat në Republikën e Shqipërisë”, i ndryshuar;</w:t>
      </w:r>
    </w:p>
    <w:p w14:paraId="6424C907" w14:textId="0D75F83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c. ligjin nr.</w:t>
      </w:r>
      <w:r w:rsidR="00FA75B2">
        <w:rPr>
          <w:rFonts w:ascii="Garamond" w:hAnsi="Garamond"/>
          <w:sz w:val="24"/>
          <w:szCs w:val="24"/>
        </w:rPr>
        <w:t xml:space="preserve"> </w:t>
      </w:r>
      <w:r w:rsidRPr="00C61A41">
        <w:rPr>
          <w:rFonts w:ascii="Garamond" w:hAnsi="Garamond"/>
          <w:sz w:val="24"/>
          <w:szCs w:val="24"/>
        </w:rPr>
        <w:t>133/2016, datë 22.12.2016</w:t>
      </w:r>
      <w:r w:rsidR="0042000B">
        <w:rPr>
          <w:rFonts w:ascii="Garamond" w:hAnsi="Garamond"/>
          <w:sz w:val="24"/>
          <w:szCs w:val="24"/>
        </w:rPr>
        <w:t>,</w:t>
      </w:r>
      <w:r w:rsidRPr="00C61A41">
        <w:rPr>
          <w:rFonts w:ascii="Garamond" w:hAnsi="Garamond"/>
          <w:sz w:val="24"/>
          <w:szCs w:val="24"/>
        </w:rPr>
        <w:t xml:space="preserve"> “Për rimëkëmbjen dhe ndërhyrjen e jashtëzakonshme në banka, në Republikën e Shqipërisë”, në vijim ligji nr. 133/2016.</w:t>
      </w:r>
    </w:p>
    <w:p w14:paraId="72410DB2" w14:textId="6B823DC6"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2. Përveç sa parashikohet në pikën 1, “Titullzimi” ka të njëjtin kuptim me përkufizimin e dhënë në nenin 4, pika 43</w:t>
      </w:r>
      <w:r w:rsidR="0042000B">
        <w:rPr>
          <w:rFonts w:ascii="Garamond" w:hAnsi="Garamond"/>
          <w:sz w:val="24"/>
          <w:szCs w:val="24"/>
        </w:rPr>
        <w:t xml:space="preserve"> e rregullores nr. 48, datë 31.</w:t>
      </w:r>
      <w:r w:rsidRPr="00C61A41">
        <w:rPr>
          <w:rFonts w:ascii="Garamond" w:hAnsi="Garamond"/>
          <w:sz w:val="24"/>
          <w:szCs w:val="24"/>
        </w:rPr>
        <w:t>7.2013</w:t>
      </w:r>
      <w:r w:rsidR="0042000B">
        <w:rPr>
          <w:rFonts w:ascii="Garamond" w:hAnsi="Garamond"/>
          <w:sz w:val="24"/>
          <w:szCs w:val="24"/>
        </w:rPr>
        <w:t>,</w:t>
      </w:r>
      <w:r w:rsidRPr="00C61A41">
        <w:rPr>
          <w:rFonts w:ascii="Garamond" w:hAnsi="Garamond"/>
          <w:sz w:val="24"/>
          <w:szCs w:val="24"/>
        </w:rPr>
        <w:t xml:space="preserve"> “Për Raportin e Mjaftueshmërisë së Kapitalit”, e ndryshuar.</w:t>
      </w:r>
    </w:p>
    <w:p w14:paraId="44B7650B" w14:textId="77777777" w:rsidR="001E1764" w:rsidRPr="00C61A41" w:rsidRDefault="001E1764" w:rsidP="00C61A41">
      <w:pPr>
        <w:spacing w:after="0"/>
        <w:ind w:firstLine="284"/>
        <w:jc w:val="both"/>
        <w:rPr>
          <w:rFonts w:ascii="Garamond" w:hAnsi="Garamond"/>
          <w:sz w:val="24"/>
          <w:szCs w:val="24"/>
        </w:rPr>
      </w:pPr>
    </w:p>
    <w:p w14:paraId="4AAC28BE"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5</w:t>
      </w:r>
    </w:p>
    <w:p w14:paraId="49A3E162"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Kushtet lidhur me marrëveshjet e garancisë përfshirë dhe titujt që financojnë transaksionet</w:t>
      </w:r>
    </w:p>
    <w:p w14:paraId="1E7F3E49" w14:textId="77777777" w:rsidR="001E1764" w:rsidRPr="00C61A41" w:rsidRDefault="001E1764" w:rsidP="00C61A41">
      <w:pPr>
        <w:spacing w:after="0"/>
        <w:ind w:firstLine="284"/>
        <w:jc w:val="both"/>
        <w:rPr>
          <w:rFonts w:ascii="Garamond" w:hAnsi="Garamond"/>
          <w:sz w:val="24"/>
          <w:szCs w:val="24"/>
        </w:rPr>
      </w:pPr>
    </w:p>
    <w:p w14:paraId="2F0A36B5" w14:textId="47B8E32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1. Marrëveshjet e garancisë në përputhje me nenin 59, pika 1 shkronja “a”</w:t>
      </w:r>
      <w:r w:rsidR="0042000B">
        <w:rPr>
          <w:rFonts w:ascii="Garamond" w:hAnsi="Garamond"/>
          <w:sz w:val="24"/>
          <w:szCs w:val="24"/>
        </w:rPr>
        <w:t>,</w:t>
      </w:r>
      <w:r w:rsidRPr="00C61A41">
        <w:rPr>
          <w:rFonts w:ascii="Garamond" w:hAnsi="Garamond"/>
          <w:sz w:val="24"/>
          <w:szCs w:val="24"/>
        </w:rPr>
        <w:t xml:space="preserve"> të ligjit nr. 133/2016 përfshijnë:</w:t>
      </w:r>
    </w:p>
    <w:p w14:paraId="35E189E2" w14:textId="7B0809B0"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w:t>
      </w:r>
      <w:r w:rsidR="00FA75B2">
        <w:rPr>
          <w:rFonts w:ascii="Garamond" w:hAnsi="Garamond"/>
          <w:sz w:val="24"/>
          <w:szCs w:val="24"/>
        </w:rPr>
        <w:t>)</w:t>
      </w:r>
      <w:r w:rsidRPr="00C61A41">
        <w:rPr>
          <w:rFonts w:ascii="Garamond" w:hAnsi="Garamond"/>
          <w:sz w:val="24"/>
          <w:szCs w:val="24"/>
        </w:rPr>
        <w:t xml:space="preserve"> marrëveshjet që përfshijnë kushte garancie si dhe garanci personale; </w:t>
      </w:r>
    </w:p>
    <w:p w14:paraId="28736B8F" w14:textId="0C7DAB5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FA75B2">
        <w:rPr>
          <w:rFonts w:ascii="Garamond" w:hAnsi="Garamond"/>
          <w:sz w:val="24"/>
          <w:szCs w:val="24"/>
        </w:rPr>
        <w:t>)</w:t>
      </w:r>
      <w:r w:rsidRPr="00C61A41">
        <w:rPr>
          <w:rFonts w:ascii="Garamond" w:hAnsi="Garamond"/>
          <w:sz w:val="24"/>
          <w:szCs w:val="24"/>
        </w:rPr>
        <w:t xml:space="preserve"> marrëveshjet e pengut, hipotekë e barrë siguruese dhe interesa të tjerë të ngjashëm;</w:t>
      </w:r>
    </w:p>
    <w:p w14:paraId="6EF21939" w14:textId="50F14D6A"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c</w:t>
      </w:r>
      <w:r w:rsidR="00FA75B2">
        <w:rPr>
          <w:rFonts w:ascii="Garamond" w:hAnsi="Garamond"/>
          <w:sz w:val="24"/>
          <w:szCs w:val="24"/>
        </w:rPr>
        <w:t>)</w:t>
      </w:r>
      <w:r w:rsidRPr="00C61A41">
        <w:rPr>
          <w:rFonts w:ascii="Garamond" w:hAnsi="Garamond"/>
          <w:sz w:val="24"/>
          <w:szCs w:val="24"/>
        </w:rPr>
        <w:t xml:space="preserve"> titujt të lidhura me transaksionet e huas së kolateralizuar, ku në këmbim të fondeve, huamarrësi transferon përkohësisht tek huadhënësi kolateral për gjithë kohëzgjatjen e huas, dhe i paguan huadhënësit një tarifë ose vlerë interesi.</w:t>
      </w:r>
    </w:p>
    <w:p w14:paraId="58BE9C76" w14:textId="4DFEE5D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2. Marrëveshjet e garancisë cilësohen si marrëveshje garancie në përputhje me nenin 59, pika 1, shkronja “a”</w:t>
      </w:r>
      <w:r w:rsidR="0042000B">
        <w:rPr>
          <w:rFonts w:ascii="Garamond" w:hAnsi="Garamond"/>
          <w:sz w:val="24"/>
          <w:szCs w:val="24"/>
        </w:rPr>
        <w:t>,</w:t>
      </w:r>
      <w:r w:rsidRPr="00C61A41">
        <w:rPr>
          <w:rFonts w:ascii="Garamond" w:hAnsi="Garamond"/>
          <w:sz w:val="24"/>
          <w:szCs w:val="24"/>
        </w:rPr>
        <w:t xml:space="preserve"> të ligjit nr. 133/2016, vetëm nëse të drejtat ose aktivet, të cilat shërbejnë si garanci, qoftë edhe në rast të ekzekutimit të detyrueshëm, janë të identifikuar plotësisht ose janë të identifikueshëm në mënyrë të mjaftueshme në përputhje me kushtet e marrëveshjes dhe ligjit në fuqi.</w:t>
      </w:r>
    </w:p>
    <w:p w14:paraId="23854558" w14:textId="77777777" w:rsidR="001E1764" w:rsidRPr="00C61A41" w:rsidRDefault="001E1764" w:rsidP="00C61A41">
      <w:pPr>
        <w:spacing w:after="0"/>
        <w:ind w:firstLine="284"/>
        <w:jc w:val="both"/>
        <w:rPr>
          <w:rFonts w:ascii="Garamond" w:hAnsi="Garamond"/>
          <w:sz w:val="24"/>
          <w:szCs w:val="24"/>
        </w:rPr>
      </w:pPr>
    </w:p>
    <w:p w14:paraId="4AC1F8B7"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6</w:t>
      </w:r>
    </w:p>
    <w:p w14:paraId="0E6F63B8" w14:textId="77777777" w:rsidR="001E1764" w:rsidRPr="00C1102F" w:rsidRDefault="001E1764" w:rsidP="00C61A41">
      <w:pPr>
        <w:spacing w:after="0"/>
        <w:ind w:firstLine="284"/>
        <w:jc w:val="center"/>
        <w:rPr>
          <w:rFonts w:ascii="Garamond" w:hAnsi="Garamond"/>
          <w:b/>
          <w:i/>
          <w:sz w:val="24"/>
          <w:szCs w:val="24"/>
        </w:rPr>
      </w:pPr>
      <w:r w:rsidRPr="00C61A41">
        <w:rPr>
          <w:rFonts w:ascii="Garamond" w:hAnsi="Garamond"/>
          <w:b/>
          <w:sz w:val="24"/>
          <w:szCs w:val="24"/>
        </w:rPr>
        <w:t xml:space="preserve">Kushtet lidhur me marrëveshjet e kompensimit </w:t>
      </w:r>
      <w:r w:rsidRPr="00C1102F">
        <w:rPr>
          <w:rFonts w:ascii="Garamond" w:hAnsi="Garamond"/>
          <w:b/>
          <w:i/>
          <w:sz w:val="24"/>
          <w:szCs w:val="24"/>
        </w:rPr>
        <w:t>set-off</w:t>
      </w:r>
    </w:p>
    <w:p w14:paraId="2C784F19" w14:textId="77777777" w:rsidR="001E1764" w:rsidRPr="00C61A41" w:rsidRDefault="001E1764" w:rsidP="00C61A41">
      <w:pPr>
        <w:spacing w:after="0"/>
        <w:ind w:firstLine="284"/>
        <w:jc w:val="both"/>
        <w:rPr>
          <w:rFonts w:ascii="Garamond" w:hAnsi="Garamond"/>
          <w:sz w:val="24"/>
          <w:szCs w:val="24"/>
        </w:rPr>
      </w:pPr>
    </w:p>
    <w:p w14:paraId="62513826" w14:textId="1353E7C4"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1. Marrëveshjet e kompensimit </w:t>
      </w:r>
      <w:r w:rsidRPr="00C1102F">
        <w:rPr>
          <w:rFonts w:ascii="Garamond" w:hAnsi="Garamond"/>
          <w:i/>
          <w:sz w:val="24"/>
          <w:szCs w:val="24"/>
        </w:rPr>
        <w:t>set-off</w:t>
      </w:r>
      <w:r w:rsidRPr="00C61A41">
        <w:rPr>
          <w:rFonts w:ascii="Garamond" w:hAnsi="Garamond"/>
          <w:sz w:val="24"/>
          <w:szCs w:val="24"/>
        </w:rPr>
        <w:t xml:space="preserve"> lidhur midis një banke dhe një pale të vetme cilësohen si marrëveshje kompensimi </w:t>
      </w:r>
      <w:r w:rsidRPr="00C1102F">
        <w:rPr>
          <w:rFonts w:ascii="Garamond" w:hAnsi="Garamond"/>
          <w:i/>
          <w:sz w:val="24"/>
          <w:szCs w:val="24"/>
        </w:rPr>
        <w:t>set-off</w:t>
      </w:r>
      <w:r w:rsidRPr="00C61A41">
        <w:rPr>
          <w:rFonts w:ascii="Garamond" w:hAnsi="Garamond"/>
          <w:sz w:val="24"/>
          <w:szCs w:val="24"/>
        </w:rPr>
        <w:t xml:space="preserve"> sipas nenit 59, pika 1, shkronja “c”</w:t>
      </w:r>
      <w:r w:rsidR="00C1102F">
        <w:rPr>
          <w:rFonts w:ascii="Garamond" w:hAnsi="Garamond"/>
          <w:sz w:val="24"/>
          <w:szCs w:val="24"/>
        </w:rPr>
        <w:t>,</w:t>
      </w:r>
      <w:r w:rsidRPr="00C61A41">
        <w:rPr>
          <w:rFonts w:ascii="Garamond" w:hAnsi="Garamond"/>
          <w:sz w:val="24"/>
          <w:szCs w:val="24"/>
        </w:rPr>
        <w:t xml:space="preserve"> të ligjit nr. 133/2016, kur ato kanë të bëjnë me të drejtat dhe detyrimet që rrjedhin nga kontratat financiare ose derivatet.</w:t>
      </w:r>
    </w:p>
    <w:p w14:paraId="60E3ED62" w14:textId="479D52F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2. Marrëveshjet e kompensimit </w:t>
      </w:r>
      <w:r w:rsidRPr="00C1102F">
        <w:rPr>
          <w:rFonts w:ascii="Garamond" w:hAnsi="Garamond"/>
          <w:i/>
          <w:sz w:val="24"/>
          <w:szCs w:val="24"/>
        </w:rPr>
        <w:t>set-off</w:t>
      </w:r>
      <w:r w:rsidRPr="00C61A41">
        <w:rPr>
          <w:rFonts w:ascii="Garamond" w:hAnsi="Garamond"/>
          <w:sz w:val="24"/>
          <w:szCs w:val="24"/>
        </w:rPr>
        <w:t xml:space="preserve"> lidhur midis një banke dhe një ose më shumë palëve cilësohen si marrëveshje kompensimi </w:t>
      </w:r>
      <w:r w:rsidRPr="00C1102F">
        <w:rPr>
          <w:rFonts w:ascii="Garamond" w:hAnsi="Garamond"/>
          <w:i/>
          <w:sz w:val="24"/>
          <w:szCs w:val="24"/>
        </w:rPr>
        <w:t>set-off</w:t>
      </w:r>
      <w:r w:rsidRPr="00C61A41">
        <w:rPr>
          <w:rFonts w:ascii="Garamond" w:hAnsi="Garamond"/>
          <w:sz w:val="24"/>
          <w:szCs w:val="24"/>
        </w:rPr>
        <w:t xml:space="preserve"> sipas nenit 59, pika 1, shkronja “c” të ligjit nr. 133/2016 në rrethanat e mëposhtme:</w:t>
      </w:r>
    </w:p>
    <w:p w14:paraId="2316B1CE" w14:textId="2F50305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w:t>
      </w:r>
      <w:r w:rsidR="00C1102F">
        <w:rPr>
          <w:rFonts w:ascii="Garamond" w:hAnsi="Garamond"/>
          <w:sz w:val="24"/>
          <w:szCs w:val="24"/>
        </w:rPr>
        <w:t>)</w:t>
      </w:r>
      <w:r w:rsidRPr="00C61A41">
        <w:rPr>
          <w:rFonts w:ascii="Garamond" w:hAnsi="Garamond"/>
          <w:sz w:val="24"/>
          <w:szCs w:val="24"/>
        </w:rPr>
        <w:t xml:space="preserve"> kur marrëveshjet janë të lidhura me veprimtarinë e palës tjetër si një kundërpalë qendrore;</w:t>
      </w:r>
    </w:p>
    <w:p w14:paraId="38AFE036" w14:textId="74C82C25"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C1102F">
        <w:rPr>
          <w:rFonts w:ascii="Garamond" w:hAnsi="Garamond"/>
          <w:sz w:val="24"/>
          <w:szCs w:val="24"/>
        </w:rPr>
        <w:t>)</w:t>
      </w:r>
      <w:r w:rsidRPr="00C61A41">
        <w:rPr>
          <w:rFonts w:ascii="Garamond" w:hAnsi="Garamond"/>
          <w:sz w:val="24"/>
          <w:szCs w:val="24"/>
        </w:rPr>
        <w:t xml:space="preserve"> kur marrëveshjet kanë të bëjnë me të drejtat dhe detyrimet ndaj sistemeve të pagesave ose të shlyerjeve të titujve dhe janë të lidhura me veprimtarinë e tyre si sistem pagese ose shlyerje të titujve.</w:t>
      </w:r>
    </w:p>
    <w:p w14:paraId="4E39502F" w14:textId="67A62988"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lastRenderedPageBreak/>
        <w:t xml:space="preserve">3. Autoriteti i Ndërhyrjes së Jashtëzakonshme mund të vendosë, në raste të veçanta, që marrëveshjet e kompensimit </w:t>
      </w:r>
      <w:r w:rsidRPr="00C1102F">
        <w:rPr>
          <w:rFonts w:ascii="Garamond" w:hAnsi="Garamond"/>
          <w:i/>
          <w:sz w:val="24"/>
          <w:szCs w:val="24"/>
        </w:rPr>
        <w:t>set-off</w:t>
      </w:r>
      <w:r w:rsidRPr="00C61A41">
        <w:rPr>
          <w:rFonts w:ascii="Garamond" w:hAnsi="Garamond"/>
          <w:sz w:val="24"/>
          <w:szCs w:val="24"/>
        </w:rPr>
        <w:t xml:space="preserve"> të lidhura midis një banke dhe një ose më shumë palëve, për aq sa ato lidhen me lloje të tjera të të drejtave dhe detyrimeve, përveç atyre të përmendura në pik</w:t>
      </w:r>
      <w:r w:rsidR="00C1102F">
        <w:rPr>
          <w:rFonts w:ascii="Garamond" w:hAnsi="Garamond"/>
          <w:sz w:val="24"/>
          <w:szCs w:val="24"/>
        </w:rPr>
        <w:t>at</w:t>
      </w:r>
      <w:r w:rsidRPr="00C61A41">
        <w:rPr>
          <w:rFonts w:ascii="Garamond" w:hAnsi="Garamond"/>
          <w:sz w:val="24"/>
          <w:szCs w:val="24"/>
        </w:rPr>
        <w:t xml:space="preserve"> 1 dhe 2, mund të cilësohen si marrëveshje kompensimi </w:t>
      </w:r>
      <w:r w:rsidRPr="00C1102F">
        <w:rPr>
          <w:rFonts w:ascii="Garamond" w:hAnsi="Garamond"/>
          <w:i/>
          <w:sz w:val="24"/>
          <w:szCs w:val="24"/>
        </w:rPr>
        <w:t>set-off</w:t>
      </w:r>
      <w:r w:rsidRPr="00C61A41">
        <w:rPr>
          <w:rFonts w:ascii="Garamond" w:hAnsi="Garamond"/>
          <w:sz w:val="24"/>
          <w:szCs w:val="24"/>
        </w:rPr>
        <w:t xml:space="preserve"> në përputhje me nenin 59</w:t>
      </w:r>
      <w:r w:rsidR="00C1102F">
        <w:rPr>
          <w:rFonts w:ascii="Garamond" w:hAnsi="Garamond"/>
          <w:sz w:val="24"/>
          <w:szCs w:val="24"/>
        </w:rPr>
        <w:t>,</w:t>
      </w:r>
      <w:r w:rsidRPr="00C61A41">
        <w:rPr>
          <w:rFonts w:ascii="Garamond" w:hAnsi="Garamond"/>
          <w:sz w:val="24"/>
          <w:szCs w:val="24"/>
        </w:rPr>
        <w:t xml:space="preserve"> pika 1</w:t>
      </w:r>
      <w:r w:rsidR="00C1102F">
        <w:rPr>
          <w:rFonts w:ascii="Garamond" w:hAnsi="Garamond"/>
          <w:sz w:val="24"/>
          <w:szCs w:val="24"/>
        </w:rPr>
        <w:t>,</w:t>
      </w:r>
      <w:r w:rsidRPr="00C61A41">
        <w:rPr>
          <w:rFonts w:ascii="Garamond" w:hAnsi="Garamond"/>
          <w:sz w:val="24"/>
          <w:szCs w:val="24"/>
        </w:rPr>
        <w:t xml:space="preserve"> shkronja “c”</w:t>
      </w:r>
      <w:r w:rsidR="00C1102F">
        <w:rPr>
          <w:rFonts w:ascii="Garamond" w:hAnsi="Garamond"/>
          <w:sz w:val="24"/>
          <w:szCs w:val="24"/>
        </w:rPr>
        <w:t>,</w:t>
      </w:r>
      <w:r w:rsidRPr="00C61A41">
        <w:rPr>
          <w:rFonts w:ascii="Garamond" w:hAnsi="Garamond"/>
          <w:sz w:val="24"/>
          <w:szCs w:val="24"/>
        </w:rPr>
        <w:t xml:space="preserve"> të ligjit nr. 133/2016, ku marrëveshjet njihen për qëllime të zbutjes së rrezikut sipas rregullave prudenciale dhe mbrojtja, veçanërisht për të ruajtur mosndashmërinë, është një kusht për atë njohje.</w:t>
      </w:r>
    </w:p>
    <w:p w14:paraId="07C5E961" w14:textId="77777777" w:rsidR="001E1764" w:rsidRPr="00C61A41" w:rsidRDefault="001E1764" w:rsidP="00C61A41">
      <w:pPr>
        <w:spacing w:after="0"/>
        <w:ind w:firstLine="284"/>
        <w:jc w:val="both"/>
        <w:rPr>
          <w:rFonts w:ascii="Garamond" w:hAnsi="Garamond"/>
          <w:sz w:val="24"/>
          <w:szCs w:val="24"/>
        </w:rPr>
      </w:pPr>
    </w:p>
    <w:p w14:paraId="4E96DA98"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7</w:t>
      </w:r>
    </w:p>
    <w:p w14:paraId="0C4CE771"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 xml:space="preserve">Kushtet lidhur me marrëveshjet e kompensimit </w:t>
      </w:r>
      <w:r w:rsidRPr="00C1102F">
        <w:rPr>
          <w:rFonts w:ascii="Garamond" w:hAnsi="Garamond"/>
          <w:b/>
          <w:i/>
          <w:sz w:val="24"/>
          <w:szCs w:val="24"/>
        </w:rPr>
        <w:t>netting</w:t>
      </w:r>
    </w:p>
    <w:p w14:paraId="7CB5AD11" w14:textId="77777777" w:rsidR="001E1764" w:rsidRPr="00C61A41" w:rsidRDefault="001E1764" w:rsidP="00C61A41">
      <w:pPr>
        <w:spacing w:after="0"/>
        <w:ind w:firstLine="284"/>
        <w:jc w:val="both"/>
        <w:rPr>
          <w:rFonts w:ascii="Garamond" w:hAnsi="Garamond"/>
          <w:sz w:val="24"/>
          <w:szCs w:val="24"/>
        </w:rPr>
      </w:pPr>
    </w:p>
    <w:p w14:paraId="7D5794F1" w14:textId="6C94463B"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1. Marrëveshjet e kompensimit </w:t>
      </w:r>
      <w:r w:rsidRPr="00C1102F">
        <w:rPr>
          <w:rFonts w:ascii="Garamond" w:hAnsi="Garamond"/>
          <w:i/>
          <w:sz w:val="24"/>
          <w:szCs w:val="24"/>
        </w:rPr>
        <w:t>netting</w:t>
      </w:r>
      <w:r w:rsidRPr="00C61A41">
        <w:rPr>
          <w:rFonts w:ascii="Garamond" w:hAnsi="Garamond"/>
          <w:sz w:val="24"/>
          <w:szCs w:val="24"/>
        </w:rPr>
        <w:t xml:space="preserve"> të lidhura ndërmjet bankës dhe një pale të vetme cilësohen si marrëveshje kompensimi </w:t>
      </w:r>
      <w:r w:rsidRPr="00C1102F">
        <w:rPr>
          <w:rFonts w:ascii="Garamond" w:hAnsi="Garamond"/>
          <w:i/>
          <w:sz w:val="24"/>
          <w:szCs w:val="24"/>
        </w:rPr>
        <w:t>netting</w:t>
      </w:r>
      <w:r w:rsidRPr="00C61A41">
        <w:rPr>
          <w:rFonts w:ascii="Garamond" w:hAnsi="Garamond"/>
          <w:sz w:val="24"/>
          <w:szCs w:val="24"/>
        </w:rPr>
        <w:t xml:space="preserve"> në përputhje me nenin 59, pika 1, shkronja “ç”</w:t>
      </w:r>
      <w:r w:rsidR="00C1102F">
        <w:rPr>
          <w:rFonts w:ascii="Garamond" w:hAnsi="Garamond"/>
          <w:sz w:val="24"/>
          <w:szCs w:val="24"/>
        </w:rPr>
        <w:t>,</w:t>
      </w:r>
      <w:r w:rsidRPr="00C61A41">
        <w:rPr>
          <w:rFonts w:ascii="Garamond" w:hAnsi="Garamond"/>
          <w:sz w:val="24"/>
          <w:szCs w:val="24"/>
        </w:rPr>
        <w:t xml:space="preserve"> të ligjit nr. 133/2016 ku ato kanë të bëjnë me të drejtat dhe detyrimet që rrjedhin nga kontratat financiare ose derivatet.</w:t>
      </w:r>
    </w:p>
    <w:p w14:paraId="23F9D8EA" w14:textId="20EEC35A"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2. Marrëveshjet e kompensimit </w:t>
      </w:r>
      <w:r w:rsidRPr="00C1102F">
        <w:rPr>
          <w:rFonts w:ascii="Garamond" w:hAnsi="Garamond"/>
          <w:i/>
          <w:sz w:val="24"/>
          <w:szCs w:val="24"/>
        </w:rPr>
        <w:t>netting</w:t>
      </w:r>
      <w:r w:rsidRPr="00C61A41">
        <w:rPr>
          <w:rFonts w:ascii="Garamond" w:hAnsi="Garamond"/>
          <w:sz w:val="24"/>
          <w:szCs w:val="24"/>
        </w:rPr>
        <w:t xml:space="preserve"> të lidhura midis bankës dhe një ose më shumë palëve do të cilësohen si marrëveshje kompensimi </w:t>
      </w:r>
      <w:r w:rsidRPr="00C1102F">
        <w:rPr>
          <w:rFonts w:ascii="Garamond" w:hAnsi="Garamond"/>
          <w:i/>
          <w:sz w:val="24"/>
          <w:szCs w:val="24"/>
        </w:rPr>
        <w:t>netting</w:t>
      </w:r>
      <w:r w:rsidRPr="00C61A41">
        <w:rPr>
          <w:rFonts w:ascii="Garamond" w:hAnsi="Garamond"/>
          <w:sz w:val="24"/>
          <w:szCs w:val="24"/>
        </w:rPr>
        <w:t xml:space="preserve"> në përputhje me nenin 59</w:t>
      </w:r>
      <w:r w:rsidR="00CF5DF1">
        <w:rPr>
          <w:rFonts w:ascii="Garamond" w:hAnsi="Garamond"/>
          <w:sz w:val="24"/>
          <w:szCs w:val="24"/>
        </w:rPr>
        <w:t>,</w:t>
      </w:r>
      <w:r w:rsidRPr="00C61A41">
        <w:rPr>
          <w:rFonts w:ascii="Garamond" w:hAnsi="Garamond"/>
          <w:sz w:val="24"/>
          <w:szCs w:val="24"/>
        </w:rPr>
        <w:t xml:space="preserve"> pika 1</w:t>
      </w:r>
      <w:r w:rsidR="00CF5DF1">
        <w:rPr>
          <w:rFonts w:ascii="Garamond" w:hAnsi="Garamond"/>
          <w:sz w:val="24"/>
          <w:szCs w:val="24"/>
        </w:rPr>
        <w:t>,</w:t>
      </w:r>
      <w:r w:rsidRPr="00C61A41">
        <w:rPr>
          <w:rFonts w:ascii="Garamond" w:hAnsi="Garamond"/>
          <w:sz w:val="24"/>
          <w:szCs w:val="24"/>
        </w:rPr>
        <w:t xml:space="preserve"> shkronja “ç”</w:t>
      </w:r>
      <w:r w:rsidR="00C1102F">
        <w:rPr>
          <w:rFonts w:ascii="Garamond" w:hAnsi="Garamond"/>
          <w:sz w:val="24"/>
          <w:szCs w:val="24"/>
        </w:rPr>
        <w:t>,</w:t>
      </w:r>
      <w:r w:rsidRPr="00C61A41">
        <w:rPr>
          <w:rFonts w:ascii="Garamond" w:hAnsi="Garamond"/>
          <w:sz w:val="24"/>
          <w:szCs w:val="24"/>
        </w:rPr>
        <w:t xml:space="preserve"> të ligjit nr. 133/2016 në rrethanat e mëposhtme:</w:t>
      </w:r>
    </w:p>
    <w:p w14:paraId="43034A1F" w14:textId="4AD0A74D"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w:t>
      </w:r>
      <w:r w:rsidR="0074025F">
        <w:rPr>
          <w:rFonts w:ascii="Garamond" w:hAnsi="Garamond"/>
          <w:sz w:val="24"/>
          <w:szCs w:val="24"/>
        </w:rPr>
        <w:t>)</w:t>
      </w:r>
      <w:r w:rsidRPr="00C61A41">
        <w:rPr>
          <w:rFonts w:ascii="Garamond" w:hAnsi="Garamond"/>
          <w:sz w:val="24"/>
          <w:szCs w:val="24"/>
        </w:rPr>
        <w:t xml:space="preserve"> kur rregullimet janë të lidhura me veprimtarinë e palës tjetër si një kundërpalë qendrore;</w:t>
      </w:r>
    </w:p>
    <w:p w14:paraId="703F5B2E" w14:textId="7187EDD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74025F">
        <w:rPr>
          <w:rFonts w:ascii="Garamond" w:hAnsi="Garamond"/>
          <w:sz w:val="24"/>
          <w:szCs w:val="24"/>
        </w:rPr>
        <w:t>)</w:t>
      </w:r>
      <w:r w:rsidRPr="00C61A41">
        <w:rPr>
          <w:rFonts w:ascii="Garamond" w:hAnsi="Garamond"/>
          <w:sz w:val="24"/>
          <w:szCs w:val="24"/>
        </w:rPr>
        <w:t xml:space="preserve"> kur marrëveshjet kanë të bëjnë me të drejtat dhe detyrimet ndaj sistemeve të pagesës ose të shlyerjes së  titujve dhe janë të lidhura me veprimtarinë e tyre si sisteme pagese ose shlyerje të titujve.</w:t>
      </w:r>
    </w:p>
    <w:p w14:paraId="4999DE55" w14:textId="216517FB"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3. Autoriteti i Ndërhyrjes së Jashtëzakonshme mund të vendosë, në raste të veçanta, që marrëveshjet e kompensimit </w:t>
      </w:r>
      <w:r w:rsidRPr="00C1102F">
        <w:rPr>
          <w:rFonts w:ascii="Garamond" w:hAnsi="Garamond"/>
          <w:i/>
          <w:sz w:val="24"/>
          <w:szCs w:val="24"/>
        </w:rPr>
        <w:t>netting</w:t>
      </w:r>
      <w:r w:rsidRPr="00C61A41">
        <w:rPr>
          <w:rFonts w:ascii="Garamond" w:hAnsi="Garamond"/>
          <w:sz w:val="24"/>
          <w:szCs w:val="24"/>
        </w:rPr>
        <w:t xml:space="preserve"> të lidhura ndërmjet një banke dhe një ose më shumë palëve mund të cilësohen si një marrëveshje kompensimi </w:t>
      </w:r>
      <w:r w:rsidRPr="00C1102F">
        <w:rPr>
          <w:rFonts w:ascii="Garamond" w:hAnsi="Garamond"/>
          <w:i/>
          <w:sz w:val="24"/>
          <w:szCs w:val="24"/>
        </w:rPr>
        <w:t>netting</w:t>
      </w:r>
      <w:r w:rsidRPr="00C61A41">
        <w:rPr>
          <w:rFonts w:ascii="Garamond" w:hAnsi="Garamond"/>
          <w:sz w:val="24"/>
          <w:szCs w:val="24"/>
        </w:rPr>
        <w:t xml:space="preserve"> në përputhje me nenin 59, pika 1, shkronja “ç”</w:t>
      </w:r>
      <w:r w:rsidR="00C1102F">
        <w:rPr>
          <w:rFonts w:ascii="Garamond" w:hAnsi="Garamond"/>
          <w:sz w:val="24"/>
          <w:szCs w:val="24"/>
        </w:rPr>
        <w:t>,</w:t>
      </w:r>
      <w:r w:rsidRPr="00C61A41">
        <w:rPr>
          <w:rFonts w:ascii="Garamond" w:hAnsi="Garamond"/>
          <w:sz w:val="24"/>
          <w:szCs w:val="24"/>
        </w:rPr>
        <w:t xml:space="preserve"> të ligjit nr. 133/2016, kur ato njihen për qëllimet e zbutjes së rrezikut sipas rregullave prudenciale dhe mbrojtja, veçanërisht për mosndashmërinë, është një kusht për atë njohje.</w:t>
      </w:r>
    </w:p>
    <w:p w14:paraId="2EF34F00" w14:textId="77777777" w:rsidR="001E1764" w:rsidRPr="00C61A41" w:rsidRDefault="001E1764" w:rsidP="00C61A41">
      <w:pPr>
        <w:spacing w:after="0"/>
        <w:ind w:firstLine="284"/>
        <w:jc w:val="both"/>
        <w:rPr>
          <w:rFonts w:ascii="Garamond" w:hAnsi="Garamond"/>
          <w:sz w:val="24"/>
          <w:szCs w:val="24"/>
        </w:rPr>
      </w:pPr>
    </w:p>
    <w:p w14:paraId="472A90F6"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8</w:t>
      </w:r>
    </w:p>
    <w:p w14:paraId="4707FEAA"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Kushtet e përgjithshme që zbatohen për marrëveshjet e garancisë, marrëveshjet e kompensimit set-off dhe netting dhe marrëveshjet e tjera financiare</w:t>
      </w:r>
    </w:p>
    <w:p w14:paraId="60BD6D78" w14:textId="77777777" w:rsidR="001E1764" w:rsidRPr="00C61A41" w:rsidRDefault="001E1764" w:rsidP="00C61A41">
      <w:pPr>
        <w:spacing w:after="0"/>
        <w:ind w:firstLine="284"/>
        <w:jc w:val="both"/>
        <w:rPr>
          <w:rFonts w:ascii="Garamond" w:hAnsi="Garamond"/>
          <w:sz w:val="24"/>
          <w:szCs w:val="24"/>
        </w:rPr>
      </w:pPr>
    </w:p>
    <w:p w14:paraId="18C19CAC" w14:textId="6602E110"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1. Nenet 5, 6 dhe 7 në këtë rregullore nuk kufizojnë kompetencat e mëposhtme të Autoritetit të Ndërhyrjes së Jashtëzakonshme:</w:t>
      </w:r>
    </w:p>
    <w:p w14:paraId="56A42EF3" w14:textId="2E29D661"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w:t>
      </w:r>
      <w:r w:rsidR="00CF5DF1">
        <w:rPr>
          <w:rFonts w:ascii="Garamond" w:hAnsi="Garamond"/>
          <w:sz w:val="24"/>
          <w:szCs w:val="24"/>
        </w:rPr>
        <w:t>)</w:t>
      </w:r>
      <w:r w:rsidRPr="00C61A41">
        <w:rPr>
          <w:rFonts w:ascii="Garamond" w:hAnsi="Garamond"/>
          <w:sz w:val="24"/>
          <w:szCs w:val="24"/>
        </w:rPr>
        <w:t xml:space="preserve"> për të mbrojtur çdo lloj marrëveshjeje që mund të përfshihet në një nga klasat e shkronjave “a”, “c”, “ç”, “dh” në pikën 1</w:t>
      </w:r>
      <w:r w:rsidR="00CF5DF1">
        <w:rPr>
          <w:rFonts w:ascii="Garamond" w:hAnsi="Garamond"/>
          <w:sz w:val="24"/>
          <w:szCs w:val="24"/>
        </w:rPr>
        <w:t>,</w:t>
      </w:r>
      <w:r w:rsidRPr="00C61A41">
        <w:rPr>
          <w:rFonts w:ascii="Garamond" w:hAnsi="Garamond"/>
          <w:sz w:val="24"/>
          <w:szCs w:val="24"/>
        </w:rPr>
        <w:t xml:space="preserve"> të nenit 59</w:t>
      </w:r>
      <w:r w:rsidR="007374C3">
        <w:rPr>
          <w:rFonts w:ascii="Garamond" w:hAnsi="Garamond"/>
          <w:sz w:val="24"/>
          <w:szCs w:val="24"/>
        </w:rPr>
        <w:t>,</w:t>
      </w:r>
      <w:r w:rsidRPr="00C61A41">
        <w:rPr>
          <w:rFonts w:ascii="Garamond" w:hAnsi="Garamond"/>
          <w:sz w:val="24"/>
          <w:szCs w:val="24"/>
        </w:rPr>
        <w:t xml:space="preserve"> të ligjit nr.</w:t>
      </w:r>
      <w:r w:rsidR="00CF5DF1">
        <w:rPr>
          <w:rFonts w:ascii="Garamond" w:hAnsi="Garamond"/>
          <w:sz w:val="24"/>
          <w:szCs w:val="24"/>
        </w:rPr>
        <w:t xml:space="preserve"> </w:t>
      </w:r>
      <w:r w:rsidRPr="00C61A41">
        <w:rPr>
          <w:rFonts w:ascii="Garamond" w:hAnsi="Garamond"/>
          <w:sz w:val="24"/>
          <w:szCs w:val="24"/>
        </w:rPr>
        <w:t xml:space="preserve">133/2016, dhe të cilat në procedurat e likuidimit të detyruar mund të jenë objekt i një ndarjeje të përkohshme;  </w:t>
      </w:r>
    </w:p>
    <w:p w14:paraId="73AA1084" w14:textId="2ED683D5"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CF5DF1">
        <w:rPr>
          <w:rFonts w:ascii="Garamond" w:hAnsi="Garamond"/>
          <w:sz w:val="24"/>
          <w:szCs w:val="24"/>
        </w:rPr>
        <w:t>)</w:t>
      </w:r>
      <w:r w:rsidRPr="00C61A41">
        <w:rPr>
          <w:rFonts w:ascii="Garamond" w:hAnsi="Garamond"/>
          <w:sz w:val="24"/>
          <w:szCs w:val="24"/>
        </w:rPr>
        <w:t xml:space="preserve"> për të mbrojtur çdo lloj marrëveshjeje që nuk përfshihet në nenin 59, pika 1</w:t>
      </w:r>
      <w:r w:rsidR="00CF5DF1">
        <w:rPr>
          <w:rFonts w:ascii="Garamond" w:hAnsi="Garamond"/>
          <w:sz w:val="24"/>
          <w:szCs w:val="24"/>
        </w:rPr>
        <w:t>,</w:t>
      </w:r>
      <w:r w:rsidRPr="00C61A41">
        <w:rPr>
          <w:rFonts w:ascii="Garamond" w:hAnsi="Garamond"/>
          <w:sz w:val="24"/>
          <w:szCs w:val="24"/>
        </w:rPr>
        <w:t xml:space="preserve"> të ligjit nr. 133/2016 dhe të cilat në procedurat e likuidimit të detyruar mund të jenë objekt i  një ndarjeje të përkohshme. </w:t>
      </w:r>
    </w:p>
    <w:p w14:paraId="5E489BE6" w14:textId="58CEB85F"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2. Autoriteti i Ndërhyrjes së Jashtëzakonshme, në raste të veçanta, mund të përjashtojë nga mbrojtja e dhënë në nenin 59, pika 2 të ligjit nr. 133/2016, marrëveshjet e garancisë, ose marrëveshjet e kompensimit </w:t>
      </w:r>
      <w:r w:rsidRPr="00CF5DF1">
        <w:rPr>
          <w:rFonts w:ascii="Garamond" w:hAnsi="Garamond"/>
          <w:i/>
          <w:sz w:val="24"/>
          <w:szCs w:val="24"/>
        </w:rPr>
        <w:t>set-off</w:t>
      </w:r>
      <w:r w:rsidRPr="00C61A41">
        <w:rPr>
          <w:rFonts w:ascii="Garamond" w:hAnsi="Garamond"/>
          <w:sz w:val="24"/>
          <w:szCs w:val="24"/>
        </w:rPr>
        <w:t xml:space="preserve"> dhe </w:t>
      </w:r>
      <w:r w:rsidRPr="00CF5DF1">
        <w:rPr>
          <w:rFonts w:ascii="Garamond" w:hAnsi="Garamond"/>
          <w:i/>
          <w:sz w:val="24"/>
          <w:szCs w:val="24"/>
        </w:rPr>
        <w:t>netting</w:t>
      </w:r>
      <w:r w:rsidRPr="00C61A41">
        <w:rPr>
          <w:rFonts w:ascii="Garamond" w:hAnsi="Garamond"/>
          <w:sz w:val="24"/>
          <w:szCs w:val="24"/>
        </w:rPr>
        <w:t xml:space="preserve"> që kanë të bëjnë me kontratat që përfshijnë klauzola të cilat, në raste paaftësie paguese të palës tjetër, lejon një palë me aftësi paguese të bëjë vetëm pagesa të kufizuara ose të mos bëjë pagesa ndaj palës në paaftësi paguese, edhe nëse kjo palë është një kreditore neto. </w:t>
      </w:r>
    </w:p>
    <w:p w14:paraId="2291C1D0" w14:textId="77777777" w:rsidR="001E1764" w:rsidRPr="00C61A41" w:rsidRDefault="001E1764" w:rsidP="00C61A41">
      <w:pPr>
        <w:spacing w:after="0"/>
        <w:ind w:firstLine="284"/>
        <w:jc w:val="both"/>
        <w:rPr>
          <w:rFonts w:ascii="Garamond" w:hAnsi="Garamond"/>
          <w:sz w:val="24"/>
          <w:szCs w:val="24"/>
        </w:rPr>
      </w:pPr>
    </w:p>
    <w:p w14:paraId="4CC51AAF"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9</w:t>
      </w:r>
    </w:p>
    <w:p w14:paraId="409D8869"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lastRenderedPageBreak/>
        <w:t>Kushtet në lidhje me marrëveshjet e tjera financiare, duke përfshirë titullzimet dhe instrumentet e përdorura për qëllime të zbutjes së rrezikut (</w:t>
      </w:r>
      <w:r w:rsidRPr="007374C3">
        <w:rPr>
          <w:rFonts w:ascii="Garamond" w:hAnsi="Garamond"/>
          <w:b/>
          <w:i/>
          <w:sz w:val="24"/>
          <w:szCs w:val="24"/>
        </w:rPr>
        <w:t>hedging</w:t>
      </w:r>
      <w:r w:rsidRPr="00C61A41">
        <w:rPr>
          <w:rFonts w:ascii="Garamond" w:hAnsi="Garamond"/>
          <w:b/>
          <w:sz w:val="24"/>
          <w:szCs w:val="24"/>
        </w:rPr>
        <w:t>)</w:t>
      </w:r>
    </w:p>
    <w:p w14:paraId="5E1D7E04" w14:textId="77777777" w:rsidR="001E1764" w:rsidRPr="00C61A41" w:rsidRDefault="001E1764" w:rsidP="00C61A41">
      <w:pPr>
        <w:spacing w:after="0"/>
        <w:ind w:firstLine="284"/>
        <w:jc w:val="both"/>
        <w:rPr>
          <w:rFonts w:ascii="Garamond" w:hAnsi="Garamond"/>
          <w:sz w:val="24"/>
          <w:szCs w:val="24"/>
        </w:rPr>
      </w:pPr>
    </w:p>
    <w:p w14:paraId="76870001" w14:textId="1B66ECD5"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1. Marrëveshjet e tjera financiare të përmendura në nenin 59, pika 1, shkronja “dh” të ligjit nr. 133/2016 përfshijnë sa vijon:</w:t>
      </w:r>
    </w:p>
    <w:p w14:paraId="34181ABA" w14:textId="1DF09BDB"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a</w:t>
      </w:r>
      <w:r w:rsidR="007374C3">
        <w:rPr>
          <w:rFonts w:ascii="Garamond" w:hAnsi="Garamond"/>
          <w:sz w:val="24"/>
          <w:szCs w:val="24"/>
        </w:rPr>
        <w:t>)</w:t>
      </w:r>
      <w:r w:rsidRPr="00C61A41">
        <w:rPr>
          <w:rFonts w:ascii="Garamond" w:hAnsi="Garamond"/>
          <w:sz w:val="24"/>
          <w:szCs w:val="24"/>
        </w:rPr>
        <w:t xml:space="preserve"> titullzimet në të cilat ekspozimet themelore janë vendosur në transhe dhe janë transferuar me një transferim të plotë të titullit nga bilanci i palës inicuese në ndërhyrje të jashtëzakonshme (titullzim </w:t>
      </w:r>
      <w:r w:rsidRPr="007374C3">
        <w:rPr>
          <w:rFonts w:ascii="Garamond" w:hAnsi="Garamond"/>
          <w:i/>
          <w:sz w:val="24"/>
          <w:szCs w:val="24"/>
        </w:rPr>
        <w:t>true sale</w:t>
      </w:r>
      <w:r w:rsidRPr="00C61A41">
        <w:rPr>
          <w:rFonts w:ascii="Garamond" w:hAnsi="Garamond"/>
          <w:sz w:val="24"/>
          <w:szCs w:val="24"/>
        </w:rPr>
        <w:t>). Në këto titullzime, çdo rol i palës iniciuese, duke përfshirë shërbimin e huas, ofrimin e çfarëdo forme të mbrojtjes ndaj rrezikut ose ofrimin e likuiditetit, konsiderohet si një detyrim që bën pjesë në marrëveshjet e tjera financiare.</w:t>
      </w:r>
    </w:p>
    <w:p w14:paraId="1BC62EDC" w14:textId="373C435A"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b</w:t>
      </w:r>
      <w:r w:rsidR="007374C3">
        <w:rPr>
          <w:rFonts w:ascii="Garamond" w:hAnsi="Garamond"/>
          <w:sz w:val="24"/>
          <w:szCs w:val="24"/>
        </w:rPr>
        <w:t>)</w:t>
      </w:r>
      <w:r w:rsidRPr="00C61A41">
        <w:rPr>
          <w:rFonts w:ascii="Garamond" w:hAnsi="Garamond"/>
          <w:sz w:val="24"/>
          <w:szCs w:val="24"/>
        </w:rPr>
        <w:t xml:space="preserve"> titullzimet me anë të instrumenteve kontraktuale, kur aktivet themelore mbeten në bilancin e bankës në ndërhyrje të jashtëzakonshme (titullzim sintetik). Në këto titullzime, interesi i letrës me vlerë konsiderohet si e drejtë që bën pjesë në marrëveshjen financiare vetëm nëse është i bashkëngjitur në aktive të cilat janë mjaftueshëm të identifikuara ose të identifikueshme në përputhje me kushtet e marrëveshjes dhe ligjin në fuqi.</w:t>
      </w:r>
    </w:p>
    <w:p w14:paraId="1D0066DF" w14:textId="207570CC"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2. Marrëveshjet që përbëjnë një strukturë të titullzimit e cila mbulon marrëdhëniet e ndërsjella midis iniciuesve, emetuesve, trustees, ofruesit të shërbimit, administrimit të </w:t>
      </w:r>
      <w:r w:rsidRPr="007374C3">
        <w:rPr>
          <w:rFonts w:ascii="Garamond" w:hAnsi="Garamond"/>
          <w:i/>
          <w:sz w:val="24"/>
          <w:szCs w:val="24"/>
        </w:rPr>
        <w:t>cash</w:t>
      </w:r>
      <w:r w:rsidRPr="00C61A41">
        <w:rPr>
          <w:rFonts w:ascii="Garamond" w:hAnsi="Garamond"/>
          <w:sz w:val="24"/>
          <w:szCs w:val="24"/>
        </w:rPr>
        <w:t xml:space="preserve">-it dhe kundërpalëve të </w:t>
      </w:r>
      <w:r w:rsidRPr="007374C3">
        <w:rPr>
          <w:rFonts w:ascii="Garamond" w:hAnsi="Garamond"/>
          <w:i/>
          <w:sz w:val="24"/>
          <w:szCs w:val="24"/>
        </w:rPr>
        <w:t>swap</w:t>
      </w:r>
      <w:r w:rsidRPr="00C61A41">
        <w:rPr>
          <w:rFonts w:ascii="Garamond" w:hAnsi="Garamond"/>
          <w:sz w:val="24"/>
          <w:szCs w:val="24"/>
        </w:rPr>
        <w:t>-it apo mbrojtjes ndaj riskut të kredisë, konsiderohen se formojnë pjesë të marrëveshjeve të tjera financiare, nëse ato marrëdhënie reciproke janë të lidhura drejtpërdrejt me aktivet themelore dhe me pagesat që do të bëhen nga të ardhurat e gjeneruara nga këto aktive për mbajtësit e instrumenteve të strukturuara. Këto marrëdhënie reciproke përfshijnë detyrime dhe të drejta në lidhje me aktivet themelore, detyrimet nën instrumentet e emetuara dhe marrëveshjet e garancisë, përfshirë transaksionet derivative, të kërkuara për ruajtjen e fluksit të pagesave sipas këtyre detyrimeve.</w:t>
      </w:r>
    </w:p>
    <w:p w14:paraId="33772E49" w14:textId="3297D0F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3. Pika 2 në këtë nen, nuk cenon kompetencën e Autoritetit të Ndërhyrjes së Jashtëzakonshme për të vendosur, rast pas rasti dhe duke marrë në konsideratë strukturën specifike të marrëveshjeve të tjera financiare në përputhje me nenin 59, pika 1, shkronja “dh” të ligjit nr. 133/2016, që marrëveshjet e tjera midis palëve të përmendura në pikën 2, të tilla si marrëveshjet e shërbimit të huas, të cilat nuk janë të lidhura drejtpërdrejt me aktivet themelore dhe pagesat që do të bëhen, të bëjnë pjesë në marrëveshjet e tjera financiare.</w:t>
      </w:r>
    </w:p>
    <w:p w14:paraId="7E3785FA" w14:textId="77777777" w:rsidR="001E1764" w:rsidRPr="00C61A41" w:rsidRDefault="001E1764" w:rsidP="00C61A41">
      <w:pPr>
        <w:spacing w:after="0"/>
        <w:ind w:firstLine="284"/>
        <w:jc w:val="both"/>
        <w:rPr>
          <w:rFonts w:ascii="Garamond" w:hAnsi="Garamond"/>
          <w:sz w:val="24"/>
          <w:szCs w:val="24"/>
        </w:rPr>
      </w:pPr>
    </w:p>
    <w:p w14:paraId="331BB165" w14:textId="77777777" w:rsidR="001E1764" w:rsidRPr="00C61A41" w:rsidRDefault="001E1764" w:rsidP="00C61A41">
      <w:pPr>
        <w:spacing w:after="0"/>
        <w:ind w:firstLine="284"/>
        <w:jc w:val="center"/>
        <w:rPr>
          <w:rFonts w:ascii="Garamond" w:hAnsi="Garamond"/>
          <w:sz w:val="24"/>
          <w:szCs w:val="24"/>
        </w:rPr>
      </w:pPr>
      <w:r w:rsidRPr="00C61A41">
        <w:rPr>
          <w:rFonts w:ascii="Garamond" w:hAnsi="Garamond"/>
          <w:sz w:val="24"/>
          <w:szCs w:val="24"/>
        </w:rPr>
        <w:t>Neni 10</w:t>
      </w:r>
    </w:p>
    <w:p w14:paraId="487146FC" w14:textId="77777777" w:rsidR="001E1764" w:rsidRPr="00C61A41" w:rsidRDefault="001E1764" w:rsidP="00C61A41">
      <w:pPr>
        <w:spacing w:after="0"/>
        <w:ind w:firstLine="284"/>
        <w:jc w:val="center"/>
        <w:rPr>
          <w:rFonts w:ascii="Garamond" w:hAnsi="Garamond"/>
          <w:b/>
          <w:sz w:val="24"/>
          <w:szCs w:val="24"/>
        </w:rPr>
      </w:pPr>
      <w:r w:rsidRPr="00C61A41">
        <w:rPr>
          <w:rFonts w:ascii="Garamond" w:hAnsi="Garamond"/>
          <w:b/>
          <w:sz w:val="24"/>
          <w:szCs w:val="24"/>
        </w:rPr>
        <w:t>Identifikimi i marrëveshjeve sipas kushteve të përcaktuara në këtë rregullore</w:t>
      </w:r>
    </w:p>
    <w:p w14:paraId="3CBCFC7A" w14:textId="77777777" w:rsidR="001E1764" w:rsidRPr="00C61A41" w:rsidRDefault="001E1764" w:rsidP="00C61A41">
      <w:pPr>
        <w:spacing w:after="0"/>
        <w:ind w:firstLine="284"/>
        <w:jc w:val="center"/>
        <w:rPr>
          <w:rFonts w:ascii="Garamond" w:hAnsi="Garamond"/>
          <w:sz w:val="24"/>
          <w:szCs w:val="24"/>
        </w:rPr>
      </w:pPr>
    </w:p>
    <w:p w14:paraId="392EA060" w14:textId="77777777" w:rsidR="001E1764" w:rsidRPr="00C61A41" w:rsidRDefault="001E1764" w:rsidP="00C61A41">
      <w:pPr>
        <w:spacing w:after="0"/>
        <w:ind w:firstLine="284"/>
        <w:jc w:val="both"/>
        <w:rPr>
          <w:rFonts w:ascii="Garamond" w:hAnsi="Garamond"/>
          <w:sz w:val="24"/>
          <w:szCs w:val="24"/>
        </w:rPr>
      </w:pPr>
      <w:r w:rsidRPr="00C61A41">
        <w:rPr>
          <w:rFonts w:ascii="Garamond" w:hAnsi="Garamond"/>
          <w:sz w:val="24"/>
          <w:szCs w:val="24"/>
        </w:rPr>
        <w:t xml:space="preserve">Në përputhje me përcaktimet në këtë rregullore, banka kujdeset për identifikimin e marrëveshjeve sipas kushteve të përcaktuara në këtë rregullore dhe mbajtjen e një regjistri të veçantë për to. </w:t>
      </w:r>
    </w:p>
    <w:p w14:paraId="4CCB445D" w14:textId="1A2008E2" w:rsidR="001E1764" w:rsidRDefault="00D800D7" w:rsidP="00D800D7">
      <w:pPr>
        <w:spacing w:after="0"/>
        <w:ind w:firstLine="284"/>
        <w:jc w:val="right"/>
        <w:rPr>
          <w:rFonts w:ascii="Garamond" w:hAnsi="Garamond"/>
          <w:sz w:val="24"/>
          <w:szCs w:val="24"/>
        </w:rPr>
      </w:pPr>
      <w:r>
        <w:rPr>
          <w:rFonts w:ascii="Garamond" w:hAnsi="Garamond"/>
          <w:sz w:val="24"/>
          <w:szCs w:val="24"/>
        </w:rPr>
        <w:t xml:space="preserve"> KRYETAR I KËSHILLIT MBIKËQYRËS</w:t>
      </w:r>
    </w:p>
    <w:p w14:paraId="33352D85" w14:textId="7755E4CC" w:rsidR="00D800D7" w:rsidRPr="00D800D7" w:rsidRDefault="00D800D7" w:rsidP="00D800D7">
      <w:pPr>
        <w:spacing w:after="0"/>
        <w:ind w:firstLine="284"/>
        <w:jc w:val="right"/>
        <w:rPr>
          <w:rFonts w:ascii="Garamond" w:hAnsi="Garamond"/>
          <w:b/>
          <w:sz w:val="24"/>
          <w:szCs w:val="24"/>
        </w:rPr>
      </w:pPr>
      <w:bookmarkStart w:id="0" w:name="_GoBack"/>
      <w:bookmarkEnd w:id="0"/>
      <w:r w:rsidRPr="00D800D7">
        <w:rPr>
          <w:rFonts w:ascii="Garamond" w:hAnsi="Garamond"/>
          <w:b/>
          <w:sz w:val="24"/>
          <w:szCs w:val="24"/>
        </w:rPr>
        <w:t>Gent Sejko</w:t>
      </w:r>
    </w:p>
    <w:sectPr w:rsidR="00D800D7" w:rsidRPr="00D800D7" w:rsidSect="00C61A41">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72954" w14:textId="77777777" w:rsidR="003A3EEE" w:rsidRDefault="003A3EEE" w:rsidP="005E22EB">
      <w:pPr>
        <w:spacing w:after="0"/>
      </w:pPr>
      <w:r>
        <w:separator/>
      </w:r>
    </w:p>
  </w:endnote>
  <w:endnote w:type="continuationSeparator" w:id="0">
    <w:p w14:paraId="31E5D779" w14:textId="77777777" w:rsidR="003A3EEE" w:rsidRDefault="003A3EEE" w:rsidP="005E22EB">
      <w:pPr>
        <w:spacing w:after="0"/>
      </w:pPr>
      <w:r>
        <w:continuationSeparator/>
      </w:r>
    </w:p>
  </w:endnote>
  <w:endnote w:type="continuationNotice" w:id="1">
    <w:p w14:paraId="51616A00" w14:textId="77777777" w:rsidR="003A3EEE" w:rsidRDefault="003A3EE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2361F" w14:textId="77777777" w:rsidR="003A3EEE" w:rsidRDefault="003A3E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A9544A" w14:textId="77777777" w:rsidR="003A3EEE" w:rsidRDefault="003A3EEE" w:rsidP="005E22EB">
      <w:pPr>
        <w:spacing w:after="0"/>
      </w:pPr>
      <w:r>
        <w:separator/>
      </w:r>
    </w:p>
  </w:footnote>
  <w:footnote w:type="continuationSeparator" w:id="0">
    <w:p w14:paraId="51BD9C16" w14:textId="77777777" w:rsidR="003A3EEE" w:rsidRDefault="003A3EEE" w:rsidP="005E22EB">
      <w:pPr>
        <w:spacing w:after="0"/>
      </w:pPr>
      <w:r>
        <w:continuationSeparator/>
      </w:r>
    </w:p>
  </w:footnote>
  <w:footnote w:type="continuationNotice" w:id="1">
    <w:p w14:paraId="6445E208" w14:textId="77777777" w:rsidR="003A3EEE" w:rsidRDefault="003A3EEE">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BF190" w14:textId="77777777" w:rsidR="003A3EEE" w:rsidRDefault="003A3E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30046"/>
    <w:multiLevelType w:val="hybridMultilevel"/>
    <w:tmpl w:val="71707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E612D"/>
    <w:multiLevelType w:val="hybridMultilevel"/>
    <w:tmpl w:val="41F011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FB0411"/>
    <w:multiLevelType w:val="hybridMultilevel"/>
    <w:tmpl w:val="6DACF7D4"/>
    <w:lvl w:ilvl="0" w:tplc="0409000F">
      <w:start w:val="1"/>
      <w:numFmt w:val="decimal"/>
      <w:lvlText w:val="%1."/>
      <w:lvlJc w:val="left"/>
      <w:pPr>
        <w:ind w:left="720" w:hanging="360"/>
      </w:pPr>
      <w:rPr>
        <w:rFonts w:hint="default"/>
      </w:rPr>
    </w:lvl>
    <w:lvl w:ilvl="1" w:tplc="1C3A50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DB533C"/>
    <w:multiLevelType w:val="hybridMultilevel"/>
    <w:tmpl w:val="D1ECCF1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AE77158"/>
    <w:multiLevelType w:val="hybridMultilevel"/>
    <w:tmpl w:val="1BDE5F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E86E92"/>
    <w:multiLevelType w:val="hybridMultilevel"/>
    <w:tmpl w:val="41F011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E838EC"/>
    <w:multiLevelType w:val="hybridMultilevel"/>
    <w:tmpl w:val="DCE018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652CF7"/>
    <w:multiLevelType w:val="hybridMultilevel"/>
    <w:tmpl w:val="1BDE5F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1AF4BCB"/>
    <w:multiLevelType w:val="hybridMultilevel"/>
    <w:tmpl w:val="F322E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1B0E3E"/>
    <w:multiLevelType w:val="hybridMultilevel"/>
    <w:tmpl w:val="41F011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FD64E3"/>
    <w:multiLevelType w:val="hybridMultilevel"/>
    <w:tmpl w:val="218C5A1E"/>
    <w:lvl w:ilvl="0" w:tplc="E7DC7970">
      <w:start w:val="1"/>
      <w:numFmt w:val="lowerLetter"/>
      <w:lvlText w:val="%1."/>
      <w:lvlJc w:val="left"/>
      <w:pPr>
        <w:ind w:left="1350" w:hanging="360"/>
      </w:pPr>
      <w:rPr>
        <w:rFonts w:hint="default"/>
      </w:r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1">
    <w:nsid w:val="5E7905F6"/>
    <w:multiLevelType w:val="hybridMultilevel"/>
    <w:tmpl w:val="B39611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B92532"/>
    <w:multiLevelType w:val="hybridMultilevel"/>
    <w:tmpl w:val="BE045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2D7628"/>
    <w:multiLevelType w:val="hybridMultilevel"/>
    <w:tmpl w:val="1542E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4"/>
  </w:num>
  <w:num w:numId="5">
    <w:abstractNumId w:val="12"/>
  </w:num>
  <w:num w:numId="6">
    <w:abstractNumId w:val="13"/>
  </w:num>
  <w:num w:numId="7">
    <w:abstractNumId w:val="0"/>
  </w:num>
  <w:num w:numId="8">
    <w:abstractNumId w:val="11"/>
  </w:num>
  <w:num w:numId="9">
    <w:abstractNumId w:val="6"/>
  </w:num>
  <w:num w:numId="10">
    <w:abstractNumId w:val="9"/>
  </w:num>
  <w:num w:numId="11">
    <w:abstractNumId w:val="7"/>
  </w:num>
  <w:num w:numId="12">
    <w:abstractNumId w:val="1"/>
  </w:num>
  <w:num w:numId="13">
    <w:abstractNumId w:val="5"/>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AD6"/>
    <w:rsid w:val="000218E8"/>
    <w:rsid w:val="00031A8D"/>
    <w:rsid w:val="00033149"/>
    <w:rsid w:val="00084809"/>
    <w:rsid w:val="00094AD6"/>
    <w:rsid w:val="0009720B"/>
    <w:rsid w:val="000A2FE4"/>
    <w:rsid w:val="000B2AE8"/>
    <w:rsid w:val="000D6B64"/>
    <w:rsid w:val="000D7659"/>
    <w:rsid w:val="000F4CC8"/>
    <w:rsid w:val="0010500A"/>
    <w:rsid w:val="00161569"/>
    <w:rsid w:val="001620A2"/>
    <w:rsid w:val="00162D83"/>
    <w:rsid w:val="001650A2"/>
    <w:rsid w:val="00187367"/>
    <w:rsid w:val="001B2D4F"/>
    <w:rsid w:val="001C718F"/>
    <w:rsid w:val="001E1764"/>
    <w:rsid w:val="001E3129"/>
    <w:rsid w:val="001E6F8E"/>
    <w:rsid w:val="002069B0"/>
    <w:rsid w:val="00216169"/>
    <w:rsid w:val="0023133F"/>
    <w:rsid w:val="00234B0F"/>
    <w:rsid w:val="0024699A"/>
    <w:rsid w:val="00265B22"/>
    <w:rsid w:val="002A194F"/>
    <w:rsid w:val="002C4533"/>
    <w:rsid w:val="002E757C"/>
    <w:rsid w:val="003116F0"/>
    <w:rsid w:val="00325C3F"/>
    <w:rsid w:val="0034341E"/>
    <w:rsid w:val="00350CB9"/>
    <w:rsid w:val="00353DC5"/>
    <w:rsid w:val="003609CD"/>
    <w:rsid w:val="00383724"/>
    <w:rsid w:val="003A3EEE"/>
    <w:rsid w:val="003B4930"/>
    <w:rsid w:val="003D695A"/>
    <w:rsid w:val="003D697C"/>
    <w:rsid w:val="00400117"/>
    <w:rsid w:val="0042000B"/>
    <w:rsid w:val="00451FF5"/>
    <w:rsid w:val="004627DC"/>
    <w:rsid w:val="004719EA"/>
    <w:rsid w:val="0047674C"/>
    <w:rsid w:val="00482DF3"/>
    <w:rsid w:val="0048491C"/>
    <w:rsid w:val="00490896"/>
    <w:rsid w:val="00497BB8"/>
    <w:rsid w:val="004A1B1B"/>
    <w:rsid w:val="004B2582"/>
    <w:rsid w:val="004F3AAB"/>
    <w:rsid w:val="00542AB7"/>
    <w:rsid w:val="005579E2"/>
    <w:rsid w:val="00565F14"/>
    <w:rsid w:val="00596FE7"/>
    <w:rsid w:val="005A776E"/>
    <w:rsid w:val="005B27F1"/>
    <w:rsid w:val="005B29C6"/>
    <w:rsid w:val="005C0254"/>
    <w:rsid w:val="005C2239"/>
    <w:rsid w:val="005E22EB"/>
    <w:rsid w:val="0060263A"/>
    <w:rsid w:val="00621B44"/>
    <w:rsid w:val="00621B72"/>
    <w:rsid w:val="00630F19"/>
    <w:rsid w:val="00665AD7"/>
    <w:rsid w:val="006863F1"/>
    <w:rsid w:val="006A52FE"/>
    <w:rsid w:val="006C374A"/>
    <w:rsid w:val="006C7F60"/>
    <w:rsid w:val="006D60D2"/>
    <w:rsid w:val="00701532"/>
    <w:rsid w:val="00722011"/>
    <w:rsid w:val="007302DF"/>
    <w:rsid w:val="00734179"/>
    <w:rsid w:val="00735A05"/>
    <w:rsid w:val="00735F8F"/>
    <w:rsid w:val="007360EC"/>
    <w:rsid w:val="007374C3"/>
    <w:rsid w:val="0074025F"/>
    <w:rsid w:val="00747364"/>
    <w:rsid w:val="00775EC8"/>
    <w:rsid w:val="007839AB"/>
    <w:rsid w:val="007A0EA1"/>
    <w:rsid w:val="007B4A15"/>
    <w:rsid w:val="007D0197"/>
    <w:rsid w:val="007E14B3"/>
    <w:rsid w:val="007F1DFD"/>
    <w:rsid w:val="00803B1E"/>
    <w:rsid w:val="00811D1C"/>
    <w:rsid w:val="0082263E"/>
    <w:rsid w:val="008241E7"/>
    <w:rsid w:val="00831331"/>
    <w:rsid w:val="00835E68"/>
    <w:rsid w:val="008661F2"/>
    <w:rsid w:val="00880C28"/>
    <w:rsid w:val="008926EB"/>
    <w:rsid w:val="008B2B55"/>
    <w:rsid w:val="00901BFA"/>
    <w:rsid w:val="00911914"/>
    <w:rsid w:val="00931841"/>
    <w:rsid w:val="00936B09"/>
    <w:rsid w:val="00937820"/>
    <w:rsid w:val="00952313"/>
    <w:rsid w:val="00975C48"/>
    <w:rsid w:val="009A10C3"/>
    <w:rsid w:val="009C020C"/>
    <w:rsid w:val="009D752B"/>
    <w:rsid w:val="009E0A9E"/>
    <w:rsid w:val="009F2B82"/>
    <w:rsid w:val="00A3138F"/>
    <w:rsid w:val="00A74190"/>
    <w:rsid w:val="00AD6A22"/>
    <w:rsid w:val="00AF0968"/>
    <w:rsid w:val="00B0283B"/>
    <w:rsid w:val="00B2353D"/>
    <w:rsid w:val="00B44976"/>
    <w:rsid w:val="00B84128"/>
    <w:rsid w:val="00BC5120"/>
    <w:rsid w:val="00BF2DED"/>
    <w:rsid w:val="00C1102F"/>
    <w:rsid w:val="00C12953"/>
    <w:rsid w:val="00C300B5"/>
    <w:rsid w:val="00C34103"/>
    <w:rsid w:val="00C44665"/>
    <w:rsid w:val="00C52FE9"/>
    <w:rsid w:val="00C61A41"/>
    <w:rsid w:val="00C66E75"/>
    <w:rsid w:val="00C76117"/>
    <w:rsid w:val="00C9270C"/>
    <w:rsid w:val="00CA79D5"/>
    <w:rsid w:val="00CB299E"/>
    <w:rsid w:val="00CC334B"/>
    <w:rsid w:val="00CC7535"/>
    <w:rsid w:val="00CD61CB"/>
    <w:rsid w:val="00CE3081"/>
    <w:rsid w:val="00CE77F8"/>
    <w:rsid w:val="00CF3D7B"/>
    <w:rsid w:val="00CF5DF1"/>
    <w:rsid w:val="00D221D9"/>
    <w:rsid w:val="00D47C50"/>
    <w:rsid w:val="00D576E9"/>
    <w:rsid w:val="00D61D2D"/>
    <w:rsid w:val="00D740CD"/>
    <w:rsid w:val="00D77D79"/>
    <w:rsid w:val="00D800D7"/>
    <w:rsid w:val="00D825C3"/>
    <w:rsid w:val="00DC30DD"/>
    <w:rsid w:val="00DD3C0E"/>
    <w:rsid w:val="00E26F22"/>
    <w:rsid w:val="00E41795"/>
    <w:rsid w:val="00E742A8"/>
    <w:rsid w:val="00E775CD"/>
    <w:rsid w:val="00E82BDB"/>
    <w:rsid w:val="00EB079A"/>
    <w:rsid w:val="00EC7082"/>
    <w:rsid w:val="00ED231B"/>
    <w:rsid w:val="00ED64D2"/>
    <w:rsid w:val="00EF6359"/>
    <w:rsid w:val="00F36861"/>
    <w:rsid w:val="00F40844"/>
    <w:rsid w:val="00F43203"/>
    <w:rsid w:val="00F44796"/>
    <w:rsid w:val="00F501E3"/>
    <w:rsid w:val="00F6633D"/>
    <w:rsid w:val="00F931ED"/>
    <w:rsid w:val="00FA75B2"/>
    <w:rsid w:val="00FB2465"/>
    <w:rsid w:val="00FC254F"/>
    <w:rsid w:val="00FF3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B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6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569"/>
    <w:pPr>
      <w:ind w:left="720"/>
      <w:contextualSpacing/>
    </w:pPr>
    <w:rPr>
      <w:lang w:val="en-GB"/>
    </w:rPr>
  </w:style>
  <w:style w:type="character" w:styleId="CommentReference">
    <w:name w:val="annotation reference"/>
    <w:basedOn w:val="DefaultParagraphFont"/>
    <w:uiPriority w:val="99"/>
    <w:semiHidden/>
    <w:unhideWhenUsed/>
    <w:rsid w:val="00161569"/>
    <w:rPr>
      <w:sz w:val="16"/>
      <w:szCs w:val="16"/>
    </w:rPr>
  </w:style>
  <w:style w:type="paragraph" w:styleId="CommentText">
    <w:name w:val="annotation text"/>
    <w:basedOn w:val="Normal"/>
    <w:link w:val="CommentTextChar"/>
    <w:uiPriority w:val="99"/>
    <w:semiHidden/>
    <w:unhideWhenUsed/>
    <w:rsid w:val="00161569"/>
    <w:rPr>
      <w:sz w:val="20"/>
      <w:szCs w:val="20"/>
      <w:lang w:val="en-GB"/>
    </w:rPr>
  </w:style>
  <w:style w:type="character" w:customStyle="1" w:styleId="CommentTextChar">
    <w:name w:val="Comment Text Char"/>
    <w:basedOn w:val="DefaultParagraphFont"/>
    <w:link w:val="CommentText"/>
    <w:uiPriority w:val="99"/>
    <w:semiHidden/>
    <w:rsid w:val="00161569"/>
    <w:rPr>
      <w:sz w:val="20"/>
      <w:szCs w:val="20"/>
    </w:rPr>
  </w:style>
  <w:style w:type="paragraph" w:styleId="BalloonText">
    <w:name w:val="Balloon Text"/>
    <w:basedOn w:val="Normal"/>
    <w:link w:val="BalloonTextChar"/>
    <w:uiPriority w:val="99"/>
    <w:semiHidden/>
    <w:unhideWhenUsed/>
    <w:rsid w:val="001615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569"/>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3609CD"/>
    <w:rPr>
      <w:b/>
      <w:bCs/>
      <w:lang w:val="sq-AL"/>
    </w:rPr>
  </w:style>
  <w:style w:type="character" w:customStyle="1" w:styleId="CommentSubjectChar">
    <w:name w:val="Comment Subject Char"/>
    <w:basedOn w:val="CommentTextChar"/>
    <w:link w:val="CommentSubject"/>
    <w:uiPriority w:val="99"/>
    <w:semiHidden/>
    <w:rsid w:val="003609CD"/>
    <w:rPr>
      <w:b/>
      <w:bCs/>
      <w:sz w:val="20"/>
      <w:szCs w:val="20"/>
      <w:lang w:val="sq-AL"/>
    </w:rPr>
  </w:style>
  <w:style w:type="character" w:customStyle="1" w:styleId="jlqj4b">
    <w:name w:val="jlqj4b"/>
    <w:basedOn w:val="DefaultParagraphFont"/>
    <w:rsid w:val="00A74190"/>
  </w:style>
  <w:style w:type="paragraph" w:customStyle="1" w:styleId="Default">
    <w:name w:val="Default"/>
    <w:rsid w:val="00C34103"/>
    <w:pPr>
      <w:autoSpaceDE w:val="0"/>
      <w:autoSpaceDN w:val="0"/>
      <w:adjustRightInd w:val="0"/>
      <w:spacing w:after="0"/>
    </w:pPr>
    <w:rPr>
      <w:rFonts w:ascii="Calibri" w:hAnsi="Calibri" w:cs="Calibri"/>
      <w:color w:val="000000"/>
      <w:sz w:val="24"/>
      <w:szCs w:val="24"/>
    </w:rPr>
  </w:style>
  <w:style w:type="paragraph" w:styleId="BodyText">
    <w:name w:val="Body Text"/>
    <w:basedOn w:val="Normal"/>
    <w:link w:val="BodyTextChar"/>
    <w:unhideWhenUsed/>
    <w:rsid w:val="0060263A"/>
    <w:pPr>
      <w:spacing w:after="0" w:line="360" w:lineRule="auto"/>
    </w:pPr>
    <w:rPr>
      <w:rFonts w:ascii="Times New Roman" w:eastAsia="MS Mincho" w:hAnsi="Times New Roman" w:cs="Times New Roman"/>
      <w:sz w:val="26"/>
      <w:szCs w:val="20"/>
      <w:lang w:val="en-US"/>
    </w:rPr>
  </w:style>
  <w:style w:type="character" w:customStyle="1" w:styleId="BodyTextChar">
    <w:name w:val="Body Text Char"/>
    <w:basedOn w:val="DefaultParagraphFont"/>
    <w:link w:val="BodyText"/>
    <w:rsid w:val="0060263A"/>
    <w:rPr>
      <w:rFonts w:ascii="Times New Roman" w:eastAsia="MS Mincho" w:hAnsi="Times New Roman" w:cs="Times New Roman"/>
      <w:sz w:val="26"/>
      <w:szCs w:val="20"/>
      <w:lang w:val="en-US"/>
    </w:rPr>
  </w:style>
  <w:style w:type="table" w:styleId="TableGrid">
    <w:name w:val="Table Grid"/>
    <w:basedOn w:val="TableNormal"/>
    <w:uiPriority w:val="59"/>
    <w:rsid w:val="0060263A"/>
    <w:pPr>
      <w:spacing w:after="0"/>
    </w:pPr>
    <w:rPr>
      <w:rFonts w:ascii="Times New Roman" w:eastAsia="MS Mincho"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6633D"/>
    <w:pPr>
      <w:spacing w:after="0"/>
    </w:pPr>
    <w:rPr>
      <w:lang w:val="sq-AL"/>
    </w:rPr>
  </w:style>
  <w:style w:type="paragraph" w:customStyle="1" w:styleId="CM1">
    <w:name w:val="CM1"/>
    <w:basedOn w:val="Default"/>
    <w:next w:val="Default"/>
    <w:uiPriority w:val="99"/>
    <w:rsid w:val="00ED231B"/>
    <w:rPr>
      <w:rFonts w:ascii="Times New Roman" w:hAnsi="Times New Roman" w:cs="Times New Roman"/>
      <w:color w:val="auto"/>
      <w:lang w:val="sq-AL"/>
    </w:rPr>
  </w:style>
  <w:style w:type="paragraph" w:customStyle="1" w:styleId="CM3">
    <w:name w:val="CM3"/>
    <w:basedOn w:val="Default"/>
    <w:next w:val="Default"/>
    <w:uiPriority w:val="99"/>
    <w:rsid w:val="00ED231B"/>
    <w:rPr>
      <w:rFonts w:ascii="Times New Roman" w:hAnsi="Times New Roman" w:cs="Times New Roman"/>
      <w:color w:val="auto"/>
      <w:lang w:val="sq-AL"/>
    </w:rPr>
  </w:style>
  <w:style w:type="table" w:customStyle="1" w:styleId="TableGrid1">
    <w:name w:val="Table Grid1"/>
    <w:basedOn w:val="TableNormal"/>
    <w:next w:val="TableGrid"/>
    <w:uiPriority w:val="59"/>
    <w:rsid w:val="00936B09"/>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22EB"/>
    <w:pPr>
      <w:tabs>
        <w:tab w:val="center" w:pos="4513"/>
        <w:tab w:val="right" w:pos="9026"/>
      </w:tabs>
      <w:spacing w:after="0"/>
    </w:pPr>
  </w:style>
  <w:style w:type="character" w:customStyle="1" w:styleId="HeaderChar">
    <w:name w:val="Header Char"/>
    <w:basedOn w:val="DefaultParagraphFont"/>
    <w:link w:val="Header"/>
    <w:uiPriority w:val="99"/>
    <w:rsid w:val="005E22EB"/>
    <w:rPr>
      <w:lang w:val="sq-AL"/>
    </w:rPr>
  </w:style>
  <w:style w:type="paragraph" w:styleId="Footer">
    <w:name w:val="footer"/>
    <w:basedOn w:val="Normal"/>
    <w:link w:val="FooterChar"/>
    <w:uiPriority w:val="99"/>
    <w:unhideWhenUsed/>
    <w:rsid w:val="005E22EB"/>
    <w:pPr>
      <w:tabs>
        <w:tab w:val="center" w:pos="4513"/>
        <w:tab w:val="right" w:pos="9026"/>
      </w:tabs>
      <w:spacing w:after="0"/>
    </w:pPr>
  </w:style>
  <w:style w:type="character" w:customStyle="1" w:styleId="FooterChar">
    <w:name w:val="Footer Char"/>
    <w:basedOn w:val="DefaultParagraphFont"/>
    <w:link w:val="Footer"/>
    <w:uiPriority w:val="99"/>
    <w:rsid w:val="005E22EB"/>
    <w:rPr>
      <w:lang w:val="sq-AL"/>
    </w:rPr>
  </w:style>
  <w:style w:type="table" w:customStyle="1" w:styleId="TableGrid2">
    <w:name w:val="Table Grid2"/>
    <w:basedOn w:val="TableNormal"/>
    <w:next w:val="TableGrid"/>
    <w:uiPriority w:val="59"/>
    <w:rsid w:val="00901BFA"/>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6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569"/>
    <w:pPr>
      <w:ind w:left="720"/>
      <w:contextualSpacing/>
    </w:pPr>
    <w:rPr>
      <w:lang w:val="en-GB"/>
    </w:rPr>
  </w:style>
  <w:style w:type="character" w:styleId="CommentReference">
    <w:name w:val="annotation reference"/>
    <w:basedOn w:val="DefaultParagraphFont"/>
    <w:uiPriority w:val="99"/>
    <w:semiHidden/>
    <w:unhideWhenUsed/>
    <w:rsid w:val="00161569"/>
    <w:rPr>
      <w:sz w:val="16"/>
      <w:szCs w:val="16"/>
    </w:rPr>
  </w:style>
  <w:style w:type="paragraph" w:styleId="CommentText">
    <w:name w:val="annotation text"/>
    <w:basedOn w:val="Normal"/>
    <w:link w:val="CommentTextChar"/>
    <w:uiPriority w:val="99"/>
    <w:semiHidden/>
    <w:unhideWhenUsed/>
    <w:rsid w:val="00161569"/>
    <w:rPr>
      <w:sz w:val="20"/>
      <w:szCs w:val="20"/>
      <w:lang w:val="en-GB"/>
    </w:rPr>
  </w:style>
  <w:style w:type="character" w:customStyle="1" w:styleId="CommentTextChar">
    <w:name w:val="Comment Text Char"/>
    <w:basedOn w:val="DefaultParagraphFont"/>
    <w:link w:val="CommentText"/>
    <w:uiPriority w:val="99"/>
    <w:semiHidden/>
    <w:rsid w:val="00161569"/>
    <w:rPr>
      <w:sz w:val="20"/>
      <w:szCs w:val="20"/>
    </w:rPr>
  </w:style>
  <w:style w:type="paragraph" w:styleId="BalloonText">
    <w:name w:val="Balloon Text"/>
    <w:basedOn w:val="Normal"/>
    <w:link w:val="BalloonTextChar"/>
    <w:uiPriority w:val="99"/>
    <w:semiHidden/>
    <w:unhideWhenUsed/>
    <w:rsid w:val="001615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569"/>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3609CD"/>
    <w:rPr>
      <w:b/>
      <w:bCs/>
      <w:lang w:val="sq-AL"/>
    </w:rPr>
  </w:style>
  <w:style w:type="character" w:customStyle="1" w:styleId="CommentSubjectChar">
    <w:name w:val="Comment Subject Char"/>
    <w:basedOn w:val="CommentTextChar"/>
    <w:link w:val="CommentSubject"/>
    <w:uiPriority w:val="99"/>
    <w:semiHidden/>
    <w:rsid w:val="003609CD"/>
    <w:rPr>
      <w:b/>
      <w:bCs/>
      <w:sz w:val="20"/>
      <w:szCs w:val="20"/>
      <w:lang w:val="sq-AL"/>
    </w:rPr>
  </w:style>
  <w:style w:type="character" w:customStyle="1" w:styleId="jlqj4b">
    <w:name w:val="jlqj4b"/>
    <w:basedOn w:val="DefaultParagraphFont"/>
    <w:rsid w:val="00A74190"/>
  </w:style>
  <w:style w:type="paragraph" w:customStyle="1" w:styleId="Default">
    <w:name w:val="Default"/>
    <w:rsid w:val="00C34103"/>
    <w:pPr>
      <w:autoSpaceDE w:val="0"/>
      <w:autoSpaceDN w:val="0"/>
      <w:adjustRightInd w:val="0"/>
      <w:spacing w:after="0"/>
    </w:pPr>
    <w:rPr>
      <w:rFonts w:ascii="Calibri" w:hAnsi="Calibri" w:cs="Calibri"/>
      <w:color w:val="000000"/>
      <w:sz w:val="24"/>
      <w:szCs w:val="24"/>
    </w:rPr>
  </w:style>
  <w:style w:type="paragraph" w:styleId="BodyText">
    <w:name w:val="Body Text"/>
    <w:basedOn w:val="Normal"/>
    <w:link w:val="BodyTextChar"/>
    <w:unhideWhenUsed/>
    <w:rsid w:val="0060263A"/>
    <w:pPr>
      <w:spacing w:after="0" w:line="360" w:lineRule="auto"/>
    </w:pPr>
    <w:rPr>
      <w:rFonts w:ascii="Times New Roman" w:eastAsia="MS Mincho" w:hAnsi="Times New Roman" w:cs="Times New Roman"/>
      <w:sz w:val="26"/>
      <w:szCs w:val="20"/>
      <w:lang w:val="en-US"/>
    </w:rPr>
  </w:style>
  <w:style w:type="character" w:customStyle="1" w:styleId="BodyTextChar">
    <w:name w:val="Body Text Char"/>
    <w:basedOn w:val="DefaultParagraphFont"/>
    <w:link w:val="BodyText"/>
    <w:rsid w:val="0060263A"/>
    <w:rPr>
      <w:rFonts w:ascii="Times New Roman" w:eastAsia="MS Mincho" w:hAnsi="Times New Roman" w:cs="Times New Roman"/>
      <w:sz w:val="26"/>
      <w:szCs w:val="20"/>
      <w:lang w:val="en-US"/>
    </w:rPr>
  </w:style>
  <w:style w:type="table" w:styleId="TableGrid">
    <w:name w:val="Table Grid"/>
    <w:basedOn w:val="TableNormal"/>
    <w:uiPriority w:val="59"/>
    <w:rsid w:val="0060263A"/>
    <w:pPr>
      <w:spacing w:after="0"/>
    </w:pPr>
    <w:rPr>
      <w:rFonts w:ascii="Times New Roman" w:eastAsia="MS Mincho"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F6633D"/>
    <w:pPr>
      <w:spacing w:after="0"/>
    </w:pPr>
    <w:rPr>
      <w:lang w:val="sq-AL"/>
    </w:rPr>
  </w:style>
  <w:style w:type="paragraph" w:customStyle="1" w:styleId="CM1">
    <w:name w:val="CM1"/>
    <w:basedOn w:val="Default"/>
    <w:next w:val="Default"/>
    <w:uiPriority w:val="99"/>
    <w:rsid w:val="00ED231B"/>
    <w:rPr>
      <w:rFonts w:ascii="Times New Roman" w:hAnsi="Times New Roman" w:cs="Times New Roman"/>
      <w:color w:val="auto"/>
      <w:lang w:val="sq-AL"/>
    </w:rPr>
  </w:style>
  <w:style w:type="paragraph" w:customStyle="1" w:styleId="CM3">
    <w:name w:val="CM3"/>
    <w:basedOn w:val="Default"/>
    <w:next w:val="Default"/>
    <w:uiPriority w:val="99"/>
    <w:rsid w:val="00ED231B"/>
    <w:rPr>
      <w:rFonts w:ascii="Times New Roman" w:hAnsi="Times New Roman" w:cs="Times New Roman"/>
      <w:color w:val="auto"/>
      <w:lang w:val="sq-AL"/>
    </w:rPr>
  </w:style>
  <w:style w:type="table" w:customStyle="1" w:styleId="TableGrid1">
    <w:name w:val="Table Grid1"/>
    <w:basedOn w:val="TableNormal"/>
    <w:next w:val="TableGrid"/>
    <w:uiPriority w:val="59"/>
    <w:rsid w:val="00936B09"/>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22EB"/>
    <w:pPr>
      <w:tabs>
        <w:tab w:val="center" w:pos="4513"/>
        <w:tab w:val="right" w:pos="9026"/>
      </w:tabs>
      <w:spacing w:after="0"/>
    </w:pPr>
  </w:style>
  <w:style w:type="character" w:customStyle="1" w:styleId="HeaderChar">
    <w:name w:val="Header Char"/>
    <w:basedOn w:val="DefaultParagraphFont"/>
    <w:link w:val="Header"/>
    <w:uiPriority w:val="99"/>
    <w:rsid w:val="005E22EB"/>
    <w:rPr>
      <w:lang w:val="sq-AL"/>
    </w:rPr>
  </w:style>
  <w:style w:type="paragraph" w:styleId="Footer">
    <w:name w:val="footer"/>
    <w:basedOn w:val="Normal"/>
    <w:link w:val="FooterChar"/>
    <w:uiPriority w:val="99"/>
    <w:unhideWhenUsed/>
    <w:rsid w:val="005E22EB"/>
    <w:pPr>
      <w:tabs>
        <w:tab w:val="center" w:pos="4513"/>
        <w:tab w:val="right" w:pos="9026"/>
      </w:tabs>
      <w:spacing w:after="0"/>
    </w:pPr>
  </w:style>
  <w:style w:type="character" w:customStyle="1" w:styleId="FooterChar">
    <w:name w:val="Footer Char"/>
    <w:basedOn w:val="DefaultParagraphFont"/>
    <w:link w:val="Footer"/>
    <w:uiPriority w:val="99"/>
    <w:rsid w:val="005E22EB"/>
    <w:rPr>
      <w:lang w:val="sq-AL"/>
    </w:rPr>
  </w:style>
  <w:style w:type="table" w:customStyle="1" w:styleId="TableGrid2">
    <w:name w:val="Table Grid2"/>
    <w:basedOn w:val="TableNormal"/>
    <w:next w:val="TableGrid"/>
    <w:uiPriority w:val="59"/>
    <w:rsid w:val="00901BFA"/>
    <w:pPr>
      <w:spacing w:after="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679139">
      <w:bodyDiv w:val="1"/>
      <w:marLeft w:val="0"/>
      <w:marRight w:val="0"/>
      <w:marTop w:val="0"/>
      <w:marBottom w:val="0"/>
      <w:divBdr>
        <w:top w:val="none" w:sz="0" w:space="0" w:color="auto"/>
        <w:left w:val="none" w:sz="0" w:space="0" w:color="auto"/>
        <w:bottom w:val="none" w:sz="0" w:space="0" w:color="auto"/>
        <w:right w:val="none" w:sz="0" w:space="0" w:color="auto"/>
      </w:divBdr>
      <w:divsChild>
        <w:div w:id="1623413231">
          <w:marLeft w:val="0"/>
          <w:marRight w:val="0"/>
          <w:marTop w:val="0"/>
          <w:marBottom w:val="0"/>
          <w:divBdr>
            <w:top w:val="none" w:sz="0" w:space="0" w:color="auto"/>
            <w:left w:val="none" w:sz="0" w:space="0" w:color="auto"/>
            <w:bottom w:val="none" w:sz="0" w:space="0" w:color="auto"/>
            <w:right w:val="none" w:sz="0" w:space="0" w:color="auto"/>
          </w:divBdr>
        </w:div>
        <w:div w:id="1464664171">
          <w:marLeft w:val="0"/>
          <w:marRight w:val="0"/>
          <w:marTop w:val="0"/>
          <w:marBottom w:val="0"/>
          <w:divBdr>
            <w:top w:val="none" w:sz="0" w:space="0" w:color="auto"/>
            <w:left w:val="none" w:sz="0" w:space="0" w:color="auto"/>
            <w:bottom w:val="none" w:sz="0" w:space="0" w:color="auto"/>
            <w:right w:val="none" w:sz="0" w:space="0" w:color="auto"/>
          </w:divBdr>
        </w:div>
        <w:div w:id="2133477125">
          <w:marLeft w:val="0"/>
          <w:marRight w:val="0"/>
          <w:marTop w:val="0"/>
          <w:marBottom w:val="0"/>
          <w:divBdr>
            <w:top w:val="none" w:sz="0" w:space="0" w:color="auto"/>
            <w:left w:val="none" w:sz="0" w:space="0" w:color="auto"/>
            <w:bottom w:val="none" w:sz="0" w:space="0" w:color="auto"/>
            <w:right w:val="none" w:sz="0" w:space="0" w:color="auto"/>
          </w:divBdr>
        </w:div>
        <w:div w:id="604653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2021-07-14T07:17:53Z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2021-07-12T22:00:00Z</Date_x0020_protokolli>
    <Titulli xmlns="0e656187-b300-4fb0-8bf4-3a50f872073c">Për miratimin e rregullores "Për llojet e marrëveshjeve që do të mbrohen në transferimin e pjesshëm"</Titulli>
    <Modifikuesi xmlns="0e656187-b300-4fb0-8bf4-3a50f872073c">jorina.kryeziu</Modifikuesi>
    <Nr_x002e__x0020_prot_x0020_QBZ xmlns="0e656187-b300-4fb0-8bf4-3a50f872073c">1034/3</Nr_x002e__x0020_prot_x0020_QBZ>
    <Data_x0020_e_x0020_Modifikimit xmlns="0e656187-b300-4fb0-8bf4-3a50f872073c">2021-07-14T08:43:58Z</Data_x0020_e_x0020_Modifikimit>
    <Dekretuar xmlns="0e656187-b300-4fb0-8bf4-3a50f872073c">false</Dekretuar>
    <Data xmlns="0e656187-b300-4fb0-8bf4-3a50f872073c">2021-07-06T22:00:00Z</Data>
    <Nr_x002e__x0020_protokolli_x0020_i_x0020_aktit xmlns="0e656187-b300-4fb0-8bf4-3a50f872073c">3225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3BA0E17A428425A9502F32B4F3ACF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BA0E17A428425A9502F32B4F3ACF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4DB06-B7CD-4B62-B04F-6076785BA06C}">
  <ds:schemaRefs>
    <ds:schemaRef ds:uri="http://schemas.microsoft.com/office/2006/documentManagement/types"/>
    <ds:schemaRef ds:uri="http://purl.org/dc/dcmitype/"/>
    <ds:schemaRef ds:uri="0e656187-b300-4fb0-8bf4-3a50f872073c"/>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0D57EF3E-B36E-492C-A97F-3C4A87782DDA}">
  <ds:schemaRefs>
    <ds:schemaRef ds:uri="http://schemas.microsoft.com/sharepoint/v3/contenttype/forms"/>
  </ds:schemaRefs>
</ds:datastoreItem>
</file>

<file path=customXml/itemProps3.xml><?xml version="1.0" encoding="utf-8"?>
<ds:datastoreItem xmlns:ds="http://schemas.openxmlformats.org/officeDocument/2006/customXml" ds:itemID="{E49C121E-FBAE-46C9-93A6-DC45E3566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A5ECA7-0F47-453E-A613-9BF77AA5D3C1}">
  <ds:schemaRefs>
    <ds:schemaRef ds:uri="http://schemas.microsoft.com/sharepoint/v3/contenttype/forms"/>
  </ds:schemaRefs>
</ds:datastoreItem>
</file>

<file path=customXml/itemProps5.xml><?xml version="1.0" encoding="utf-8"?>
<ds:datastoreItem xmlns:ds="http://schemas.openxmlformats.org/officeDocument/2006/customXml" ds:itemID="{046A7073-9A09-46C5-8A9C-D41FE4951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07B04B-B697-4BF4-B786-7807A1E6C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Për miratimin e rregullores "Për llojet e marrëveshjeve që do të mbrohen në transferimin e pjesshëm"</vt:lpstr>
    </vt:vector>
  </TitlesOfParts>
  <Company/>
  <LinksUpToDate>false</LinksUpToDate>
  <CharactersWithSpaces>10616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llojet e marrëveshjeve që do të mbrohen në transferimin e pjesshëm"</dc:title>
  <dc:creator>Klevis Kumbaro</dc:creator>
  <cp:lastModifiedBy>Amarilda Muja</cp:lastModifiedBy>
  <cp:revision>18</cp:revision>
  <cp:lastPrinted>2021-04-21T07:31:00Z</cp:lastPrinted>
  <dcterms:created xsi:type="dcterms:W3CDTF">2021-07-12T12:42:00Z</dcterms:created>
  <dcterms:modified xsi:type="dcterms:W3CDTF">2021-07-14T09:27:00Z</dcterms:modified>
</cp:coreProperties>
</file>