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57AAD" w14:textId="77777777" w:rsidR="00D851B9" w:rsidRPr="003C1725" w:rsidRDefault="00D851B9" w:rsidP="00D851B9">
      <w:pPr>
        <w:spacing w:after="0" w:line="240" w:lineRule="auto"/>
        <w:ind w:firstLine="284"/>
        <w:jc w:val="center"/>
        <w:rPr>
          <w:rFonts w:ascii="Garamond" w:hAnsi="Garamond"/>
          <w:b/>
          <w:bCs/>
          <w:sz w:val="24"/>
          <w:szCs w:val="24"/>
        </w:rPr>
      </w:pPr>
      <w:r w:rsidRPr="003C1725">
        <w:rPr>
          <w:rFonts w:ascii="Garamond" w:hAnsi="Garamond"/>
          <w:b/>
          <w:bCs/>
          <w:sz w:val="24"/>
          <w:szCs w:val="24"/>
        </w:rPr>
        <w:t>VENDIM</w:t>
      </w:r>
    </w:p>
    <w:p w14:paraId="3EF57AAE" w14:textId="77777777" w:rsidR="00D851B9" w:rsidRPr="003C1725" w:rsidRDefault="00D851B9" w:rsidP="00D851B9">
      <w:pPr>
        <w:spacing w:after="0" w:line="240" w:lineRule="auto"/>
        <w:ind w:firstLine="284"/>
        <w:jc w:val="center"/>
        <w:rPr>
          <w:rFonts w:ascii="Garamond" w:hAnsi="Garamond"/>
          <w:b/>
          <w:bCs/>
          <w:sz w:val="24"/>
          <w:szCs w:val="24"/>
        </w:rPr>
      </w:pPr>
      <w:r w:rsidRPr="003C1725">
        <w:rPr>
          <w:rFonts w:ascii="Garamond" w:hAnsi="Garamond"/>
          <w:b/>
          <w:bCs/>
          <w:sz w:val="24"/>
          <w:szCs w:val="24"/>
        </w:rPr>
        <w:t>Nr. 69, datë 22.12.2021</w:t>
      </w:r>
    </w:p>
    <w:p w14:paraId="3EF57AAF" w14:textId="77777777" w:rsidR="00D851B9" w:rsidRPr="003C1725" w:rsidRDefault="00D851B9" w:rsidP="00D851B9">
      <w:pPr>
        <w:spacing w:after="0" w:line="240" w:lineRule="auto"/>
        <w:ind w:firstLine="284"/>
        <w:jc w:val="center"/>
        <w:rPr>
          <w:rFonts w:ascii="Garamond" w:hAnsi="Garamond"/>
          <w:b/>
          <w:bCs/>
          <w:sz w:val="24"/>
          <w:szCs w:val="24"/>
        </w:rPr>
      </w:pPr>
    </w:p>
    <w:p w14:paraId="3EF57AB0" w14:textId="77777777" w:rsidR="00D851B9" w:rsidRPr="003C1725" w:rsidRDefault="00D851B9" w:rsidP="00D851B9">
      <w:pPr>
        <w:tabs>
          <w:tab w:val="left" w:pos="6300"/>
        </w:tabs>
        <w:spacing w:after="0" w:line="240" w:lineRule="auto"/>
        <w:ind w:firstLine="284"/>
        <w:jc w:val="center"/>
        <w:rPr>
          <w:rFonts w:ascii="Garamond" w:hAnsi="Garamond"/>
          <w:b/>
          <w:bCs/>
          <w:smallCaps/>
          <w:sz w:val="24"/>
          <w:szCs w:val="24"/>
        </w:rPr>
      </w:pPr>
      <w:r w:rsidRPr="003C1725">
        <w:rPr>
          <w:rFonts w:ascii="Garamond" w:hAnsi="Garamond" w:cs="Times New Roman Bold"/>
          <w:b/>
          <w:bCs/>
          <w:smallCaps/>
          <w:sz w:val="24"/>
          <w:szCs w:val="24"/>
        </w:rPr>
        <w:t>PËR  DISA NDRYSHIME NË RREGULLOREN</w:t>
      </w:r>
    </w:p>
    <w:p w14:paraId="3EF57AB1" w14:textId="77777777" w:rsidR="00D851B9" w:rsidRPr="003C1725" w:rsidRDefault="00D851B9" w:rsidP="00D851B9">
      <w:pPr>
        <w:tabs>
          <w:tab w:val="left" w:pos="6300"/>
        </w:tabs>
        <w:spacing w:after="0" w:line="240" w:lineRule="auto"/>
        <w:ind w:firstLine="284"/>
        <w:jc w:val="center"/>
        <w:rPr>
          <w:rFonts w:ascii="Garamond" w:hAnsi="Garamond"/>
          <w:b/>
          <w:bCs/>
          <w:smallCaps/>
          <w:sz w:val="24"/>
          <w:szCs w:val="24"/>
        </w:rPr>
      </w:pPr>
      <w:r w:rsidRPr="003C1725">
        <w:rPr>
          <w:rFonts w:ascii="Garamond" w:eastAsia="Arial Unicode MS" w:hAnsi="Garamond" w:cs="Arial Unicode MS"/>
          <w:b/>
          <w:bCs/>
          <w:smallCaps/>
          <w:sz w:val="24"/>
          <w:szCs w:val="24"/>
        </w:rPr>
        <w:t>“</w:t>
      </w:r>
      <w:r w:rsidRPr="003C1725">
        <w:rPr>
          <w:rFonts w:ascii="Garamond" w:hAnsi="Garamond" w:cs="Times New Roman Bold"/>
          <w:b/>
          <w:bCs/>
          <w:smallCaps/>
          <w:sz w:val="24"/>
          <w:szCs w:val="24"/>
        </w:rPr>
        <w:t>PËR KREDINË KONSUMATORE DHE KREDINË HIPOTEKARE</w:t>
      </w:r>
      <w:r w:rsidRPr="003C1725">
        <w:rPr>
          <w:rFonts w:ascii="Garamond" w:eastAsia="Arial Unicode MS" w:hAnsi="Garamond" w:cs="Arial Unicode MS"/>
          <w:b/>
          <w:bCs/>
          <w:smallCaps/>
          <w:sz w:val="24"/>
          <w:szCs w:val="24"/>
        </w:rPr>
        <w:t>”</w:t>
      </w:r>
      <w:r w:rsidRPr="003C1725">
        <w:rPr>
          <w:rFonts w:ascii="Garamond" w:hAnsi="Garamond" w:cs="Times New Roman Bold"/>
          <w:b/>
          <w:bCs/>
          <w:smallCaps/>
          <w:sz w:val="24"/>
          <w:szCs w:val="24"/>
        </w:rPr>
        <w:t xml:space="preserve"> </w:t>
      </w:r>
    </w:p>
    <w:p w14:paraId="3EF57AB2" w14:textId="77777777" w:rsidR="00D851B9" w:rsidRPr="003C1725" w:rsidRDefault="00D851B9" w:rsidP="00D851B9">
      <w:pPr>
        <w:spacing w:after="0" w:line="240" w:lineRule="auto"/>
        <w:ind w:firstLine="284"/>
        <w:jc w:val="both"/>
        <w:rPr>
          <w:rFonts w:ascii="Garamond" w:hAnsi="Garamond"/>
          <w:sz w:val="24"/>
          <w:szCs w:val="24"/>
        </w:rPr>
      </w:pPr>
    </w:p>
    <w:p w14:paraId="3EF57AB3" w14:textId="1F0BB7F1" w:rsidR="00D851B9" w:rsidRPr="003C1725" w:rsidRDefault="00D851B9" w:rsidP="00D851B9">
      <w:pPr>
        <w:pStyle w:val="BodyText2"/>
        <w:spacing w:after="0" w:line="240" w:lineRule="auto"/>
        <w:ind w:firstLine="284"/>
        <w:jc w:val="both"/>
        <w:rPr>
          <w:rFonts w:ascii="Garamond" w:hAnsi="Garamond"/>
        </w:rPr>
      </w:pPr>
      <w:r w:rsidRPr="003C1725">
        <w:rPr>
          <w:rFonts w:ascii="Garamond" w:hAnsi="Garamond"/>
        </w:rPr>
        <w:t xml:space="preserve">Në bazë dhe për zbatim të nenit 12, shkronja “a”, dhe të nenit 43, shkronja “c”, të ligjit nr. 8269, datë 23.12.1997, “Për Bankën e Shqipërisë”, </w:t>
      </w:r>
      <w:r w:rsidR="003C1725">
        <w:rPr>
          <w:rFonts w:ascii="Garamond" w:hAnsi="Garamond"/>
        </w:rPr>
        <w:t>të</w:t>
      </w:r>
      <w:r w:rsidRPr="003C1725">
        <w:rPr>
          <w:rFonts w:ascii="Garamond" w:hAnsi="Garamond"/>
        </w:rPr>
        <w:t xml:space="preserve"> ndryshuar; të neneve 44 dhe 45 të ligjit nr. 9902, datë 17.4.2008, “Për mbrojtjen e konsumatorëve”, </w:t>
      </w:r>
      <w:r w:rsidR="003C1725">
        <w:rPr>
          <w:rFonts w:ascii="Garamond" w:hAnsi="Garamond"/>
        </w:rPr>
        <w:t>të</w:t>
      </w:r>
      <w:r w:rsidRPr="003C1725">
        <w:rPr>
          <w:rFonts w:ascii="Garamond" w:hAnsi="Garamond"/>
        </w:rPr>
        <w:t xml:space="preserve"> ndryshuar; si dhe nenit 124 të ligjit nr. 9662, datë 18.12.2006, “Për Bankat në Republikën e Shqipërisë”, </w:t>
      </w:r>
      <w:r w:rsidR="003C1725">
        <w:rPr>
          <w:rFonts w:ascii="Garamond" w:hAnsi="Garamond"/>
        </w:rPr>
        <w:t>të</w:t>
      </w:r>
      <w:r w:rsidRPr="003C1725">
        <w:rPr>
          <w:rFonts w:ascii="Garamond" w:hAnsi="Garamond"/>
        </w:rPr>
        <w:t xml:space="preserve"> ndryshuar; Këshilli Mbikëqyrës i Bankës së Shqipërisë, me propozimin e Departamentit të Mbikëqyrjes,</w:t>
      </w:r>
    </w:p>
    <w:p w14:paraId="3EF57AB4" w14:textId="77777777" w:rsidR="00D851B9" w:rsidRPr="003C1725" w:rsidRDefault="00D851B9" w:rsidP="00D851B9">
      <w:pPr>
        <w:spacing w:after="0" w:line="240" w:lineRule="auto"/>
        <w:ind w:firstLine="284"/>
        <w:jc w:val="both"/>
        <w:rPr>
          <w:rFonts w:ascii="Garamond" w:hAnsi="Garamond"/>
          <w:sz w:val="24"/>
          <w:szCs w:val="24"/>
        </w:rPr>
      </w:pPr>
    </w:p>
    <w:p w14:paraId="3EF57AB5" w14:textId="77777777" w:rsidR="00D851B9" w:rsidRPr="003C1725" w:rsidRDefault="00D851B9" w:rsidP="00D851B9">
      <w:pPr>
        <w:tabs>
          <w:tab w:val="left" w:pos="6300"/>
        </w:tabs>
        <w:spacing w:after="0" w:line="240" w:lineRule="auto"/>
        <w:ind w:firstLine="284"/>
        <w:jc w:val="center"/>
        <w:rPr>
          <w:rFonts w:ascii="Garamond" w:hAnsi="Garamond"/>
          <w:smallCaps/>
          <w:sz w:val="24"/>
          <w:szCs w:val="24"/>
        </w:rPr>
      </w:pPr>
      <w:r w:rsidRPr="003C1725">
        <w:rPr>
          <w:rFonts w:ascii="Garamond" w:hAnsi="Garamond"/>
          <w:smallCaps/>
          <w:sz w:val="24"/>
          <w:szCs w:val="24"/>
        </w:rPr>
        <w:t>VENDOSI:</w:t>
      </w:r>
    </w:p>
    <w:p w14:paraId="3EF57AB6" w14:textId="77777777" w:rsidR="00D851B9" w:rsidRPr="003C1725" w:rsidRDefault="00D851B9" w:rsidP="00D851B9">
      <w:pPr>
        <w:tabs>
          <w:tab w:val="left" w:pos="6300"/>
        </w:tabs>
        <w:spacing w:after="0" w:line="240" w:lineRule="auto"/>
        <w:ind w:firstLine="284"/>
        <w:jc w:val="center"/>
        <w:rPr>
          <w:rFonts w:ascii="Garamond" w:hAnsi="Garamond"/>
          <w:smallCaps/>
          <w:sz w:val="24"/>
          <w:szCs w:val="24"/>
        </w:rPr>
      </w:pPr>
    </w:p>
    <w:p w14:paraId="3EF57AB7" w14:textId="77777777" w:rsidR="00D851B9" w:rsidRPr="003C1725" w:rsidRDefault="00D851B9" w:rsidP="00D851B9">
      <w:pPr>
        <w:tabs>
          <w:tab w:val="left" w:pos="420"/>
        </w:tabs>
        <w:spacing w:after="0" w:line="240" w:lineRule="auto"/>
        <w:ind w:firstLine="284"/>
        <w:jc w:val="both"/>
        <w:rPr>
          <w:rFonts w:ascii="Garamond" w:hAnsi="Garamond"/>
          <w:sz w:val="24"/>
          <w:szCs w:val="24"/>
        </w:rPr>
      </w:pPr>
      <w:r w:rsidRPr="003C1725">
        <w:rPr>
          <w:rFonts w:ascii="Garamond" w:hAnsi="Garamond"/>
          <w:sz w:val="24"/>
          <w:szCs w:val="24"/>
        </w:rPr>
        <w:t>1. Në rregulloren “Për kredinë konsumatore dhe kredinë hipotekare”, miratuar me vendimin e Këshillit Mbikëqyrës nr. 48, datë 1.7.2015, e ndryshuar, të bëhen ndryshimet e mëposhtme:</w:t>
      </w:r>
    </w:p>
    <w:p w14:paraId="3EF57AB8"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sz w:val="24"/>
          <w:szCs w:val="24"/>
        </w:rPr>
        <w:t>a) në nenin 5, pika 2, pas shkronjës “k”, shtohen shkronjat “l”, “m”, “n” dhe “o” me përmbajtjen e mëposhtme:</w:t>
      </w:r>
    </w:p>
    <w:p w14:paraId="3EF57AB9" w14:textId="7C9A63FF" w:rsidR="00D851B9" w:rsidRPr="003C1725" w:rsidRDefault="00D851B9" w:rsidP="00D851B9">
      <w:pPr>
        <w:spacing w:after="0" w:line="240" w:lineRule="auto"/>
        <w:ind w:firstLine="284"/>
        <w:jc w:val="both"/>
        <w:rPr>
          <w:rFonts w:ascii="Garamond" w:hAnsi="Garamond"/>
          <w:sz w:val="24"/>
          <w:szCs w:val="24"/>
        </w:rPr>
      </w:pPr>
      <w:r w:rsidRPr="003C1725">
        <w:rPr>
          <w:rFonts w:ascii="Garamond" w:hAnsi="Garamond"/>
          <w:i/>
          <w:iCs/>
          <w:sz w:val="24"/>
          <w:szCs w:val="24"/>
        </w:rPr>
        <w:t>“l</w:t>
      </w:r>
      <w:r w:rsidR="003C1725">
        <w:rPr>
          <w:rFonts w:ascii="Garamond" w:hAnsi="Garamond"/>
          <w:i/>
          <w:iCs/>
          <w:sz w:val="24"/>
          <w:szCs w:val="24"/>
        </w:rPr>
        <w:t>)</w:t>
      </w:r>
      <w:r w:rsidRPr="003C1725">
        <w:rPr>
          <w:rFonts w:ascii="Garamond" w:hAnsi="Garamond"/>
          <w:i/>
          <w:iCs/>
          <w:sz w:val="24"/>
          <w:szCs w:val="24"/>
        </w:rPr>
        <w:t xml:space="preserve"> “t</w:t>
      </w:r>
      <w:r w:rsidR="003C1725">
        <w:rPr>
          <w:rFonts w:ascii="Garamond" w:hAnsi="Garamond"/>
          <w:i/>
          <w:iCs/>
          <w:sz w:val="24"/>
          <w:szCs w:val="24"/>
        </w:rPr>
        <w:t xml:space="preserve">ejkalim limiti (overrunning)” </w:t>
      </w:r>
      <w:r w:rsidRPr="003C1725">
        <w:rPr>
          <w:rFonts w:ascii="Garamond" w:hAnsi="Garamond"/>
          <w:i/>
          <w:iCs/>
          <w:sz w:val="24"/>
          <w:szCs w:val="24"/>
        </w:rPr>
        <w:t>është kredia kufi (overdraft) e pranuar/njohur në heshtje nga banka, nëpërmjet të cilës banka i vë në dispozicion konsumatorit fonde të cilat tejkalojnë gjendjen (balancën) aktuale të llogarisë rrjedhëse të konsumatorit ose të kredisë kufi (overdraftit), për të cilën është rënë dakord;</w:t>
      </w:r>
    </w:p>
    <w:p w14:paraId="3EF57ABA" w14:textId="49FB3149"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m</w:t>
      </w:r>
      <w:r w:rsidR="003C1725">
        <w:rPr>
          <w:rFonts w:ascii="Garamond" w:hAnsi="Garamond"/>
          <w:i/>
          <w:iCs/>
          <w:sz w:val="24"/>
          <w:szCs w:val="24"/>
        </w:rPr>
        <w:t xml:space="preserve">) “vlera totale e kredisë” </w:t>
      </w:r>
      <w:r w:rsidRPr="003C1725">
        <w:rPr>
          <w:rFonts w:ascii="Garamond" w:hAnsi="Garamond"/>
          <w:i/>
          <w:iCs/>
          <w:sz w:val="24"/>
          <w:szCs w:val="24"/>
        </w:rPr>
        <w:t xml:space="preserve">është shuma totale e kredisë e disponueshme ose kufiri i kredisë në rastin e kredisë kufi (overdraftit) dhe/ose kartës së kreditit, sipas kontratës së kredisë; </w:t>
      </w:r>
    </w:p>
    <w:p w14:paraId="3EF57ABB" w14:textId="449E9CE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n</w:t>
      </w:r>
      <w:r w:rsidR="003C1725">
        <w:rPr>
          <w:rFonts w:ascii="Garamond" w:hAnsi="Garamond"/>
          <w:i/>
          <w:iCs/>
          <w:sz w:val="24"/>
          <w:szCs w:val="24"/>
        </w:rPr>
        <w:t>)</w:t>
      </w:r>
      <w:r w:rsidRPr="003C1725">
        <w:rPr>
          <w:rFonts w:ascii="Garamond" w:hAnsi="Garamond"/>
          <w:i/>
          <w:iCs/>
          <w:sz w:val="24"/>
          <w:szCs w:val="24"/>
        </w:rPr>
        <w:t xml:space="preserve"> “shuma </w:t>
      </w:r>
      <w:r w:rsidR="003C1725">
        <w:rPr>
          <w:rFonts w:ascii="Garamond" w:hAnsi="Garamond"/>
          <w:i/>
          <w:iCs/>
          <w:sz w:val="24"/>
          <w:szCs w:val="24"/>
        </w:rPr>
        <w:t xml:space="preserve">totale që paguan konsumatori” </w:t>
      </w:r>
      <w:r w:rsidRPr="003C1725">
        <w:rPr>
          <w:rFonts w:ascii="Garamond" w:hAnsi="Garamond"/>
          <w:i/>
          <w:iCs/>
          <w:sz w:val="24"/>
          <w:szCs w:val="24"/>
        </w:rPr>
        <w:t xml:space="preserve">është shuma e vlerës totale të kredisë dhe kostos totale të kredisë së konsumatorit; </w:t>
      </w:r>
    </w:p>
    <w:p w14:paraId="3EF57ABC" w14:textId="13F62C8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o</w:t>
      </w:r>
      <w:r w:rsidR="003C1725">
        <w:rPr>
          <w:rFonts w:ascii="Garamond" w:hAnsi="Garamond"/>
          <w:i/>
          <w:iCs/>
          <w:sz w:val="24"/>
          <w:szCs w:val="24"/>
        </w:rPr>
        <w:t>)</w:t>
      </w:r>
      <w:r w:rsidRPr="003C1725">
        <w:rPr>
          <w:rFonts w:ascii="Garamond" w:hAnsi="Garamond"/>
          <w:i/>
          <w:iCs/>
          <w:sz w:val="24"/>
          <w:szCs w:val="24"/>
        </w:rPr>
        <w:t xml:space="preserve"> sh</w:t>
      </w:r>
      <w:r w:rsidR="003C1725">
        <w:rPr>
          <w:rFonts w:ascii="Garamond" w:hAnsi="Garamond"/>
          <w:i/>
          <w:iCs/>
          <w:sz w:val="24"/>
          <w:szCs w:val="24"/>
        </w:rPr>
        <w:t xml:space="preserve">ërbimet ndihmëse (ancillary)” </w:t>
      </w:r>
      <w:r w:rsidRPr="003C1725">
        <w:rPr>
          <w:rFonts w:ascii="Garamond" w:hAnsi="Garamond"/>
          <w:i/>
          <w:iCs/>
          <w:sz w:val="24"/>
          <w:szCs w:val="24"/>
        </w:rPr>
        <w:t>janë shërbimet që i ofrohen konsumatorit në lidhje me kontratën e kredisë.”;</w:t>
      </w:r>
    </w:p>
    <w:p w14:paraId="3EF57ABD" w14:textId="77777777" w:rsidR="00D851B9" w:rsidRPr="003C1725" w:rsidRDefault="00D851B9" w:rsidP="00D851B9">
      <w:pPr>
        <w:spacing w:after="0" w:line="240" w:lineRule="auto"/>
        <w:ind w:firstLine="284"/>
        <w:jc w:val="both"/>
        <w:rPr>
          <w:rFonts w:ascii="Garamond" w:hAnsi="Garamond"/>
          <w:sz w:val="24"/>
          <w:szCs w:val="24"/>
        </w:rPr>
      </w:pPr>
      <w:r w:rsidRPr="003C1725">
        <w:rPr>
          <w:rFonts w:ascii="Garamond" w:hAnsi="Garamond"/>
          <w:sz w:val="24"/>
          <w:szCs w:val="24"/>
        </w:rPr>
        <w:t>b) në nenin 6 bëhen ndryshimet e mëposhtme:</w:t>
      </w:r>
    </w:p>
    <w:p w14:paraId="3EF57ABE" w14:textId="77777777" w:rsidR="00D851B9" w:rsidRPr="003C1725" w:rsidRDefault="00D851B9" w:rsidP="00D851B9">
      <w:pPr>
        <w:spacing w:after="0" w:line="240" w:lineRule="auto"/>
        <w:ind w:firstLine="284"/>
        <w:jc w:val="both"/>
        <w:rPr>
          <w:rFonts w:ascii="Garamond" w:hAnsi="Garamond"/>
          <w:sz w:val="24"/>
          <w:szCs w:val="24"/>
        </w:rPr>
      </w:pPr>
      <w:r w:rsidRPr="003C1725">
        <w:rPr>
          <w:rFonts w:ascii="Garamond" w:hAnsi="Garamond"/>
          <w:sz w:val="24"/>
          <w:szCs w:val="24"/>
        </w:rPr>
        <w:t>i. në pikën 2, shkronja “b” ndryshon me përmbajtjen e mëposhtme:</w:t>
      </w:r>
    </w:p>
    <w:p w14:paraId="3EF57ABF"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“b. vlerën totale të kredisë;”,</w:t>
      </w:r>
    </w:p>
    <w:p w14:paraId="3EF57AC0" w14:textId="77777777" w:rsidR="00D851B9" w:rsidRPr="003C1725" w:rsidRDefault="00D851B9" w:rsidP="00D851B9">
      <w:pPr>
        <w:spacing w:after="0" w:line="240" w:lineRule="auto"/>
        <w:ind w:firstLine="284"/>
        <w:jc w:val="both"/>
        <w:rPr>
          <w:rFonts w:ascii="Garamond" w:hAnsi="Garamond"/>
          <w:sz w:val="24"/>
          <w:szCs w:val="24"/>
        </w:rPr>
      </w:pPr>
      <w:r w:rsidRPr="003C1725">
        <w:rPr>
          <w:rFonts w:ascii="Garamond" w:hAnsi="Garamond"/>
          <w:sz w:val="24"/>
          <w:szCs w:val="24"/>
        </w:rPr>
        <w:t>ii. në pikën 2, pas shkronjës “d”, shtohet shkronja “d/1” me përmbajtjen e mëposhtme:</w:t>
      </w:r>
    </w:p>
    <w:p w14:paraId="3EF57AC1" w14:textId="41161BA9"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“d/1. në rastin e një kredie në formën e një pagese të shtyrë, për një mall ose shërbim të veçantë, emërtimin e mallit ose shërbimit dhe çmimin në para (cash)”</w:t>
      </w:r>
      <w:r w:rsidR="003C1725">
        <w:rPr>
          <w:rFonts w:ascii="Garamond" w:hAnsi="Garamond"/>
          <w:i/>
          <w:iCs/>
          <w:sz w:val="24"/>
          <w:szCs w:val="24"/>
        </w:rPr>
        <w:t>;</w:t>
      </w:r>
    </w:p>
    <w:p w14:paraId="3EF57AC2" w14:textId="77777777" w:rsidR="00D851B9" w:rsidRPr="003C1725" w:rsidRDefault="00D851B9" w:rsidP="00D851B9">
      <w:pPr>
        <w:spacing w:after="0" w:line="240" w:lineRule="auto"/>
        <w:ind w:firstLine="284"/>
        <w:jc w:val="both"/>
        <w:rPr>
          <w:rFonts w:ascii="Garamond" w:hAnsi="Garamond"/>
          <w:sz w:val="24"/>
          <w:szCs w:val="24"/>
        </w:rPr>
      </w:pPr>
      <w:r w:rsidRPr="003C1725">
        <w:rPr>
          <w:rFonts w:ascii="Garamond" w:hAnsi="Garamond"/>
          <w:sz w:val="24"/>
          <w:szCs w:val="24"/>
        </w:rPr>
        <w:t>iii. në pikën 2, pas shkronjës “u”, shtohet shkronja “v” me përmbajtjen e mëposhtme:</w:t>
      </w:r>
    </w:p>
    <w:p w14:paraId="3EF57AC3" w14:textId="33540253"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“v. të drejtën e konsumatorit për t’u pajisur, me kërkesën e tij dhe pa pagesë, me një kopje të projektkontratës së kredisë. Kjo e drejtë nuk do të ushtrohet nëse banka, në kohën e kërkesës, nuk është e gatshme të vazhdojë me nënshkrimin e kontrat</w:t>
      </w:r>
      <w:r w:rsidR="003C1725">
        <w:rPr>
          <w:rFonts w:ascii="Garamond" w:hAnsi="Garamond"/>
          <w:i/>
          <w:iCs/>
          <w:sz w:val="24"/>
          <w:szCs w:val="24"/>
        </w:rPr>
        <w:t>ës së kredisë me konsumatorin.”;</w:t>
      </w:r>
    </w:p>
    <w:p w14:paraId="3EF57AC4" w14:textId="77777777" w:rsidR="00D851B9" w:rsidRPr="003C1725" w:rsidRDefault="00D851B9" w:rsidP="00D851B9">
      <w:pPr>
        <w:spacing w:after="0" w:line="240" w:lineRule="auto"/>
        <w:ind w:firstLine="284"/>
        <w:jc w:val="both"/>
        <w:rPr>
          <w:rFonts w:ascii="Garamond" w:hAnsi="Garamond"/>
          <w:sz w:val="24"/>
          <w:szCs w:val="24"/>
        </w:rPr>
      </w:pPr>
      <w:r w:rsidRPr="003C1725">
        <w:rPr>
          <w:rFonts w:ascii="Garamond" w:hAnsi="Garamond"/>
          <w:sz w:val="24"/>
          <w:szCs w:val="24"/>
        </w:rPr>
        <w:t>iv. pas pikës 2, shtohet pika 2/1 me përmbajtjen e mëposhtme:</w:t>
      </w:r>
    </w:p>
    <w:p w14:paraId="3EF57AC5" w14:textId="02D36E08"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 xml:space="preserve">“2/1. Çdo informacion shtesë që banka mund t’i japë konsumatorit, do të paraqitet në një dokument të veçantë, i cili mund t’i bashkëngjitet informacionit të standardizuar parakontraktor, pjesë e </w:t>
      </w:r>
      <w:r w:rsidR="003C1725" w:rsidRPr="003C1725">
        <w:rPr>
          <w:rFonts w:ascii="Garamond" w:hAnsi="Garamond"/>
          <w:i/>
          <w:iCs/>
          <w:sz w:val="24"/>
          <w:szCs w:val="24"/>
        </w:rPr>
        <w:t xml:space="preserve">aneksit </w:t>
      </w:r>
      <w:r w:rsidRPr="003C1725">
        <w:rPr>
          <w:rFonts w:ascii="Garamond" w:hAnsi="Garamond"/>
          <w:i/>
          <w:iCs/>
          <w:sz w:val="24"/>
          <w:szCs w:val="24"/>
        </w:rPr>
        <w:t>1 të kësaj rregulloreje”;</w:t>
      </w:r>
    </w:p>
    <w:p w14:paraId="3EF57AC6"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sz w:val="24"/>
          <w:szCs w:val="24"/>
        </w:rPr>
        <w:t>c) në nenin 7 bëhen ndryshimet e mëposhtme:</w:t>
      </w:r>
    </w:p>
    <w:p w14:paraId="3EF57AC7" w14:textId="77777777" w:rsidR="00D851B9" w:rsidRPr="003C1725" w:rsidRDefault="00D851B9" w:rsidP="00D851B9">
      <w:pPr>
        <w:spacing w:after="0" w:line="240" w:lineRule="auto"/>
        <w:ind w:firstLine="284"/>
        <w:jc w:val="both"/>
        <w:rPr>
          <w:rFonts w:ascii="Garamond" w:hAnsi="Garamond"/>
          <w:sz w:val="24"/>
          <w:szCs w:val="24"/>
        </w:rPr>
      </w:pPr>
      <w:r w:rsidRPr="003C1725">
        <w:rPr>
          <w:rFonts w:ascii="Garamond" w:hAnsi="Garamond"/>
          <w:sz w:val="24"/>
          <w:szCs w:val="24"/>
        </w:rPr>
        <w:t>i. në pikën 2, pas shkronjës “e”, shtohet shkronja “e/1” me përmbajtjen e mëposhtme:</w:t>
      </w:r>
    </w:p>
    <w:p w14:paraId="3EF57AC8"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“e/1. në rastin e një kredie në formën e një pagese të shtyrë, për një mall ose shërbim të veçantë, emërtimin e mallit ose shërbimit dhe çmimin në para (cash);”,</w:t>
      </w:r>
    </w:p>
    <w:p w14:paraId="3EF57AC9" w14:textId="77777777" w:rsidR="00D851B9" w:rsidRPr="003C1725" w:rsidRDefault="00D851B9" w:rsidP="00D851B9">
      <w:pPr>
        <w:spacing w:after="0" w:line="240" w:lineRule="auto"/>
        <w:ind w:firstLine="284"/>
        <w:jc w:val="both"/>
        <w:rPr>
          <w:rFonts w:ascii="Garamond" w:hAnsi="Garamond"/>
          <w:sz w:val="24"/>
          <w:szCs w:val="24"/>
        </w:rPr>
      </w:pPr>
      <w:r w:rsidRPr="003C1725">
        <w:rPr>
          <w:rFonts w:ascii="Garamond" w:hAnsi="Garamond"/>
          <w:sz w:val="24"/>
          <w:szCs w:val="24"/>
        </w:rPr>
        <w:t>ii. në pikën 2, pas shkronjës “t”, shtohet shkronja “u” me përmbajtjen e mëposhtme:</w:t>
      </w:r>
    </w:p>
    <w:p w14:paraId="3EF57ACA"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“u) në rastin kur përfshihet plani i shlyerjes së kredisë në një kontratë kredie me kohëzgjatje fikse/me afat, të drejtën e konsumatorit për të marrë, me kërkesë të tij dhe pa pagesë, në çdo kohë gjatë gjithë kohëzgjatjes së kontratës së kredisë, gjendjen e llogarisë, në formën e një plani shlyerjeje (informacion për shumën që ka shlyer dhe detyrimin e mbetur).”;</w:t>
      </w:r>
    </w:p>
    <w:p w14:paraId="3EF57ACB"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sz w:val="24"/>
          <w:szCs w:val="24"/>
        </w:rPr>
        <w:lastRenderedPageBreak/>
        <w:t>d) në nenin 9, pas pikës 5 shtohet pika 6 me përmbajtjen e mëposhtme:</w:t>
      </w:r>
    </w:p>
    <w:p w14:paraId="3EF57ACC"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“6. Në rastet kur banka ose një palë e tretë ofron një shërbim ndihmës në lidhje me kontratën e kredisë, në bazë të një kontrate midis palës së tretë dhe bankës, konsumatori nuk do të ketë më detyrime nga kontrata e shërbimit ndihmës, nëse ai (konsumatori) tërhiqet nga kontrata e kredisë, në përputhje me këtë nen.”;</w:t>
      </w:r>
    </w:p>
    <w:p w14:paraId="3EF57ACD"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sz w:val="24"/>
          <w:szCs w:val="24"/>
        </w:rPr>
        <w:t xml:space="preserve">e) pas nenit 10, shtohet neni 10/1 me përmbajtjen e mëposhtme: </w:t>
      </w:r>
    </w:p>
    <w:p w14:paraId="3EF57ACE" w14:textId="77777777" w:rsidR="00D851B9" w:rsidRPr="003C1725" w:rsidRDefault="00D851B9" w:rsidP="00D851B9">
      <w:pPr>
        <w:pStyle w:val="BodyText2"/>
        <w:spacing w:after="0" w:line="240" w:lineRule="auto"/>
        <w:ind w:firstLine="284"/>
        <w:jc w:val="both"/>
        <w:rPr>
          <w:rFonts w:ascii="Garamond" w:hAnsi="Garamond"/>
        </w:rPr>
      </w:pPr>
    </w:p>
    <w:p w14:paraId="3EF57ACF" w14:textId="77777777" w:rsidR="00D851B9" w:rsidRPr="003C1725" w:rsidRDefault="00D851B9" w:rsidP="00D851B9">
      <w:pPr>
        <w:spacing w:after="0" w:line="240" w:lineRule="auto"/>
        <w:ind w:firstLine="284"/>
        <w:jc w:val="center"/>
        <w:rPr>
          <w:rFonts w:ascii="Garamond" w:hAnsi="Garamond"/>
          <w:i/>
          <w:iCs/>
          <w:sz w:val="24"/>
          <w:szCs w:val="24"/>
        </w:rPr>
      </w:pPr>
      <w:r w:rsidRPr="003C1725">
        <w:rPr>
          <w:rFonts w:ascii="Garamond" w:hAnsi="Garamond"/>
          <w:i/>
          <w:iCs/>
          <w:sz w:val="24"/>
          <w:szCs w:val="24"/>
        </w:rPr>
        <w:t>“Neni 10/1</w:t>
      </w:r>
    </w:p>
    <w:p w14:paraId="3EF57AD0" w14:textId="77777777" w:rsidR="00D851B9" w:rsidRPr="000D3CA2" w:rsidRDefault="00D851B9" w:rsidP="00D851B9">
      <w:pPr>
        <w:spacing w:after="0" w:line="240" w:lineRule="auto"/>
        <w:ind w:firstLine="284"/>
        <w:jc w:val="center"/>
        <w:rPr>
          <w:rFonts w:ascii="Garamond" w:hAnsi="Garamond"/>
          <w:b/>
          <w:i/>
          <w:iCs/>
          <w:sz w:val="24"/>
          <w:szCs w:val="24"/>
        </w:rPr>
      </w:pPr>
      <w:r w:rsidRPr="000D3CA2">
        <w:rPr>
          <w:rFonts w:ascii="Garamond" w:hAnsi="Garamond"/>
          <w:b/>
          <w:i/>
          <w:iCs/>
          <w:sz w:val="24"/>
          <w:szCs w:val="24"/>
        </w:rPr>
        <w:t>Tejkalimi i limitit (overrunning)</w:t>
      </w:r>
    </w:p>
    <w:p w14:paraId="3EF57AD1" w14:textId="77777777" w:rsidR="00D851B9" w:rsidRPr="003C1725" w:rsidRDefault="00D851B9" w:rsidP="00D851B9">
      <w:pPr>
        <w:spacing w:after="0" w:line="240" w:lineRule="auto"/>
        <w:ind w:firstLine="284"/>
        <w:jc w:val="center"/>
        <w:rPr>
          <w:rFonts w:ascii="Garamond" w:hAnsi="Garamond"/>
          <w:i/>
          <w:iCs/>
          <w:sz w:val="24"/>
          <w:szCs w:val="24"/>
        </w:rPr>
      </w:pPr>
    </w:p>
    <w:p w14:paraId="3EF57AD2"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1. Në rastin e një kontrate për hapjen e një llogarie rrjedhëse, ku ekziston mundësia që konsumatori të pranojë t’i ofrohet një tejkalim limiti, kontrata do të përmbajë edhe informacionin shtesë të parashikuar në shkronjën “f” të pikës 2 të nenit 6 të kësaj rregulloreje. Banka, në çdo rast, kur ka tejkalim të limitit, vendos në dispozicion të konsumatorit këtë informacion, me shkresë ose nëpërmjet një mjeti tjetër të qëndrueshëm komunikimi, në mënyrë të rregullt.</w:t>
      </w:r>
    </w:p>
    <w:p w14:paraId="3EF57AD3"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2. Në rast të një tejkalimi të rëndësishëm/të konsiderueshëm të limitit, për një periudhë prej më shumë se 1 (një) muaji, banka njofton konsumatorin pa vonesë, me shkresë ose nëpërmjet një mjeti tjetër të qëndrueshëm komunikimi, për:</w:t>
      </w:r>
    </w:p>
    <w:p w14:paraId="3EF57AD4"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a) tejkalimin e limitit;</w:t>
      </w:r>
    </w:p>
    <w:p w14:paraId="3EF57AD5"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b) shumën e tejkalimit;</w:t>
      </w:r>
    </w:p>
    <w:p w14:paraId="3EF57AD6"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c) normën e interesit;</w:t>
      </w:r>
    </w:p>
    <w:p w14:paraId="3EF57AD7" w14:textId="77777777" w:rsidR="00D851B9" w:rsidRPr="003C1725" w:rsidRDefault="00D851B9" w:rsidP="00D851B9">
      <w:pPr>
        <w:spacing w:after="0" w:line="240" w:lineRule="auto"/>
        <w:ind w:firstLine="284"/>
        <w:jc w:val="both"/>
        <w:rPr>
          <w:rFonts w:ascii="Garamond" w:hAnsi="Garamond"/>
          <w:i/>
          <w:iCs/>
          <w:sz w:val="24"/>
          <w:szCs w:val="24"/>
        </w:rPr>
      </w:pPr>
      <w:r w:rsidRPr="003C1725">
        <w:rPr>
          <w:rFonts w:ascii="Garamond" w:hAnsi="Garamond"/>
          <w:i/>
          <w:iCs/>
          <w:sz w:val="24"/>
          <w:szCs w:val="24"/>
        </w:rPr>
        <w:t>d) çdo penalitet, komision apo interes të aplikueshëm.”;</w:t>
      </w:r>
    </w:p>
    <w:p w14:paraId="3EF57AD8" w14:textId="77777777" w:rsidR="00D851B9" w:rsidRPr="003C1725" w:rsidRDefault="00D851B9" w:rsidP="00C72EBF">
      <w:pPr>
        <w:spacing w:after="0" w:line="240" w:lineRule="auto"/>
        <w:jc w:val="both"/>
        <w:rPr>
          <w:rFonts w:ascii="Garamond" w:hAnsi="Garamond"/>
          <w:i/>
          <w:iCs/>
          <w:sz w:val="24"/>
          <w:szCs w:val="24"/>
        </w:rPr>
      </w:pPr>
      <w:bookmarkStart w:id="0" w:name="_GoBack"/>
      <w:bookmarkEnd w:id="0"/>
      <w:r w:rsidRPr="003C1725">
        <w:rPr>
          <w:rFonts w:ascii="Garamond" w:hAnsi="Garamond"/>
          <w:sz w:val="24"/>
          <w:szCs w:val="24"/>
        </w:rPr>
        <w:t xml:space="preserve">f) në aneksin 1 bëhen ndryshimet e mëposhtme: </w:t>
      </w:r>
    </w:p>
    <w:p w14:paraId="3EF57AD9" w14:textId="68E03725" w:rsidR="00D851B9" w:rsidRPr="003C1725" w:rsidRDefault="00D851B9" w:rsidP="00D851B9">
      <w:pPr>
        <w:pStyle w:val="ListParagraph"/>
        <w:spacing w:after="0" w:line="240" w:lineRule="auto"/>
        <w:ind w:left="284"/>
        <w:jc w:val="both"/>
        <w:rPr>
          <w:rFonts w:ascii="Garamond" w:hAnsi="Garamond" w:cs="Times New Roman"/>
          <w:sz w:val="24"/>
          <w:szCs w:val="24"/>
        </w:rPr>
      </w:pPr>
      <w:r w:rsidRPr="003C1725">
        <w:rPr>
          <w:rFonts w:ascii="Garamond" w:hAnsi="Garamond" w:cs="Times New Roman"/>
          <w:sz w:val="24"/>
          <w:szCs w:val="24"/>
        </w:rPr>
        <w:t>i. në tabelën 2, pas rreshtit të 8-të</w:t>
      </w:r>
      <w:r w:rsidR="009732A0">
        <w:rPr>
          <w:rFonts w:ascii="Garamond" w:hAnsi="Garamond" w:cs="Times New Roman"/>
          <w:sz w:val="24"/>
          <w:szCs w:val="24"/>
        </w:rPr>
        <w:t>,</w:t>
      </w:r>
      <w:r w:rsidRPr="003C1725">
        <w:rPr>
          <w:rFonts w:ascii="Garamond" w:hAnsi="Garamond" w:cs="Times New Roman"/>
          <w:sz w:val="24"/>
          <w:szCs w:val="24"/>
        </w:rPr>
        <w:t xml:space="preserve"> “Shuma totale që konsumatori do të ketë për të paguar”, shtohet rreshti i 9-të me përmbajtjen e mëposhtme:</w:t>
      </w:r>
    </w:p>
    <w:p w14:paraId="3EF57ADA" w14:textId="77777777" w:rsidR="00D851B9" w:rsidRPr="003C1725" w:rsidRDefault="00D851B9" w:rsidP="00D851B9">
      <w:pPr>
        <w:pStyle w:val="ListParagraph"/>
        <w:spacing w:after="0" w:line="240" w:lineRule="auto"/>
        <w:ind w:left="0" w:firstLine="284"/>
        <w:rPr>
          <w:rFonts w:ascii="Garamond" w:hAnsi="Garamond" w:cs="Times New Roman"/>
          <w:sz w:val="24"/>
          <w:szCs w:val="24"/>
        </w:rPr>
      </w:pPr>
    </w:p>
    <w:tbl>
      <w:tblPr>
        <w:tblStyle w:val="TableGrid"/>
        <w:tblW w:w="5000" w:type="pct"/>
        <w:tblLook w:val="04A0" w:firstRow="1" w:lastRow="0" w:firstColumn="1" w:lastColumn="0" w:noHBand="0" w:noVBand="1"/>
      </w:tblPr>
      <w:tblGrid>
        <w:gridCol w:w="5050"/>
        <w:gridCol w:w="4526"/>
      </w:tblGrid>
      <w:tr w:rsidR="00D851B9" w:rsidRPr="003C1725" w14:paraId="3EF57AE0" w14:textId="77777777" w:rsidTr="003C1725">
        <w:tc>
          <w:tcPr>
            <w:tcW w:w="2637" w:type="pct"/>
          </w:tcPr>
          <w:p w14:paraId="3EF57ADB" w14:textId="77777777" w:rsidR="00D851B9" w:rsidRPr="003C1725" w:rsidRDefault="00D851B9" w:rsidP="003C1725">
            <w:pPr>
              <w:rPr>
                <w:rFonts w:ascii="Garamond" w:hAnsi="Garamond" w:cs="Times New Roman"/>
                <w:i/>
                <w:sz w:val="16"/>
                <w:szCs w:val="16"/>
              </w:rPr>
            </w:pPr>
            <w:r w:rsidRPr="003C1725">
              <w:rPr>
                <w:rFonts w:ascii="Garamond" w:hAnsi="Garamond" w:cs="Times New Roman"/>
                <w:i/>
                <w:sz w:val="16"/>
                <w:szCs w:val="16"/>
              </w:rPr>
              <w:t>Nëse është e aplikueshme</w:t>
            </w:r>
          </w:p>
          <w:p w14:paraId="3EF57ADC" w14:textId="77777777" w:rsidR="00D851B9" w:rsidRPr="003C1725" w:rsidRDefault="00D851B9" w:rsidP="003C1725">
            <w:pPr>
              <w:rPr>
                <w:rFonts w:ascii="Garamond" w:hAnsi="Garamond" w:cs="Times New Roman"/>
                <w:i/>
              </w:rPr>
            </w:pPr>
            <w:r w:rsidRPr="003C1725">
              <w:rPr>
                <w:rFonts w:ascii="Garamond" w:hAnsi="Garamond" w:cs="Times New Roman"/>
                <w:i/>
              </w:rPr>
              <w:t>Kredia jepet në formën e një pagese të shtyrë për një mall ose shërbim, ose lidhet me furnizimin e mallrave të veçanta ose ofrimin e një shërbimi</w:t>
            </w:r>
          </w:p>
          <w:p w14:paraId="3EF57ADD" w14:textId="77777777" w:rsidR="00D851B9" w:rsidRPr="003C1725" w:rsidRDefault="00D851B9" w:rsidP="003C1725">
            <w:pPr>
              <w:rPr>
                <w:rFonts w:ascii="Garamond" w:hAnsi="Garamond" w:cs="Times New Roman"/>
                <w:i/>
              </w:rPr>
            </w:pPr>
            <w:r w:rsidRPr="003C1725">
              <w:rPr>
                <w:rFonts w:ascii="Garamond" w:hAnsi="Garamond" w:cs="Times New Roman"/>
                <w:i/>
              </w:rPr>
              <w:t>Emërtimi i mallit/shërbimit</w:t>
            </w:r>
          </w:p>
          <w:p w14:paraId="3EF57ADE" w14:textId="77777777" w:rsidR="00D851B9" w:rsidRPr="003C1725" w:rsidRDefault="00D851B9" w:rsidP="00D851B9">
            <w:pPr>
              <w:rPr>
                <w:rFonts w:ascii="Garamond" w:hAnsi="Garamond" w:cs="Times New Roman"/>
                <w:sz w:val="24"/>
                <w:szCs w:val="24"/>
              </w:rPr>
            </w:pPr>
            <w:r w:rsidRPr="003C1725">
              <w:rPr>
                <w:rFonts w:ascii="Garamond" w:hAnsi="Garamond" w:cs="Times New Roman"/>
                <w:i/>
              </w:rPr>
              <w:t>Çmimi në para (cash)</w:t>
            </w:r>
          </w:p>
        </w:tc>
        <w:tc>
          <w:tcPr>
            <w:tcW w:w="2363" w:type="pct"/>
          </w:tcPr>
          <w:p w14:paraId="3EF57ADF" w14:textId="77777777" w:rsidR="00D851B9" w:rsidRPr="003C1725" w:rsidRDefault="00D851B9" w:rsidP="003C1725">
            <w:pPr>
              <w:pStyle w:val="ListParagraph"/>
              <w:tabs>
                <w:tab w:val="num" w:pos="1985"/>
              </w:tabs>
              <w:spacing w:after="0" w:line="240" w:lineRule="auto"/>
              <w:ind w:left="0"/>
              <w:jc w:val="both"/>
              <w:rPr>
                <w:rFonts w:ascii="Garamond" w:hAnsi="Garamond" w:cs="Times New Roman"/>
                <w:sz w:val="24"/>
                <w:szCs w:val="24"/>
              </w:rPr>
            </w:pPr>
          </w:p>
        </w:tc>
      </w:tr>
    </w:tbl>
    <w:p w14:paraId="3EF57AE1" w14:textId="77777777" w:rsidR="00D851B9" w:rsidRPr="003C1725" w:rsidRDefault="00D851B9" w:rsidP="00D851B9">
      <w:pPr>
        <w:pStyle w:val="ListParagraph"/>
        <w:spacing w:after="0" w:line="240" w:lineRule="auto"/>
        <w:ind w:left="1560"/>
        <w:jc w:val="both"/>
        <w:rPr>
          <w:rFonts w:ascii="Garamond" w:hAnsi="Garamond" w:cs="Times New Roman"/>
          <w:sz w:val="24"/>
          <w:szCs w:val="24"/>
        </w:rPr>
      </w:pPr>
    </w:p>
    <w:p w14:paraId="3EF57AE2" w14:textId="77777777" w:rsidR="00D851B9" w:rsidRPr="003C1725" w:rsidRDefault="00D851B9" w:rsidP="00D851B9">
      <w:pPr>
        <w:pStyle w:val="ListParagraph"/>
        <w:spacing w:after="0" w:line="240" w:lineRule="auto"/>
        <w:ind w:left="0" w:firstLine="284"/>
        <w:jc w:val="both"/>
        <w:rPr>
          <w:rFonts w:ascii="Garamond" w:hAnsi="Garamond" w:cs="Times New Roman"/>
          <w:sz w:val="24"/>
          <w:szCs w:val="24"/>
        </w:rPr>
      </w:pPr>
      <w:r w:rsidRPr="003C1725">
        <w:rPr>
          <w:rFonts w:ascii="Garamond" w:hAnsi="Garamond" w:cs="Times New Roman"/>
          <w:sz w:val="24"/>
          <w:szCs w:val="24"/>
        </w:rPr>
        <w:t>ii. në tabelën 3 “Kostoja e kredisë”, rreshti i 3-të ndryshon si më poshtë: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1"/>
        <w:gridCol w:w="4625"/>
      </w:tblGrid>
      <w:tr w:rsidR="00D851B9" w:rsidRPr="003C1725" w14:paraId="3EF57AEB" w14:textId="77777777" w:rsidTr="003C1725">
        <w:tc>
          <w:tcPr>
            <w:tcW w:w="2585" w:type="pct"/>
            <w:shd w:val="clear" w:color="auto" w:fill="auto"/>
          </w:tcPr>
          <w:p w14:paraId="3EF57AE3" w14:textId="77777777" w:rsidR="00D851B9" w:rsidRPr="003C1725" w:rsidRDefault="00D851B9" w:rsidP="003C1725">
            <w:pPr>
              <w:spacing w:after="0" w:line="240" w:lineRule="auto"/>
              <w:jc w:val="both"/>
              <w:rPr>
                <w:rFonts w:ascii="Garamond" w:hAnsi="Garamond" w:cs="Times New Roman"/>
                <w:i/>
              </w:rPr>
            </w:pPr>
            <w:r w:rsidRPr="003C1725">
              <w:rPr>
                <w:rFonts w:ascii="Garamond" w:hAnsi="Garamond" w:cs="Times New Roman"/>
                <w:i/>
              </w:rPr>
              <w:t>A është e mundur të përfitohet kredia sipas kushteve të punës në të cilat tregtohet, duke përjashtuar:</w:t>
            </w:r>
          </w:p>
          <w:p w14:paraId="3EF57AE4" w14:textId="5C595C90" w:rsidR="00D851B9" w:rsidRPr="003C1725" w:rsidRDefault="00D851B9" w:rsidP="003C1725">
            <w:pPr>
              <w:spacing w:after="0" w:line="240" w:lineRule="auto"/>
              <w:jc w:val="both"/>
              <w:rPr>
                <w:rFonts w:ascii="Garamond" w:hAnsi="Garamond" w:cs="Times New Roman"/>
                <w:i/>
              </w:rPr>
            </w:pPr>
            <w:r w:rsidRPr="003C1725">
              <w:rPr>
                <w:rFonts w:ascii="Garamond" w:hAnsi="Garamond" w:cs="Times New Roman"/>
                <w:i/>
              </w:rPr>
              <w:t>-</w:t>
            </w:r>
            <w:r w:rsidR="009732A0">
              <w:rPr>
                <w:rFonts w:ascii="Garamond" w:hAnsi="Garamond" w:cs="Times New Roman"/>
                <w:i/>
              </w:rPr>
              <w:t xml:space="preserve"> </w:t>
            </w:r>
            <w:r w:rsidRPr="003C1725">
              <w:rPr>
                <w:rFonts w:ascii="Garamond" w:hAnsi="Garamond" w:cs="Times New Roman"/>
                <w:i/>
              </w:rPr>
              <w:t>ko</w:t>
            </w:r>
            <w:r w:rsidR="009732A0">
              <w:rPr>
                <w:rFonts w:ascii="Garamond" w:hAnsi="Garamond" w:cs="Times New Roman"/>
                <w:i/>
              </w:rPr>
              <w:t>ntratat e sigurimit për kredinë;</w:t>
            </w:r>
          </w:p>
          <w:p w14:paraId="3EF57AE5" w14:textId="62B79747" w:rsidR="00D851B9" w:rsidRPr="003C1725" w:rsidRDefault="00D851B9" w:rsidP="003C1725">
            <w:pPr>
              <w:spacing w:after="0" w:line="240" w:lineRule="auto"/>
              <w:ind w:left="162" w:hanging="180"/>
              <w:jc w:val="both"/>
              <w:rPr>
                <w:rFonts w:ascii="Garamond" w:hAnsi="Garamond" w:cs="Times New Roman"/>
                <w:i/>
              </w:rPr>
            </w:pPr>
            <w:r w:rsidRPr="003C1725">
              <w:rPr>
                <w:rFonts w:ascii="Garamond" w:hAnsi="Garamond" w:cs="Times New Roman"/>
                <w:i/>
              </w:rPr>
              <w:t>-</w:t>
            </w:r>
            <w:r w:rsidR="009732A0">
              <w:rPr>
                <w:rFonts w:ascii="Garamond" w:hAnsi="Garamond" w:cs="Times New Roman"/>
                <w:i/>
              </w:rPr>
              <w:t xml:space="preserve"> </w:t>
            </w:r>
            <w:r w:rsidRPr="003C1725">
              <w:rPr>
                <w:rFonts w:ascii="Garamond" w:hAnsi="Garamond" w:cs="Times New Roman"/>
                <w:i/>
              </w:rPr>
              <w:t>një kontrat</w:t>
            </w:r>
            <w:r w:rsidR="009732A0">
              <w:rPr>
                <w:rFonts w:ascii="Garamond" w:hAnsi="Garamond" w:cs="Times New Roman"/>
                <w:i/>
              </w:rPr>
              <w:t>ë tjetër të shërbimeve ndihmëse.</w:t>
            </w:r>
            <w:r w:rsidRPr="003C1725">
              <w:rPr>
                <w:rFonts w:ascii="Garamond" w:hAnsi="Garamond" w:cs="Times New Roman"/>
                <w:i/>
              </w:rPr>
              <w:t xml:space="preserve"> </w:t>
            </w:r>
          </w:p>
          <w:p w14:paraId="3EF57AE6" w14:textId="77777777" w:rsidR="00D851B9" w:rsidRPr="003C1725" w:rsidRDefault="00D851B9" w:rsidP="003C1725">
            <w:pPr>
              <w:spacing w:after="0" w:line="240" w:lineRule="auto"/>
              <w:jc w:val="both"/>
              <w:rPr>
                <w:rFonts w:ascii="Garamond" w:hAnsi="Garamond" w:cs="Times New Roman"/>
                <w:b/>
                <w:i/>
              </w:rPr>
            </w:pPr>
            <w:r w:rsidRPr="003C1725">
              <w:rPr>
                <w:rFonts w:ascii="Garamond" w:hAnsi="Garamond" w:cs="Times New Roman"/>
                <w:i/>
              </w:rPr>
              <w:t>Nëse kostot e këtyre shërbimeve nuk njihen nga banka, ato nuk do të përfshihen në NEI.</w:t>
            </w:r>
          </w:p>
        </w:tc>
        <w:tc>
          <w:tcPr>
            <w:tcW w:w="2415" w:type="pct"/>
            <w:shd w:val="clear" w:color="auto" w:fill="auto"/>
          </w:tcPr>
          <w:p w14:paraId="3EF57AE7" w14:textId="77777777" w:rsidR="00D851B9" w:rsidRPr="003C1725" w:rsidRDefault="00D851B9" w:rsidP="003C1725">
            <w:pPr>
              <w:spacing w:after="0" w:line="240" w:lineRule="auto"/>
              <w:jc w:val="center"/>
              <w:rPr>
                <w:rFonts w:ascii="Garamond" w:hAnsi="Garamond" w:cs="Times New Roman"/>
                <w:b/>
                <w:i/>
              </w:rPr>
            </w:pPr>
          </w:p>
          <w:p w14:paraId="3EF57AE8" w14:textId="77777777" w:rsidR="00D851B9" w:rsidRPr="003C1725" w:rsidRDefault="00D851B9" w:rsidP="003C1725">
            <w:pPr>
              <w:spacing w:after="0" w:line="240" w:lineRule="auto"/>
              <w:jc w:val="center"/>
              <w:rPr>
                <w:rFonts w:ascii="Garamond" w:hAnsi="Garamond" w:cs="Times New Roman"/>
                <w:i/>
              </w:rPr>
            </w:pPr>
            <w:r w:rsidRPr="003C1725">
              <w:rPr>
                <w:rFonts w:ascii="Garamond" w:hAnsi="Garamond" w:cs="Times New Roman"/>
                <w:i/>
              </w:rPr>
              <w:t>Po/jo [nëse po, specifikoni llojin e sigurimit]</w:t>
            </w:r>
          </w:p>
          <w:p w14:paraId="3EF57AE9" w14:textId="77777777" w:rsidR="00D851B9" w:rsidRPr="003C1725" w:rsidRDefault="00D851B9" w:rsidP="003C1725">
            <w:pPr>
              <w:spacing w:after="0" w:line="240" w:lineRule="auto"/>
              <w:jc w:val="center"/>
              <w:rPr>
                <w:rFonts w:ascii="Garamond" w:hAnsi="Garamond" w:cs="Times New Roman"/>
                <w:i/>
              </w:rPr>
            </w:pPr>
            <w:r w:rsidRPr="003C1725">
              <w:rPr>
                <w:rFonts w:ascii="Garamond" w:hAnsi="Garamond" w:cs="Times New Roman"/>
                <w:i/>
              </w:rPr>
              <w:t>Po/jo [nëse po, specifikoni llojin e shërbimit ndihmës]</w:t>
            </w:r>
          </w:p>
          <w:p w14:paraId="3EF57AEA" w14:textId="77777777" w:rsidR="00D851B9" w:rsidRPr="003C1725" w:rsidRDefault="00D851B9" w:rsidP="003C1725">
            <w:pPr>
              <w:spacing w:after="0" w:line="240" w:lineRule="auto"/>
              <w:jc w:val="center"/>
              <w:rPr>
                <w:rFonts w:ascii="Garamond" w:hAnsi="Garamond" w:cs="Times New Roman"/>
                <w:b/>
                <w:i/>
              </w:rPr>
            </w:pPr>
          </w:p>
        </w:tc>
      </w:tr>
    </w:tbl>
    <w:p w14:paraId="3EF57AEC" w14:textId="77777777" w:rsidR="00D851B9" w:rsidRPr="003C1725" w:rsidRDefault="00D851B9" w:rsidP="00D851B9">
      <w:pPr>
        <w:pStyle w:val="ListParagraph"/>
        <w:spacing w:after="0" w:line="240" w:lineRule="auto"/>
        <w:ind w:left="284"/>
        <w:jc w:val="both"/>
        <w:rPr>
          <w:rFonts w:ascii="Garamond" w:hAnsi="Garamond" w:cs="Times New Roman"/>
          <w:sz w:val="24"/>
          <w:szCs w:val="24"/>
        </w:rPr>
      </w:pPr>
    </w:p>
    <w:p w14:paraId="3EF57AED" w14:textId="77777777" w:rsidR="00D851B9" w:rsidRPr="003C1725" w:rsidRDefault="00D851B9" w:rsidP="00D851B9">
      <w:pPr>
        <w:pStyle w:val="ListParagraph"/>
        <w:spacing w:after="0" w:line="240" w:lineRule="auto"/>
        <w:ind w:left="284"/>
        <w:jc w:val="both"/>
        <w:rPr>
          <w:rFonts w:ascii="Garamond" w:hAnsi="Garamond" w:cs="Times New Roman"/>
          <w:sz w:val="24"/>
          <w:szCs w:val="24"/>
        </w:rPr>
      </w:pPr>
      <w:r w:rsidRPr="003C1725">
        <w:rPr>
          <w:rFonts w:ascii="Garamond" w:hAnsi="Garamond" w:cs="Times New Roman"/>
          <w:sz w:val="24"/>
          <w:szCs w:val="24"/>
        </w:rPr>
        <w:t>iii. në tabelën 4, rreshti i parë “E drejta për t’u tërhequr”, në kolonën e dytë shtohet togfjalëshi</w:t>
      </w:r>
      <w:r w:rsidRPr="003C1725">
        <w:rPr>
          <w:rFonts w:ascii="Garamond" w:hAnsi="Garamond" w:cs="Times New Roman"/>
          <w:i/>
          <w:sz w:val="24"/>
          <w:szCs w:val="24"/>
        </w:rPr>
        <w:t xml:space="preserve"> “Po/Jo”,</w:t>
      </w:r>
    </w:p>
    <w:p w14:paraId="3EF57AEE" w14:textId="13155795" w:rsidR="00D851B9" w:rsidRPr="003C1725" w:rsidRDefault="00D851B9" w:rsidP="00D851B9">
      <w:pPr>
        <w:pStyle w:val="ListParagraph"/>
        <w:spacing w:after="0" w:line="240" w:lineRule="auto"/>
        <w:ind w:left="284"/>
        <w:jc w:val="both"/>
        <w:rPr>
          <w:rFonts w:ascii="Garamond" w:hAnsi="Garamond" w:cs="Times New Roman"/>
          <w:sz w:val="24"/>
          <w:szCs w:val="24"/>
        </w:rPr>
      </w:pPr>
      <w:r w:rsidRPr="003C1725">
        <w:rPr>
          <w:rFonts w:ascii="Garamond" w:hAnsi="Garamond" w:cs="Times New Roman"/>
          <w:sz w:val="24"/>
          <w:szCs w:val="24"/>
        </w:rPr>
        <w:t>iv. në tabelën 4, pas rreshtit të 6-të</w:t>
      </w:r>
      <w:r w:rsidR="006158BA">
        <w:rPr>
          <w:rFonts w:ascii="Garamond" w:hAnsi="Garamond" w:cs="Times New Roman"/>
          <w:sz w:val="24"/>
          <w:szCs w:val="24"/>
        </w:rPr>
        <w:t>,</w:t>
      </w:r>
      <w:r w:rsidRPr="003C1725">
        <w:rPr>
          <w:rFonts w:ascii="Garamond" w:hAnsi="Garamond" w:cs="Times New Roman"/>
          <w:sz w:val="24"/>
          <w:szCs w:val="24"/>
        </w:rPr>
        <w:t xml:space="preserve"> “Informimi në rast refuzimi të kredisë”, shtohet rreshti i 7-të me përmbajtjen e mëposhtme:</w:t>
      </w:r>
    </w:p>
    <w:p w14:paraId="3EF57AEF" w14:textId="77777777" w:rsidR="00D851B9" w:rsidRPr="003C1725" w:rsidRDefault="00D851B9" w:rsidP="00D851B9">
      <w:pPr>
        <w:pStyle w:val="ListParagraph"/>
        <w:spacing w:after="0" w:line="240" w:lineRule="auto"/>
        <w:ind w:left="284"/>
        <w:jc w:val="both"/>
        <w:rPr>
          <w:rFonts w:ascii="Garamond" w:hAnsi="Garamond" w:cs="Times New Roman"/>
          <w:sz w:val="24"/>
          <w:szCs w:val="24"/>
        </w:rPr>
      </w:pPr>
    </w:p>
    <w:tbl>
      <w:tblPr>
        <w:tblStyle w:val="TableGrid"/>
        <w:tblW w:w="5000" w:type="pct"/>
        <w:tblLook w:val="04A0" w:firstRow="1" w:lastRow="0" w:firstColumn="1" w:lastColumn="0" w:noHBand="0" w:noVBand="1"/>
      </w:tblPr>
      <w:tblGrid>
        <w:gridCol w:w="4953"/>
        <w:gridCol w:w="4623"/>
      </w:tblGrid>
      <w:tr w:rsidR="00D851B9" w:rsidRPr="003C1725" w14:paraId="3EF57AF3" w14:textId="77777777" w:rsidTr="003C1725">
        <w:tc>
          <w:tcPr>
            <w:tcW w:w="2586" w:type="pct"/>
          </w:tcPr>
          <w:p w14:paraId="3EF57AF0" w14:textId="77777777" w:rsidR="00D851B9" w:rsidRPr="003C1725" w:rsidRDefault="00D851B9" w:rsidP="003C1725">
            <w:pPr>
              <w:jc w:val="both"/>
              <w:rPr>
                <w:rStyle w:val="hps"/>
                <w:rFonts w:ascii="Garamond" w:hAnsi="Garamond" w:cs="Times New Roman"/>
                <w:i/>
              </w:rPr>
            </w:pPr>
            <w:r w:rsidRPr="003C1725">
              <w:rPr>
                <w:rStyle w:val="hps"/>
                <w:rFonts w:ascii="Garamond" w:hAnsi="Garamond" w:cs="Times New Roman"/>
                <w:i/>
              </w:rPr>
              <w:lastRenderedPageBreak/>
              <w:t>E drejta e pajisjes me kopjen e projektkontratës së kredisë</w:t>
            </w:r>
          </w:p>
          <w:p w14:paraId="3EF57AF1" w14:textId="77777777" w:rsidR="00D851B9" w:rsidRPr="003C1725" w:rsidRDefault="00D851B9" w:rsidP="00D851B9">
            <w:pPr>
              <w:jc w:val="both"/>
              <w:rPr>
                <w:rFonts w:ascii="Garamond" w:hAnsi="Garamond" w:cs="Times New Roman"/>
                <w:sz w:val="24"/>
                <w:szCs w:val="24"/>
              </w:rPr>
            </w:pPr>
            <w:r w:rsidRPr="003C1725">
              <w:rPr>
                <w:rStyle w:val="hps"/>
                <w:rFonts w:ascii="Garamond" w:hAnsi="Garamond" w:cs="Times New Roman"/>
                <w:i/>
                <w:sz w:val="20"/>
                <w:szCs w:val="16"/>
              </w:rPr>
              <w:t>Konsumatori ka të drejtën për t'u pajisur, me kërkesën e tij dhe pa pagesë, me një kopje të projektkontratës së kredisë. Kjo e drejtë nuk do të zbatohet nëse banka, në kohën e kërkesës, nuk është e gatshme të vazhdojë me nënshkrimin e kontratës së kredisë me konsumatorin.</w:t>
            </w:r>
          </w:p>
        </w:tc>
        <w:tc>
          <w:tcPr>
            <w:tcW w:w="2414" w:type="pct"/>
          </w:tcPr>
          <w:p w14:paraId="3EF57AF2" w14:textId="77777777" w:rsidR="00D851B9" w:rsidRPr="003C1725" w:rsidRDefault="00D851B9" w:rsidP="003C1725">
            <w:pPr>
              <w:pStyle w:val="ListParagraph"/>
              <w:spacing w:after="0" w:line="240" w:lineRule="auto"/>
              <w:ind w:left="0"/>
              <w:jc w:val="both"/>
              <w:rPr>
                <w:rFonts w:ascii="Garamond" w:hAnsi="Garamond" w:cs="Times New Roman"/>
                <w:sz w:val="24"/>
                <w:szCs w:val="24"/>
              </w:rPr>
            </w:pPr>
          </w:p>
        </w:tc>
      </w:tr>
    </w:tbl>
    <w:p w14:paraId="3EF57AF4" w14:textId="77777777" w:rsidR="00D851B9" w:rsidRPr="003C1725" w:rsidRDefault="00D851B9" w:rsidP="00D851B9">
      <w:pPr>
        <w:spacing w:after="0" w:line="240" w:lineRule="auto"/>
        <w:jc w:val="both"/>
        <w:rPr>
          <w:rFonts w:ascii="Garamond" w:hAnsi="Garamond" w:cs="Times New Roman"/>
          <w:sz w:val="24"/>
          <w:szCs w:val="24"/>
        </w:rPr>
      </w:pPr>
    </w:p>
    <w:p w14:paraId="3EF57AF5" w14:textId="77777777" w:rsidR="00D851B9" w:rsidRPr="003C1725" w:rsidRDefault="00D851B9" w:rsidP="00D851B9">
      <w:pPr>
        <w:spacing w:after="0" w:line="240" w:lineRule="auto"/>
        <w:ind w:firstLine="284"/>
        <w:jc w:val="both"/>
        <w:rPr>
          <w:rFonts w:ascii="Garamond" w:eastAsia="Arial Unicode MS" w:hAnsi="Garamond" w:cs="Times New Roman"/>
          <w:color w:val="000000" w:themeColor="text1"/>
          <w:sz w:val="24"/>
          <w:szCs w:val="24"/>
        </w:rPr>
      </w:pPr>
      <w:r w:rsidRPr="003C1725">
        <w:rPr>
          <w:rFonts w:ascii="Garamond" w:eastAsia="Arial Unicode MS" w:hAnsi="Garamond" w:cs="Times New Roman"/>
          <w:color w:val="000000" w:themeColor="text1"/>
          <w:sz w:val="24"/>
          <w:szCs w:val="24"/>
        </w:rPr>
        <w:t>2. Ngarkohet Departamenti i Mbikëqyrjes, për ndjekjen e zbatimit të këtij vendimi.</w:t>
      </w:r>
    </w:p>
    <w:p w14:paraId="3EF57AF6" w14:textId="77777777" w:rsidR="00D851B9" w:rsidRPr="003C1725" w:rsidRDefault="00D851B9" w:rsidP="00D851B9">
      <w:pPr>
        <w:spacing w:after="0" w:line="240" w:lineRule="auto"/>
        <w:ind w:firstLine="284"/>
        <w:jc w:val="both"/>
        <w:rPr>
          <w:rFonts w:ascii="Garamond" w:eastAsia="Arial Unicode MS" w:hAnsi="Garamond" w:cs="Times New Roman"/>
          <w:color w:val="000000" w:themeColor="text1"/>
          <w:sz w:val="24"/>
          <w:szCs w:val="24"/>
        </w:rPr>
      </w:pPr>
      <w:r w:rsidRPr="003C1725">
        <w:rPr>
          <w:rFonts w:ascii="Garamond" w:eastAsia="Arial Unicode MS" w:hAnsi="Garamond" w:cs="Times New Roman"/>
          <w:color w:val="000000" w:themeColor="text1"/>
          <w:sz w:val="24"/>
          <w:szCs w:val="24"/>
        </w:rPr>
        <w:t>3. Ngarkohet Kabineti i Guvernatorit dhe Departamenti i Kërkimeve me publikimin e këtij vendimi, përkatësisht në Fletoren Zyrtare të Republikës së Shqipërisë dhe në Buletinin Zyrtar të Bankës së Shqipërisë.</w:t>
      </w:r>
    </w:p>
    <w:p w14:paraId="3EF57AF7" w14:textId="77777777" w:rsidR="00D851B9" w:rsidRDefault="00D851B9" w:rsidP="00D851B9">
      <w:pPr>
        <w:pStyle w:val="ListParagraph"/>
        <w:spacing w:after="0" w:line="240" w:lineRule="auto"/>
        <w:ind w:left="0" w:firstLine="284"/>
        <w:jc w:val="both"/>
        <w:rPr>
          <w:rFonts w:ascii="Garamond" w:eastAsia="MS Mincho" w:hAnsi="Garamond" w:cs="Times New Roman"/>
          <w:sz w:val="24"/>
          <w:szCs w:val="24"/>
          <w:lang w:eastAsia="hr-HR"/>
        </w:rPr>
      </w:pPr>
      <w:r w:rsidRPr="003C1725">
        <w:rPr>
          <w:rFonts w:ascii="Garamond" w:eastAsia="MS Mincho" w:hAnsi="Garamond" w:cs="Times New Roman"/>
          <w:sz w:val="24"/>
          <w:szCs w:val="24"/>
          <w:lang w:eastAsia="hr-HR"/>
        </w:rPr>
        <w:t>Ky vendim hyn në fuqi më 31 mars 2022.</w:t>
      </w:r>
    </w:p>
    <w:p w14:paraId="37C9D417" w14:textId="77777777" w:rsidR="00640CD7" w:rsidRDefault="00640CD7" w:rsidP="006158BA">
      <w:pPr>
        <w:pStyle w:val="ListParagraph"/>
        <w:spacing w:after="0" w:line="240" w:lineRule="auto"/>
        <w:ind w:left="0" w:firstLine="284"/>
        <w:jc w:val="right"/>
        <w:rPr>
          <w:rFonts w:ascii="Garamond" w:hAnsi="Garamond"/>
          <w:bCs/>
        </w:rPr>
      </w:pPr>
    </w:p>
    <w:p w14:paraId="34CDA05C" w14:textId="7720EAC5" w:rsidR="006158BA" w:rsidRPr="003C1725" w:rsidRDefault="006158BA" w:rsidP="006158BA">
      <w:pPr>
        <w:pStyle w:val="ListParagraph"/>
        <w:spacing w:after="0" w:line="240" w:lineRule="auto"/>
        <w:ind w:left="0" w:firstLine="284"/>
        <w:jc w:val="right"/>
        <w:rPr>
          <w:rFonts w:ascii="Garamond" w:eastAsia="MS Mincho" w:hAnsi="Garamond" w:cs="Times New Roman"/>
          <w:sz w:val="24"/>
          <w:szCs w:val="24"/>
          <w:lang w:eastAsia="hr-HR"/>
        </w:rPr>
      </w:pPr>
      <w:r w:rsidRPr="003C1725">
        <w:rPr>
          <w:rFonts w:ascii="Garamond" w:hAnsi="Garamond"/>
          <w:bCs/>
        </w:rPr>
        <w:t>KRYETAR</w:t>
      </w:r>
    </w:p>
    <w:p w14:paraId="3EF57AF8" w14:textId="122F6A2F" w:rsidR="00D851B9" w:rsidRPr="003C1725" w:rsidRDefault="006158BA" w:rsidP="006158BA">
      <w:pPr>
        <w:pStyle w:val="ListParagraph"/>
        <w:spacing w:after="0" w:line="240" w:lineRule="auto"/>
        <w:ind w:left="0" w:firstLine="284"/>
        <w:jc w:val="right"/>
        <w:rPr>
          <w:rFonts w:ascii="Garamond" w:eastAsia="MS Mincho" w:hAnsi="Garamond" w:cs="Times New Roman"/>
          <w:sz w:val="24"/>
          <w:szCs w:val="24"/>
          <w:lang w:eastAsia="hr-HR"/>
        </w:rPr>
      </w:pPr>
      <w:r w:rsidRPr="003C1725">
        <w:rPr>
          <w:rFonts w:ascii="Garamond" w:hAnsi="Garamond"/>
          <w:b/>
          <w:bCs/>
        </w:rPr>
        <w:t>Gent Sejko</w:t>
      </w:r>
    </w:p>
    <w:p w14:paraId="3EF57AFF" w14:textId="77777777" w:rsidR="00D851B9" w:rsidRPr="003C1725" w:rsidRDefault="00D851B9" w:rsidP="00D851B9">
      <w:pPr>
        <w:pStyle w:val="ListParagraph"/>
        <w:spacing w:after="0" w:line="240" w:lineRule="auto"/>
        <w:ind w:left="0" w:firstLine="284"/>
        <w:jc w:val="both"/>
        <w:rPr>
          <w:rFonts w:ascii="Garamond" w:eastAsia="MS Mincho" w:hAnsi="Garamond" w:cs="Times New Roman"/>
          <w:sz w:val="24"/>
          <w:szCs w:val="24"/>
          <w:lang w:eastAsia="hr-HR"/>
        </w:rPr>
      </w:pPr>
    </w:p>
    <w:sectPr w:rsidR="00D851B9" w:rsidRPr="003C1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1B9"/>
    <w:rsid w:val="000B6756"/>
    <w:rsid w:val="000D3CA2"/>
    <w:rsid w:val="00152A61"/>
    <w:rsid w:val="001B6B79"/>
    <w:rsid w:val="002C3D59"/>
    <w:rsid w:val="003C1725"/>
    <w:rsid w:val="003C3138"/>
    <w:rsid w:val="0059592C"/>
    <w:rsid w:val="006158BA"/>
    <w:rsid w:val="00640CD7"/>
    <w:rsid w:val="00770492"/>
    <w:rsid w:val="007D39B1"/>
    <w:rsid w:val="009732A0"/>
    <w:rsid w:val="00C213F4"/>
    <w:rsid w:val="00C72EBF"/>
    <w:rsid w:val="00D851B9"/>
    <w:rsid w:val="00DF5B81"/>
    <w:rsid w:val="00F03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5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1B9"/>
    <w:pPr>
      <w:spacing w:after="160" w:line="259"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851B9"/>
    <w:pPr>
      <w:spacing w:after="200" w:line="276" w:lineRule="auto"/>
      <w:ind w:left="720"/>
      <w:contextualSpacing/>
    </w:pPr>
  </w:style>
  <w:style w:type="character" w:customStyle="1" w:styleId="ListParagraphChar">
    <w:name w:val="List Paragraph Char"/>
    <w:link w:val="ListParagraph"/>
    <w:uiPriority w:val="34"/>
    <w:locked/>
    <w:rsid w:val="00D851B9"/>
  </w:style>
  <w:style w:type="paragraph" w:styleId="BodyText2">
    <w:name w:val="Body Text 2"/>
    <w:basedOn w:val="Normal"/>
    <w:link w:val="BodyText2Char"/>
    <w:rsid w:val="00D851B9"/>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D851B9"/>
    <w:rPr>
      <w:rFonts w:ascii="Times New Roman" w:eastAsia="Times New Roman" w:hAnsi="Times New Roman" w:cs="Times New Roman"/>
      <w:sz w:val="24"/>
      <w:szCs w:val="24"/>
    </w:rPr>
  </w:style>
  <w:style w:type="table" w:styleId="TableGrid">
    <w:name w:val="Table Grid"/>
    <w:basedOn w:val="TableNormal"/>
    <w:rsid w:val="00D851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rsid w:val="00D85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1B9"/>
    <w:pPr>
      <w:spacing w:after="160" w:line="259"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851B9"/>
    <w:pPr>
      <w:spacing w:after="200" w:line="276" w:lineRule="auto"/>
      <w:ind w:left="720"/>
      <w:contextualSpacing/>
    </w:pPr>
  </w:style>
  <w:style w:type="character" w:customStyle="1" w:styleId="ListParagraphChar">
    <w:name w:val="List Paragraph Char"/>
    <w:link w:val="ListParagraph"/>
    <w:uiPriority w:val="34"/>
    <w:locked/>
    <w:rsid w:val="00D851B9"/>
  </w:style>
  <w:style w:type="paragraph" w:styleId="BodyText2">
    <w:name w:val="Body Text 2"/>
    <w:basedOn w:val="Normal"/>
    <w:link w:val="BodyText2Char"/>
    <w:rsid w:val="00D851B9"/>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D851B9"/>
    <w:rPr>
      <w:rFonts w:ascii="Times New Roman" w:eastAsia="Times New Roman" w:hAnsi="Times New Roman" w:cs="Times New Roman"/>
      <w:sz w:val="24"/>
      <w:szCs w:val="24"/>
    </w:rPr>
  </w:style>
  <w:style w:type="table" w:styleId="TableGrid">
    <w:name w:val="Table Grid"/>
    <w:basedOn w:val="TableNormal"/>
    <w:rsid w:val="00D851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rsid w:val="00D85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44E7917401D4673A055D6BBF6BD59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2021-12-29T11:24:47Z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2021-12-28T23:00:00Z</Date_x0020_protokolli>
    <Titulli xmlns="0e656187-b300-4fb0-8bf4-3a50f872073c">Për disa ndryshime në rregulloren "Për kredinë konsumatore dhe kredinë hipotekare"</Titulli>
    <Modifikuesi xmlns="0e656187-b300-4fb0-8bf4-3a50f872073c">alma.lisaku</Modifikuesi>
    <Nr_x002e__x0020_prot_x0020_QBZ xmlns="0e656187-b300-4fb0-8bf4-3a50f872073c">1788/2</Nr_x002e__x0020_prot_x0020_QBZ>
    <Data_x0020_e_x0020_Modifikimit xmlns="0e656187-b300-4fb0-8bf4-3a50f872073c">2021-12-29T13:18:10Z</Data_x0020_e_x0020_Modifikimit>
    <Dekretuar xmlns="0e656187-b300-4fb0-8bf4-3a50f872073c">false</Dekretuar>
    <Data xmlns="0e656187-b300-4fb0-8bf4-3a50f872073c">2021-12-21T23:00:00Z</Data>
    <Nr_x002e__x0020_protokolli_x0020_i_x0020_aktit xmlns="0e656187-b300-4fb0-8bf4-3a50f872073c">5737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44E7917401D4673A055D6BBF6BD59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58781-844A-4E75-9734-3DBE8DA49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EDD6308-9B8F-4011-86FD-2E4351AD62D5}">
  <ds:schemaRefs>
    <ds:schemaRef ds:uri="http://www.w3.org/XML/1998/namespace"/>
    <ds:schemaRef ds:uri="http://schemas.microsoft.com/office/2006/metadata/properties"/>
    <ds:schemaRef ds:uri="http://schemas.microsoft.com/office/2006/documentManagement/types"/>
    <ds:schemaRef ds:uri="http://purl.org/dc/elements/1.1/"/>
    <ds:schemaRef ds:uri="http://purl.org/dc/terms/"/>
    <ds:schemaRef ds:uri="0e656187-b300-4fb0-8bf4-3a50f872073c"/>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A1C1AD7B-3021-4DBD-890A-DDF5612E1825}">
  <ds:schemaRefs>
    <ds:schemaRef ds:uri="http://schemas.microsoft.com/sharepoint/v3/contenttype/forms"/>
  </ds:schemaRefs>
</ds:datastoreItem>
</file>

<file path=customXml/itemProps4.xml><?xml version="1.0" encoding="utf-8"?>
<ds:datastoreItem xmlns:ds="http://schemas.openxmlformats.org/officeDocument/2006/customXml" ds:itemID="{9975C7ED-FF76-4200-80D6-3F218F5E3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D5ACE28-ED6E-462A-8316-D034B8372AB2}">
  <ds:schemaRefs>
    <ds:schemaRef ds:uri="http://schemas.microsoft.com/sharepoint/v3/contenttype/forms"/>
  </ds:schemaRefs>
</ds:datastoreItem>
</file>

<file path=customXml/itemProps6.xml><?xml version="1.0" encoding="utf-8"?>
<ds:datastoreItem xmlns:ds="http://schemas.openxmlformats.org/officeDocument/2006/customXml" ds:itemID="{ECCDB2BD-8466-485D-9B03-962056585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Për disa ndryshime në rregulloren "Për kredinë konsumatore dhe kredinë hipotekare"</vt:lpstr>
    </vt:vector>
  </TitlesOfParts>
  <Company/>
  <LinksUpToDate>false</LinksUpToDate>
  <CharactersWithSpaces>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"Për kredinë konsumatore dhe kredinë hipotekare"</dc:title>
  <dc:creator>Nevila Samarxhi</dc:creator>
  <cp:lastModifiedBy>Amarilda Muja</cp:lastModifiedBy>
  <cp:revision>14</cp:revision>
  <dcterms:created xsi:type="dcterms:W3CDTF">2021-12-29T12:03:00Z</dcterms:created>
  <dcterms:modified xsi:type="dcterms:W3CDTF">2021-12-29T13:25:00Z</dcterms:modified>
</cp:coreProperties>
</file>