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D924A" w14:textId="77777777" w:rsidR="007E3483" w:rsidRPr="00407E66" w:rsidRDefault="007E3483" w:rsidP="007E3483">
      <w:pPr>
        <w:ind w:firstLine="284"/>
        <w:jc w:val="center"/>
        <w:rPr>
          <w:rFonts w:ascii="Garamond" w:hAnsi="Garamond"/>
          <w:b/>
          <w:lang w:val="sq-AL"/>
        </w:rPr>
      </w:pPr>
      <w:r w:rsidRPr="00407E66">
        <w:rPr>
          <w:rFonts w:ascii="Garamond" w:hAnsi="Garamond"/>
          <w:b/>
          <w:lang w:val="sq-AL"/>
        </w:rPr>
        <w:t>VENDIM</w:t>
      </w:r>
    </w:p>
    <w:p w14:paraId="473D924B" w14:textId="51AE7115" w:rsidR="007E3483" w:rsidRPr="00407E66" w:rsidRDefault="00407E66" w:rsidP="007E3483">
      <w:pPr>
        <w:ind w:firstLine="284"/>
        <w:jc w:val="center"/>
        <w:rPr>
          <w:rFonts w:ascii="Garamond" w:hAnsi="Garamond"/>
          <w:b/>
          <w:lang w:val="sq-AL"/>
        </w:rPr>
      </w:pPr>
      <w:r w:rsidRPr="00407E66">
        <w:rPr>
          <w:rFonts w:ascii="Garamond" w:hAnsi="Garamond"/>
          <w:b/>
          <w:lang w:val="sq-AL"/>
        </w:rPr>
        <w:t>Nr. 50, datë 23.11.2022</w:t>
      </w:r>
    </w:p>
    <w:p w14:paraId="473D924C" w14:textId="77777777" w:rsidR="007E3483" w:rsidRPr="00407E66" w:rsidRDefault="007E3483" w:rsidP="007E3483">
      <w:pPr>
        <w:ind w:firstLine="284"/>
        <w:jc w:val="center"/>
        <w:rPr>
          <w:rFonts w:ascii="Garamond" w:hAnsi="Garamond"/>
          <w:b/>
          <w:lang w:val="sq-AL"/>
        </w:rPr>
      </w:pPr>
    </w:p>
    <w:p w14:paraId="473D924D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smallCaps/>
          <w:lang w:val="sq-AL"/>
        </w:rPr>
      </w:pPr>
      <w:r w:rsidRPr="00407E66">
        <w:rPr>
          <w:rFonts w:ascii="Garamond" w:eastAsiaTheme="minorHAnsi" w:hAnsi="Garamond"/>
          <w:b/>
          <w:bCs/>
          <w:smallCaps/>
          <w:lang w:val="sq-AL"/>
        </w:rPr>
        <w:t>PËR  MIRATIMIN E NJË NDRYSHIMI NË RREGULLOREN “MBI MINIMUMIN E REZERVËS SË DETYRUAR MBAJTUR NË BANKËN E SHQIPËRISË NGA BANKAT”, E NDRYSHUAR</w:t>
      </w:r>
    </w:p>
    <w:p w14:paraId="473D924E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rPr>
          <w:rFonts w:ascii="Garamond" w:eastAsiaTheme="minorHAnsi" w:hAnsi="Garamond"/>
          <w:b/>
          <w:bCs/>
          <w:lang w:val="sq-AL"/>
        </w:rPr>
      </w:pPr>
    </w:p>
    <w:p w14:paraId="473D924F" w14:textId="72087164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407E66">
        <w:rPr>
          <w:rFonts w:ascii="Garamond" w:eastAsiaTheme="minorHAnsi" w:hAnsi="Garamond"/>
          <w:color w:val="000000"/>
          <w:lang w:val="sq-AL"/>
        </w:rPr>
        <w:t>Në bazë dhe për zbatim të nenit 19 dhe nenit 43, shkronjat “a” dhe “c”</w:t>
      </w:r>
      <w:r w:rsidR="00C30E88">
        <w:rPr>
          <w:rFonts w:ascii="Garamond" w:eastAsiaTheme="minorHAnsi" w:hAnsi="Garamond"/>
          <w:color w:val="000000"/>
          <w:lang w:val="sq-AL"/>
        </w:rPr>
        <w:t>,</w:t>
      </w:r>
      <w:r w:rsidRPr="00407E66">
        <w:rPr>
          <w:rFonts w:ascii="Garamond" w:eastAsiaTheme="minorHAnsi" w:hAnsi="Garamond"/>
          <w:color w:val="000000"/>
          <w:lang w:val="sq-AL"/>
        </w:rPr>
        <w:t xml:space="preserve"> të ligjit nr. 8269, datë 23.12.1997</w:t>
      </w:r>
      <w:r w:rsidR="00C30E88">
        <w:rPr>
          <w:rFonts w:ascii="Garamond" w:eastAsiaTheme="minorHAnsi" w:hAnsi="Garamond"/>
          <w:color w:val="000000"/>
          <w:lang w:val="sq-AL"/>
        </w:rPr>
        <w:t>,</w:t>
      </w:r>
      <w:r w:rsidRPr="00407E66">
        <w:rPr>
          <w:rFonts w:ascii="Garamond" w:eastAsiaTheme="minorHAnsi" w:hAnsi="Garamond"/>
          <w:color w:val="000000"/>
          <w:lang w:val="sq-AL"/>
        </w:rPr>
        <w:t xml:space="preserve"> “Për Bankën e Shqipërisë”, i ndryshuar; si dhe bazuar në propozimin e Departamentit të Operacioneve Monetare, Këshilli Mbikëqyrës i Bankës së Shqipërisë,</w:t>
      </w:r>
    </w:p>
    <w:p w14:paraId="473D9250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b/>
          <w:bCs/>
          <w:color w:val="000000"/>
          <w:lang w:val="sq-AL"/>
        </w:rPr>
      </w:pPr>
    </w:p>
    <w:p w14:paraId="473D9251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  <w:lang w:val="sq-AL"/>
        </w:rPr>
      </w:pPr>
      <w:r w:rsidRPr="00407E66">
        <w:rPr>
          <w:rFonts w:ascii="Garamond" w:eastAsiaTheme="minorHAnsi" w:hAnsi="Garamond"/>
          <w:color w:val="000000"/>
          <w:lang w:val="sq-AL"/>
        </w:rPr>
        <w:t>VENDOSI:</w:t>
      </w:r>
    </w:p>
    <w:p w14:paraId="473D9252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b/>
          <w:bCs/>
          <w:color w:val="000000"/>
          <w:lang w:val="sq-AL"/>
        </w:rPr>
      </w:pPr>
    </w:p>
    <w:p w14:paraId="473D9253" w14:textId="48F30DE0" w:rsidR="007E3483" w:rsidRPr="00407E66" w:rsidRDefault="007E3483" w:rsidP="007E3483">
      <w:pPr>
        <w:tabs>
          <w:tab w:val="left" w:pos="2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lang w:val="sq-AL"/>
        </w:rPr>
      </w:pPr>
      <w:r w:rsidRPr="00407E66">
        <w:rPr>
          <w:rFonts w:ascii="Garamond" w:eastAsiaTheme="minorHAnsi" w:hAnsi="Garamond"/>
          <w:color w:val="000000"/>
          <w:lang w:val="sq-AL"/>
        </w:rPr>
        <w:t>1. Në rregulloren “Mbi minimumin e rezervës së detyruar mbajtur në Bankën e Shqipërisë nga bankat”, miratuar me vendimin e Këshillit Mbikëqyrës të Bankës së Shqipërisë nr. 29, datë 16.5.2012, i ndryshuar, neni 12/1, ndryshon sipas përmbajtjes së mëposhtme:</w:t>
      </w:r>
    </w:p>
    <w:p w14:paraId="473D9254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b/>
          <w:bCs/>
          <w:i/>
          <w:iCs/>
          <w:color w:val="000000"/>
          <w:lang w:val="sq-AL"/>
        </w:rPr>
        <w:t>“Neni 12/1</w:t>
      </w:r>
    </w:p>
    <w:p w14:paraId="473D9255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</w:p>
    <w:p w14:paraId="473D9256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b/>
          <w:bCs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b/>
          <w:bCs/>
          <w:i/>
          <w:iCs/>
          <w:color w:val="000000"/>
          <w:lang w:val="sq-AL"/>
        </w:rPr>
        <w:t>Forma e mbajtjes dhe remunerimi i tepricës në llogarinë e rezervës së detyruar</w:t>
      </w:r>
    </w:p>
    <w:p w14:paraId="473D9257" w14:textId="3051EA56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1. Bankat mund ta mbajnë tepricën e llogarisë rezervë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l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>ekë dhe në formën cash në kujdestari.</w:t>
      </w:r>
    </w:p>
    <w:p w14:paraId="473D9258" w14:textId="4B1F4E2F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2. Teprica e llogarisë rezervë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l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>ekë është diferenca e gjendjes mesatare në llogarinë rezervë së bashku me cash në kujdestari në periudhën e mbajtjes me rezervën e detyruar të periudhës, por jo më e vogël se niveli minimal i tepricës.</w:t>
      </w:r>
    </w:p>
    <w:p w14:paraId="473D9259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3. Bankat mund ta mbajnë tepricën e llogarisë rezervë në formën cash në kujdestari vetëm pasi të kenë vendosur të paktën nivelin maksimal të përdorimit të rezervës së detyruar në formën cash në kujdestari. </w:t>
      </w:r>
    </w:p>
    <w:p w14:paraId="473D925A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>4. Kërkesa e bankës për ta mbajtur tepricën në lekë në formën cash në kujdestari shqyrtohet nga Komiteti i Zbatimit dhe Këshillimit të Politikës Monetare. Komiteti shprehet me vendim në përfundim të shqyrtimit. Në vendim shprehen të paktën: kohëzgjatja, si dhe pjesa e tepricës që do të mbahet në formën cash në kujdestari.</w:t>
      </w:r>
    </w:p>
    <w:p w14:paraId="473D925B" w14:textId="77524026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5. Teprica e llogarisë rezervë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e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uro është diferenca e gjendjes në llogarinë rezervë me rezervën e detyruar të mbajtur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e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uro, e llogaritur çdo ditë. </w:t>
      </w:r>
    </w:p>
    <w:p w14:paraId="473D925C" w14:textId="77777777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6. Teprica e llogarisë rezervë në dollarë amerikanë është diferenca e gjendjes në llogarinë rezervë me rezervën e detyruar të mbajtur në dollarë amerikanë, e llogaritur çdo ditë, por jo më e vogël se niveli minimal i tepricës. </w:t>
      </w:r>
    </w:p>
    <w:p w14:paraId="473D925D" w14:textId="53077830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7. Banka e Shqipërisë remuneron tepricën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e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uro në gjithë shumën e saj. Banka e Shqipërisë remuneron tepricat në llogaritë rezervë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l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ekë dhe në dollarë amerikanë vetëm në rastet kur tejkalohet niveli minimal i saj, ku si i tillë konsiderohet shuma për të cilën bankat nuk remunerohen. Si nivel minimal për rezervën e detyruar 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l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ekë dhe USD konsiderohen përkatësisht shumat 50 milionë </w:t>
      </w:r>
      <w:r w:rsidR="00C30E88">
        <w:rPr>
          <w:rFonts w:ascii="Garamond" w:eastAsiaTheme="minorHAnsi" w:hAnsi="Garamond"/>
          <w:i/>
          <w:iCs/>
          <w:color w:val="000000"/>
          <w:lang w:val="sq-AL"/>
        </w:rPr>
        <w:t>l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>ekë dhe 500,000.00 USD. Teprica e mbajtur në formën cash në kujdestari nuk është subjekt i remunerimit.</w:t>
      </w:r>
    </w:p>
    <w:p w14:paraId="473D925E" w14:textId="26DE5352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8. Norma e remunerimit të tepricave në llogarinë e rezervës së detyrueshme </w:t>
      </w:r>
      <w:r w:rsidR="00C30E88"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në lekë, euro 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dhe USD përcaktohet me vendim të Këshillit Mbikëqyrës dhe u komunikohet bankave. </w:t>
      </w:r>
    </w:p>
    <w:p w14:paraId="473D925F" w14:textId="4B77EB11" w:rsidR="007E3483" w:rsidRPr="00407E66" w:rsidRDefault="007E3483" w:rsidP="007E3483">
      <w:pPr>
        <w:tabs>
          <w:tab w:val="left" w:pos="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i/>
          <w:iCs/>
          <w:color w:val="000000"/>
          <w:lang w:val="sq-AL"/>
        </w:rPr>
      </w:pPr>
      <w:r w:rsidRPr="00407E66">
        <w:rPr>
          <w:rFonts w:ascii="Garamond" w:eastAsiaTheme="minorHAnsi" w:hAnsi="Garamond"/>
          <w:i/>
          <w:iCs/>
          <w:color w:val="000000"/>
          <w:lang w:val="sq-AL"/>
        </w:rPr>
        <w:t>9. Interesi për remunerimin e tepricës llogaritet sipas formulës së përcaktuar në pikën 3</w:t>
      </w:r>
      <w:r w:rsidR="0081065D">
        <w:rPr>
          <w:rFonts w:ascii="Garamond" w:eastAsiaTheme="minorHAnsi" w:hAnsi="Garamond"/>
          <w:i/>
          <w:iCs/>
          <w:color w:val="000000"/>
          <w:lang w:val="sq-AL"/>
        </w:rPr>
        <w:t>,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 të nenit 12</w:t>
      </w:r>
      <w:r w:rsidR="0081065D">
        <w:rPr>
          <w:rFonts w:ascii="Garamond" w:eastAsiaTheme="minorHAnsi" w:hAnsi="Garamond"/>
          <w:i/>
          <w:iCs/>
          <w:color w:val="000000"/>
          <w:lang w:val="sq-AL"/>
        </w:rPr>
        <w:t>,</w:t>
      </w:r>
      <w:r w:rsidRPr="00407E66">
        <w:rPr>
          <w:rFonts w:ascii="Garamond" w:eastAsiaTheme="minorHAnsi" w:hAnsi="Garamond"/>
          <w:i/>
          <w:iCs/>
          <w:color w:val="000000"/>
          <w:lang w:val="sq-AL"/>
        </w:rPr>
        <w:t xml:space="preserve"> të rregullores.</w:t>
      </w:r>
      <w:r w:rsidR="00D52D05">
        <w:rPr>
          <w:rFonts w:ascii="Garamond" w:eastAsiaTheme="minorHAnsi" w:hAnsi="Garamond"/>
          <w:i/>
          <w:iCs/>
          <w:color w:val="000000"/>
          <w:lang w:val="sq-AL"/>
        </w:rPr>
        <w:t>”.</w:t>
      </w:r>
    </w:p>
    <w:p w14:paraId="473D9260" w14:textId="77777777" w:rsidR="007E3483" w:rsidRPr="00407E66" w:rsidRDefault="007E3483" w:rsidP="007E3483">
      <w:pPr>
        <w:autoSpaceDE w:val="0"/>
        <w:autoSpaceDN w:val="0"/>
        <w:adjustRightInd w:val="0"/>
        <w:ind w:firstLine="284"/>
        <w:rPr>
          <w:rFonts w:ascii="Garamond" w:eastAsiaTheme="minorHAnsi" w:hAnsi="Garamond"/>
          <w:color w:val="000000"/>
          <w:lang w:val="sq-AL"/>
        </w:rPr>
      </w:pPr>
      <w:r w:rsidRPr="00407E66">
        <w:rPr>
          <w:rFonts w:ascii="Garamond" w:eastAsiaTheme="minorHAnsi" w:hAnsi="Garamond"/>
          <w:color w:val="000000"/>
          <w:lang w:val="sq-AL"/>
        </w:rPr>
        <w:t>2. Ngarkohen Departamenti i Operacioneve Monetare, Departamenti i Mbikëqyrjes dhe Departamenti i Emisionit me zbatimin e këtij vendimi.</w:t>
      </w:r>
    </w:p>
    <w:p w14:paraId="473D9261" w14:textId="77777777" w:rsidR="007E3483" w:rsidRPr="00407E66" w:rsidRDefault="007E3483" w:rsidP="007E3483">
      <w:pPr>
        <w:autoSpaceDE w:val="0"/>
        <w:autoSpaceDN w:val="0"/>
        <w:adjustRightInd w:val="0"/>
        <w:ind w:firstLine="284"/>
        <w:rPr>
          <w:rFonts w:ascii="Garamond" w:eastAsiaTheme="minorHAnsi" w:hAnsi="Garamond"/>
          <w:color w:val="000000"/>
          <w:lang w:val="sq-AL"/>
        </w:rPr>
      </w:pPr>
    </w:p>
    <w:p w14:paraId="473D9262" w14:textId="77777777" w:rsidR="007E3483" w:rsidRPr="00407E66" w:rsidRDefault="007E3483" w:rsidP="007E3483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407E66">
        <w:rPr>
          <w:rFonts w:ascii="Garamond" w:eastAsiaTheme="minorHAnsi" w:hAnsi="Garamond"/>
          <w:color w:val="000000"/>
          <w:lang w:val="sq-AL"/>
        </w:rPr>
        <w:lastRenderedPageBreak/>
        <w:t>3. Ngarkohet Kabineti i Guvernatorit me publikimin e këtij vendimi në Fletoren Zyrtare të Republikës së Shqipërisë dhe në faqen e internetit të Bankës së Shqipërisë, si dhe Departamenti i Kërkimeve me publikimin në Buletinin Zyrtar.</w:t>
      </w:r>
    </w:p>
    <w:p w14:paraId="1C2CDC7B" w14:textId="77777777" w:rsidR="00D52D05" w:rsidRDefault="007E3483" w:rsidP="007E3483">
      <w:pPr>
        <w:tabs>
          <w:tab w:val="left" w:pos="18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</w:rPr>
      </w:pPr>
      <w:r w:rsidRPr="00407E66">
        <w:rPr>
          <w:rFonts w:ascii="Garamond" w:eastAsiaTheme="minorHAnsi" w:hAnsi="Garamond"/>
          <w:color w:val="000000"/>
          <w:lang w:val="sq-AL"/>
        </w:rPr>
        <w:t>Ky vendim hyn në fuqi menjëherë dhe botohet në Fletoren Zyrtare.</w:t>
      </w:r>
      <w:r w:rsidR="00D52D05" w:rsidRPr="00D52D05">
        <w:rPr>
          <w:rFonts w:ascii="Garamond" w:hAnsi="Garamond"/>
          <w:bCs/>
        </w:rPr>
        <w:t xml:space="preserve"> </w:t>
      </w:r>
    </w:p>
    <w:p w14:paraId="76102CB1" w14:textId="77777777" w:rsidR="00D52D05" w:rsidRDefault="00D52D05" w:rsidP="00D52D05">
      <w:pPr>
        <w:tabs>
          <w:tab w:val="left" w:pos="18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bCs/>
        </w:rPr>
      </w:pPr>
      <w:r w:rsidRPr="00407E66">
        <w:rPr>
          <w:rFonts w:ascii="Garamond" w:hAnsi="Garamond"/>
          <w:bCs/>
        </w:rPr>
        <w:t>KRYETAR</w:t>
      </w:r>
    </w:p>
    <w:p w14:paraId="473D9263" w14:textId="00130E17" w:rsidR="007E3483" w:rsidRPr="00407E66" w:rsidRDefault="00D52D05" w:rsidP="00D52D05">
      <w:pPr>
        <w:tabs>
          <w:tab w:val="left" w:pos="180"/>
        </w:tabs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lang w:val="sq-AL"/>
        </w:rPr>
      </w:pPr>
      <w:bookmarkStart w:id="0" w:name="_GoBack"/>
      <w:bookmarkEnd w:id="0"/>
      <w:r w:rsidRPr="00D52D05">
        <w:rPr>
          <w:rFonts w:ascii="Garamond" w:hAnsi="Garamond"/>
          <w:b/>
          <w:bCs/>
        </w:rPr>
        <w:t xml:space="preserve"> </w:t>
      </w:r>
      <w:r w:rsidRPr="00407E66">
        <w:rPr>
          <w:rFonts w:ascii="Garamond" w:hAnsi="Garamond"/>
          <w:b/>
          <w:bCs/>
        </w:rPr>
        <w:t>Gent Sejko</w:t>
      </w:r>
    </w:p>
    <w:p w14:paraId="473D9264" w14:textId="77777777" w:rsidR="007E3483" w:rsidRPr="00407E66" w:rsidRDefault="007E3483" w:rsidP="007E3483">
      <w:pPr>
        <w:tabs>
          <w:tab w:val="left" w:pos="18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</w:p>
    <w:p w14:paraId="473D926B" w14:textId="77777777" w:rsidR="007E3483" w:rsidRPr="00407E66" w:rsidRDefault="007E3483" w:rsidP="00A071D5">
      <w:pPr>
        <w:tabs>
          <w:tab w:val="left" w:pos="180"/>
        </w:tabs>
        <w:autoSpaceDE w:val="0"/>
        <w:autoSpaceDN w:val="0"/>
        <w:adjustRightInd w:val="0"/>
        <w:jc w:val="both"/>
        <w:rPr>
          <w:rFonts w:ascii="Garamond" w:eastAsiaTheme="minorHAnsi" w:hAnsi="Garamond"/>
          <w:color w:val="000000"/>
          <w:lang w:val="sq-AL"/>
        </w:rPr>
      </w:pPr>
    </w:p>
    <w:sectPr w:rsidR="007E3483" w:rsidRPr="00407E66" w:rsidSect="00764F1C">
      <w:footerReference w:type="default" r:id="rId13"/>
      <w:pgSz w:w="11907" w:h="16839" w:code="9"/>
      <w:pgMar w:top="1440" w:right="1800" w:bottom="1440" w:left="1800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55196" w14:textId="77777777" w:rsidR="00D52D05" w:rsidRDefault="00D52D05" w:rsidP="007E4EA2">
      <w:r>
        <w:separator/>
      </w:r>
    </w:p>
  </w:endnote>
  <w:endnote w:type="continuationSeparator" w:id="0">
    <w:p w14:paraId="528C8834" w14:textId="77777777" w:rsidR="00D52D05" w:rsidRDefault="00D52D05" w:rsidP="007E4EA2">
      <w:r>
        <w:continuationSeparator/>
      </w:r>
    </w:p>
  </w:endnote>
  <w:endnote w:type="continuationNotice" w:id="1">
    <w:p w14:paraId="7EE3DA4C" w14:textId="77777777" w:rsidR="00336A54" w:rsidRDefault="00336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D9270" w14:textId="77777777" w:rsidR="00D52D05" w:rsidRDefault="00D52D05">
    <w:pPr>
      <w:pStyle w:val="Footer"/>
      <w:jc w:val="center"/>
    </w:pPr>
  </w:p>
  <w:p w14:paraId="473D9271" w14:textId="77777777" w:rsidR="00D52D05" w:rsidRDefault="00D52D05" w:rsidP="00930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4D9B" w14:textId="77777777" w:rsidR="00D52D05" w:rsidRDefault="00D52D05" w:rsidP="007E4EA2">
      <w:r>
        <w:separator/>
      </w:r>
    </w:p>
  </w:footnote>
  <w:footnote w:type="continuationSeparator" w:id="0">
    <w:p w14:paraId="750B4E10" w14:textId="77777777" w:rsidR="00D52D05" w:rsidRDefault="00D52D05" w:rsidP="007E4EA2">
      <w:r>
        <w:continuationSeparator/>
      </w:r>
    </w:p>
  </w:footnote>
  <w:footnote w:type="continuationNotice" w:id="1">
    <w:p w14:paraId="279FF334" w14:textId="77777777" w:rsidR="00336A54" w:rsidRDefault="00336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3433A"/>
    <w:multiLevelType w:val="hybridMultilevel"/>
    <w:tmpl w:val="DC64ABE8"/>
    <w:lvl w:ilvl="0" w:tplc="817CFC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B0A37"/>
    <w:multiLevelType w:val="hybridMultilevel"/>
    <w:tmpl w:val="71D80A3C"/>
    <w:lvl w:ilvl="0" w:tplc="347A9F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779AD"/>
    <w:multiLevelType w:val="hybridMultilevel"/>
    <w:tmpl w:val="0F6059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15ACD"/>
    <w:multiLevelType w:val="hybridMultilevel"/>
    <w:tmpl w:val="7A6E700E"/>
    <w:lvl w:ilvl="0" w:tplc="36ACE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4FC8"/>
    <w:multiLevelType w:val="hybridMultilevel"/>
    <w:tmpl w:val="7A6E700E"/>
    <w:lvl w:ilvl="0" w:tplc="36ACE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83E0C"/>
    <w:multiLevelType w:val="hybridMultilevel"/>
    <w:tmpl w:val="433CAC78"/>
    <w:lvl w:ilvl="0" w:tplc="0666B7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85"/>
    <w:rsid w:val="000471B6"/>
    <w:rsid w:val="00050529"/>
    <w:rsid w:val="0005265A"/>
    <w:rsid w:val="00070856"/>
    <w:rsid w:val="000A7BE9"/>
    <w:rsid w:val="000C3D0E"/>
    <w:rsid w:val="00102759"/>
    <w:rsid w:val="001057D6"/>
    <w:rsid w:val="001227FF"/>
    <w:rsid w:val="00126BF8"/>
    <w:rsid w:val="00145002"/>
    <w:rsid w:val="00156DD2"/>
    <w:rsid w:val="00187667"/>
    <w:rsid w:val="001936EE"/>
    <w:rsid w:val="001A7595"/>
    <w:rsid w:val="001C1F82"/>
    <w:rsid w:val="00217566"/>
    <w:rsid w:val="00284A81"/>
    <w:rsid w:val="002951DA"/>
    <w:rsid w:val="002B211C"/>
    <w:rsid w:val="002B7B50"/>
    <w:rsid w:val="002D4BB6"/>
    <w:rsid w:val="002D5764"/>
    <w:rsid w:val="002D7AB9"/>
    <w:rsid w:val="00324E01"/>
    <w:rsid w:val="003322A4"/>
    <w:rsid w:val="003345F7"/>
    <w:rsid w:val="00336A54"/>
    <w:rsid w:val="0036060F"/>
    <w:rsid w:val="003E3CD8"/>
    <w:rsid w:val="00407E66"/>
    <w:rsid w:val="0041063F"/>
    <w:rsid w:val="00472F1C"/>
    <w:rsid w:val="004B5E98"/>
    <w:rsid w:val="004C773C"/>
    <w:rsid w:val="00502B77"/>
    <w:rsid w:val="00526B24"/>
    <w:rsid w:val="00536B3C"/>
    <w:rsid w:val="0054017B"/>
    <w:rsid w:val="0054537B"/>
    <w:rsid w:val="005543F6"/>
    <w:rsid w:val="0056399C"/>
    <w:rsid w:val="005643A1"/>
    <w:rsid w:val="00582CB7"/>
    <w:rsid w:val="00584A81"/>
    <w:rsid w:val="00586082"/>
    <w:rsid w:val="00591903"/>
    <w:rsid w:val="005956AA"/>
    <w:rsid w:val="005A4143"/>
    <w:rsid w:val="005C7C6B"/>
    <w:rsid w:val="005D4E79"/>
    <w:rsid w:val="005F4E4F"/>
    <w:rsid w:val="00605D53"/>
    <w:rsid w:val="0062576F"/>
    <w:rsid w:val="00633F4D"/>
    <w:rsid w:val="006402BD"/>
    <w:rsid w:val="006C0068"/>
    <w:rsid w:val="006D65F8"/>
    <w:rsid w:val="006F24E7"/>
    <w:rsid w:val="007018E7"/>
    <w:rsid w:val="00701BAA"/>
    <w:rsid w:val="007077D1"/>
    <w:rsid w:val="00713120"/>
    <w:rsid w:val="00740501"/>
    <w:rsid w:val="00764F1C"/>
    <w:rsid w:val="00773FF0"/>
    <w:rsid w:val="007E3483"/>
    <w:rsid w:val="007E4EA2"/>
    <w:rsid w:val="007F3E63"/>
    <w:rsid w:val="0081065D"/>
    <w:rsid w:val="008504D9"/>
    <w:rsid w:val="008565AA"/>
    <w:rsid w:val="00872F91"/>
    <w:rsid w:val="008C19A8"/>
    <w:rsid w:val="008C581C"/>
    <w:rsid w:val="008F432D"/>
    <w:rsid w:val="008F5DEE"/>
    <w:rsid w:val="00925364"/>
    <w:rsid w:val="00930FDD"/>
    <w:rsid w:val="00943B4E"/>
    <w:rsid w:val="00943BD9"/>
    <w:rsid w:val="009609F6"/>
    <w:rsid w:val="009A49F7"/>
    <w:rsid w:val="009C35A4"/>
    <w:rsid w:val="009E69A8"/>
    <w:rsid w:val="009F6B42"/>
    <w:rsid w:val="00A071D5"/>
    <w:rsid w:val="00A102CD"/>
    <w:rsid w:val="00A1107E"/>
    <w:rsid w:val="00A6568B"/>
    <w:rsid w:val="00A727EA"/>
    <w:rsid w:val="00A77524"/>
    <w:rsid w:val="00A77C1C"/>
    <w:rsid w:val="00A9639D"/>
    <w:rsid w:val="00AC3F57"/>
    <w:rsid w:val="00AD391B"/>
    <w:rsid w:val="00AD6DAC"/>
    <w:rsid w:val="00AE7C42"/>
    <w:rsid w:val="00AF2E5D"/>
    <w:rsid w:val="00AF435F"/>
    <w:rsid w:val="00B03C2C"/>
    <w:rsid w:val="00B10F12"/>
    <w:rsid w:val="00B13DB5"/>
    <w:rsid w:val="00B36FCF"/>
    <w:rsid w:val="00B60B94"/>
    <w:rsid w:val="00B906DA"/>
    <w:rsid w:val="00B95F61"/>
    <w:rsid w:val="00BB5ECB"/>
    <w:rsid w:val="00BD262D"/>
    <w:rsid w:val="00BE4926"/>
    <w:rsid w:val="00C11B0D"/>
    <w:rsid w:val="00C27426"/>
    <w:rsid w:val="00C30E88"/>
    <w:rsid w:val="00C40BD5"/>
    <w:rsid w:val="00C50BE4"/>
    <w:rsid w:val="00C72117"/>
    <w:rsid w:val="00CA74C1"/>
    <w:rsid w:val="00CB388E"/>
    <w:rsid w:val="00CC4185"/>
    <w:rsid w:val="00CC4C2A"/>
    <w:rsid w:val="00CC6FC3"/>
    <w:rsid w:val="00D06CE2"/>
    <w:rsid w:val="00D146EA"/>
    <w:rsid w:val="00D1611F"/>
    <w:rsid w:val="00D24E68"/>
    <w:rsid w:val="00D43C99"/>
    <w:rsid w:val="00D52D05"/>
    <w:rsid w:val="00D57BCC"/>
    <w:rsid w:val="00DD7574"/>
    <w:rsid w:val="00DE70DA"/>
    <w:rsid w:val="00DF14B9"/>
    <w:rsid w:val="00E23D24"/>
    <w:rsid w:val="00E25ED4"/>
    <w:rsid w:val="00E40DC0"/>
    <w:rsid w:val="00E64D27"/>
    <w:rsid w:val="00E804C2"/>
    <w:rsid w:val="00E97137"/>
    <w:rsid w:val="00EA62EC"/>
    <w:rsid w:val="00EB2D38"/>
    <w:rsid w:val="00EE34A4"/>
    <w:rsid w:val="00EE65D4"/>
    <w:rsid w:val="00EE745A"/>
    <w:rsid w:val="00F60E99"/>
    <w:rsid w:val="00F72A43"/>
    <w:rsid w:val="00F749EC"/>
    <w:rsid w:val="00FA4BD7"/>
    <w:rsid w:val="00FB68EF"/>
    <w:rsid w:val="00FC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3D924A"/>
  <w15:docId w15:val="{B84AD72E-63CA-4746-B610-2FA542B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1B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0471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0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BD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B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312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64F1C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uli\Desktop\format%20shkrese%20I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60222B6FFD44C45AE2E00C211B1807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50</Nr_x002e__x0020_akti>
    <Data_x0020_e_x0020_Krijimit xmlns="0e656187-b300-4fb0-8bf4-3a50f872073c">2022-11-30T09:56:17Z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2022-11-24T23:00:00Z</Date_x0020_protokolli>
    <Titulli xmlns="0e656187-b300-4fb0-8bf4-3a50f872073c">Për miratimin e një ndryshimi në rregulloren "Mbi minimumin e rezervës së detyruar mbajtur në Bankën e Shqipërisë nga bankat", e ndryshuar</Titulli>
    <Modifikuesi xmlns="0e656187-b300-4fb0-8bf4-3a50f872073c">jorina.kryeziu</Modifikuesi>
    <Nr_x002e__x0020_prot_x0020_QBZ xmlns="0e656187-b300-4fb0-8bf4-3a50f872073c">1725/2</Nr_x002e__x0020_prot_x0020_QBZ>
    <Data_x0020_e_x0020_Modifikimit xmlns="0e656187-b300-4fb0-8bf4-3a50f872073c">2022-11-30T10:36:10Z</Data_x0020_e_x0020_Modifikimit>
    <Dekretuar xmlns="0e656187-b300-4fb0-8bf4-3a50f872073c">false</Dekretuar>
    <Data xmlns="0e656187-b300-4fb0-8bf4-3a50f872073c">2022-11-22T23:00:00Z</Data>
    <Nr_x002e__x0020_protokolli_x0020_i_x0020_aktit xmlns="0e656187-b300-4fb0-8bf4-3a50f872073c">5115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60222B6FFD44C45AE2E00C211B1807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033B-C7B4-4EE7-9C05-3F22F35C7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AED95D-27F2-4168-881E-03A37B8F9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340549A-596D-4910-9406-5C444979E7BE}">
  <ds:schemaRefs>
    <ds:schemaRef ds:uri="http://purl.org/dc/elements/1.1/"/>
    <ds:schemaRef ds:uri="http://schemas.openxmlformats.org/package/2006/metadata/core-properties"/>
    <ds:schemaRef ds:uri="0e656187-b300-4fb0-8bf4-3a50f872073c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52FB0B2-2A12-479C-B5E7-5E955CC637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623B4B-7022-4174-9640-D52732D73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CCFE728-25C7-44A5-8FA9-929CD186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shkrese I (2)</Template>
  <TotalTime>13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një ndryshimi në rregulloren "Mbi minimumin e rezervës së detyruar mbajtur në Bankën e Shqipërisë nga bankat", e ndryshuar</vt:lpstr>
    </vt:vector>
  </TitlesOfParts>
  <Company> 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një ndryshimi në rregulloren "Mbi minimumin e rezervës së detyruar mbajtur në Bankën e Shqipërisë nga bankat", e ndryshuar</dc:title>
  <dc:creator>Pegi Luli</dc:creator>
  <cp:lastModifiedBy>amarilda.muja</cp:lastModifiedBy>
  <cp:revision>12</cp:revision>
  <cp:lastPrinted>2022-11-23T12:40:00Z</cp:lastPrinted>
  <dcterms:created xsi:type="dcterms:W3CDTF">2022-11-22T14:45:00Z</dcterms:created>
  <dcterms:modified xsi:type="dcterms:W3CDTF">2022-11-30T11:47:00Z</dcterms:modified>
</cp:coreProperties>
</file>