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7EFC25A" w14:textId="77777777" w:rsidR="009E23AF" w:rsidRPr="00FA38F9" w:rsidRDefault="009E23AF" w:rsidP="009E23AF">
      <w:pPr>
        <w:spacing w:after="0" w:line="240" w:lineRule="auto"/>
        <w:ind w:firstLine="284"/>
        <w:jc w:val="center"/>
        <w:rPr>
          <w:rFonts w:ascii="Garamond" w:hAnsi="Garamond" w:cs="Times New Roman"/>
          <w:b/>
          <w:bCs/>
          <w:sz w:val="24"/>
          <w:szCs w:val="24"/>
          <w:lang w:val="sq-AL"/>
        </w:rPr>
      </w:pPr>
      <w:r w:rsidRPr="00FA38F9">
        <w:rPr>
          <w:rFonts w:ascii="Garamond" w:hAnsi="Garamond" w:cs="Times New Roman"/>
          <w:b/>
          <w:bCs/>
          <w:sz w:val="24"/>
          <w:szCs w:val="24"/>
          <w:lang w:val="sq-AL"/>
        </w:rPr>
        <w:t>VENDIM</w:t>
      </w:r>
    </w:p>
    <w:p w14:paraId="63FFA347" w14:textId="77777777" w:rsidR="009E23AF" w:rsidRPr="00FA38F9" w:rsidRDefault="009E23AF" w:rsidP="009E23AF">
      <w:pPr>
        <w:spacing w:after="0" w:line="240" w:lineRule="auto"/>
        <w:ind w:firstLine="284"/>
        <w:jc w:val="center"/>
        <w:rPr>
          <w:rFonts w:ascii="Garamond" w:hAnsi="Garamond" w:cs="Times New Roman"/>
          <w:b/>
          <w:bCs/>
          <w:sz w:val="24"/>
          <w:szCs w:val="24"/>
          <w:lang w:val="sq-AL"/>
        </w:rPr>
      </w:pPr>
      <w:r w:rsidRPr="00FA38F9">
        <w:rPr>
          <w:rFonts w:ascii="Garamond" w:hAnsi="Garamond" w:cs="Times New Roman"/>
          <w:b/>
          <w:bCs/>
          <w:sz w:val="24"/>
          <w:szCs w:val="24"/>
          <w:lang w:val="sq-AL"/>
        </w:rPr>
        <w:t>Nr. 57, datë 21</w:t>
      </w:r>
      <w:r w:rsidRPr="00FA38F9">
        <w:rPr>
          <w:rFonts w:ascii="Garamond" w:hAnsi="Garamond"/>
          <w:b/>
          <w:bCs/>
          <w:sz w:val="24"/>
          <w:szCs w:val="24"/>
          <w:lang w:val="sq-AL"/>
        </w:rPr>
        <w:t>.</w:t>
      </w:r>
      <w:r w:rsidRPr="00FA38F9">
        <w:rPr>
          <w:rFonts w:ascii="Garamond" w:hAnsi="Garamond" w:cs="Times New Roman"/>
          <w:b/>
          <w:bCs/>
          <w:sz w:val="24"/>
          <w:szCs w:val="24"/>
          <w:lang w:val="sq-AL"/>
        </w:rPr>
        <w:t>12</w:t>
      </w:r>
      <w:r w:rsidRPr="00FA38F9">
        <w:rPr>
          <w:rFonts w:ascii="Garamond" w:hAnsi="Garamond"/>
          <w:b/>
          <w:bCs/>
          <w:sz w:val="24"/>
          <w:szCs w:val="24"/>
          <w:lang w:val="sq-AL"/>
        </w:rPr>
        <w:t>.</w:t>
      </w:r>
      <w:r w:rsidRPr="00FA38F9">
        <w:rPr>
          <w:rFonts w:ascii="Garamond" w:hAnsi="Garamond" w:cs="Times New Roman"/>
          <w:b/>
          <w:bCs/>
          <w:sz w:val="24"/>
          <w:szCs w:val="24"/>
          <w:lang w:val="sq-AL"/>
        </w:rPr>
        <w:t>2022</w:t>
      </w:r>
    </w:p>
    <w:p w14:paraId="29F51BCF" w14:textId="77777777" w:rsidR="009E23AF" w:rsidRPr="00FA38F9" w:rsidRDefault="009E23AF" w:rsidP="009E23AF">
      <w:pPr>
        <w:spacing w:after="0" w:line="240" w:lineRule="auto"/>
        <w:ind w:firstLine="284"/>
        <w:jc w:val="center"/>
        <w:rPr>
          <w:rFonts w:ascii="Garamond" w:hAnsi="Garamond"/>
          <w:b/>
          <w:bCs/>
          <w:sz w:val="24"/>
          <w:szCs w:val="24"/>
          <w:lang w:val="sq-AL"/>
        </w:rPr>
      </w:pPr>
    </w:p>
    <w:p w14:paraId="032CC45A" w14:textId="3510AB30" w:rsidR="009E23AF" w:rsidRPr="00FA38F9" w:rsidRDefault="009E23AF" w:rsidP="0008479A">
      <w:pPr>
        <w:spacing w:after="0" w:line="240" w:lineRule="auto"/>
        <w:jc w:val="center"/>
        <w:rPr>
          <w:rFonts w:ascii="Garamond" w:hAnsi="Garamond" w:cs="Times New Roman"/>
          <w:b/>
          <w:bCs/>
          <w:smallCaps/>
          <w:sz w:val="24"/>
          <w:szCs w:val="24"/>
          <w:lang w:val="sq-AL"/>
        </w:rPr>
      </w:pPr>
      <w:r w:rsidRPr="00FA38F9">
        <w:rPr>
          <w:rFonts w:ascii="Garamond" w:hAnsi="Garamond" w:cs="Times New Roman"/>
          <w:b/>
          <w:bCs/>
          <w:smallCaps/>
          <w:sz w:val="24"/>
          <w:szCs w:val="24"/>
          <w:lang w:val="sq-AL"/>
        </w:rPr>
        <w:t>PËR  MIRATIMIN E RREGULLORES “PËR USHTRIMIN E VEPRIMTARISË DHE MBIKËQYRJEN E INSTITUCIONEVE TË PARASË ELEKTRONIKE”</w:t>
      </w:r>
    </w:p>
    <w:p w14:paraId="67755855" w14:textId="77777777" w:rsidR="009E23AF" w:rsidRPr="00FA38F9" w:rsidRDefault="009E23AF" w:rsidP="009E23AF">
      <w:pPr>
        <w:spacing w:after="0" w:line="240" w:lineRule="auto"/>
        <w:ind w:firstLine="284"/>
        <w:jc w:val="center"/>
        <w:rPr>
          <w:rFonts w:ascii="Garamond" w:hAnsi="Garamond"/>
          <w:b/>
          <w:bCs/>
          <w:sz w:val="24"/>
          <w:szCs w:val="24"/>
          <w:lang w:val="sq-AL"/>
        </w:rPr>
      </w:pPr>
    </w:p>
    <w:p w14:paraId="1BCA9218" w14:textId="77777777" w:rsidR="009E23AF" w:rsidRPr="00FA38F9" w:rsidRDefault="009E23AF" w:rsidP="009E23AF">
      <w:pPr>
        <w:pStyle w:val="BodyText2"/>
        <w:ind w:firstLine="284"/>
        <w:jc w:val="both"/>
        <w:rPr>
          <w:rFonts w:ascii="Garamond" w:hAnsi="Garamond"/>
          <w:b w:val="0"/>
          <w:bCs/>
          <w:sz w:val="24"/>
          <w:szCs w:val="24"/>
          <w:lang w:val="sq-AL"/>
        </w:rPr>
      </w:pPr>
      <w:r w:rsidRPr="00FA38F9">
        <w:rPr>
          <w:rFonts w:ascii="Garamond" w:hAnsi="Garamond"/>
          <w:b w:val="0"/>
          <w:bCs/>
          <w:sz w:val="24"/>
          <w:szCs w:val="24"/>
          <w:lang w:val="sq-AL"/>
        </w:rPr>
        <w:t>Në bazë dhe për zbatim të nenit 1, pika 4, shkronja “b”, nenit 12, shkronja “a” dhe nenit 43, shkronja “c”, të ligjit nr. 8269, datë 23.12.1997, “Për Bankën e Shqipërisë”, i ndryshuar; të ligjit nr. 55/2020, datë 30.4.2020, “Për shërbimet e pagesave”; dhe nenit 126 të ligjit nr. 9662, datë 18.12.2006, “Për bankat në Republikën e Shqipërisë”, i ndryshuar; me propozimin e Departamentit të Mbikëqyrjes, Këshilli Mbikëqyrës i Bankës së Shqipërisë,</w:t>
      </w:r>
    </w:p>
    <w:p w14:paraId="45536BB3" w14:textId="77777777" w:rsidR="009E23AF" w:rsidRPr="00FA38F9" w:rsidRDefault="009E23AF" w:rsidP="009E23AF">
      <w:pPr>
        <w:spacing w:after="0" w:line="240" w:lineRule="auto"/>
        <w:ind w:firstLine="284"/>
        <w:jc w:val="center"/>
        <w:rPr>
          <w:rFonts w:ascii="Garamond" w:hAnsi="Garamond" w:cs="Times New Roman"/>
          <w:b/>
          <w:bCs/>
          <w:sz w:val="24"/>
          <w:szCs w:val="24"/>
          <w:lang w:val="sq-AL"/>
        </w:rPr>
      </w:pPr>
    </w:p>
    <w:p w14:paraId="2C5788B9" w14:textId="77777777" w:rsidR="009E23AF" w:rsidRPr="00FA38F9" w:rsidRDefault="009E23AF" w:rsidP="009E23AF">
      <w:pPr>
        <w:spacing w:after="0" w:line="240" w:lineRule="auto"/>
        <w:ind w:firstLine="284"/>
        <w:jc w:val="center"/>
        <w:rPr>
          <w:rFonts w:ascii="Garamond" w:hAnsi="Garamond" w:cs="Times New Roman"/>
          <w:smallCaps/>
          <w:sz w:val="24"/>
          <w:szCs w:val="24"/>
          <w:lang w:val="sq-AL"/>
        </w:rPr>
      </w:pPr>
      <w:r w:rsidRPr="00FA38F9">
        <w:rPr>
          <w:rFonts w:ascii="Garamond" w:hAnsi="Garamond" w:cs="Times New Roman"/>
          <w:sz w:val="24"/>
          <w:szCs w:val="24"/>
          <w:lang w:val="sq-AL"/>
        </w:rPr>
        <w:t>VENDOSI</w:t>
      </w:r>
      <w:r w:rsidRPr="00FA38F9">
        <w:rPr>
          <w:rFonts w:ascii="Garamond" w:hAnsi="Garamond" w:cs="Times New Roman"/>
          <w:smallCaps/>
          <w:sz w:val="24"/>
          <w:szCs w:val="24"/>
          <w:lang w:val="sq-AL"/>
        </w:rPr>
        <w:t>:</w:t>
      </w:r>
    </w:p>
    <w:p w14:paraId="3524DAC1" w14:textId="77777777" w:rsidR="009E23AF" w:rsidRPr="00FA38F9" w:rsidRDefault="009E23AF" w:rsidP="009E23AF">
      <w:pPr>
        <w:spacing w:after="0" w:line="240" w:lineRule="auto"/>
        <w:ind w:firstLine="284"/>
        <w:jc w:val="center"/>
        <w:rPr>
          <w:rFonts w:ascii="Garamond" w:hAnsi="Garamond" w:cs="Times New Roman"/>
          <w:smallCaps/>
          <w:sz w:val="24"/>
          <w:szCs w:val="24"/>
          <w:lang w:val="sq-AL"/>
        </w:rPr>
      </w:pPr>
    </w:p>
    <w:p w14:paraId="61E8E4C5" w14:textId="3A004B69" w:rsidR="009E23AF" w:rsidRPr="00FA38F9" w:rsidRDefault="009E23AF" w:rsidP="009E23AF">
      <w:pPr>
        <w:tabs>
          <w:tab w:val="left" w:pos="360"/>
        </w:tabs>
        <w:spacing w:after="0" w:line="240" w:lineRule="auto"/>
        <w:ind w:firstLine="284"/>
        <w:jc w:val="both"/>
        <w:rPr>
          <w:rFonts w:ascii="Garamond" w:hAnsi="Garamond"/>
          <w:sz w:val="24"/>
          <w:szCs w:val="24"/>
          <w:lang w:val="sq-AL"/>
        </w:rPr>
      </w:pPr>
      <w:r w:rsidRPr="00FA38F9">
        <w:rPr>
          <w:rFonts w:ascii="Garamond" w:hAnsi="Garamond" w:cs="Times New Roman"/>
          <w:sz w:val="24"/>
          <w:szCs w:val="24"/>
          <w:lang w:val="sq-AL"/>
        </w:rPr>
        <w:t>1. Të miratojë rregulloren “Për ushtrimin e veprimtarisë dhe mbikëqyrjen e institucioneve të parasë elektronike”, sipas tekstit bashkëlidhur këtij vendimi.</w:t>
      </w:r>
    </w:p>
    <w:p w14:paraId="3E9D3E6C" w14:textId="68E51DDF" w:rsidR="009E23AF" w:rsidRPr="00FA38F9" w:rsidRDefault="009E23AF" w:rsidP="009E23AF">
      <w:pPr>
        <w:tabs>
          <w:tab w:val="left" w:pos="360"/>
        </w:tabs>
        <w:spacing w:after="0" w:line="240" w:lineRule="auto"/>
        <w:ind w:firstLine="284"/>
        <w:jc w:val="both"/>
        <w:rPr>
          <w:rFonts w:ascii="Garamond" w:hAnsi="Garamond"/>
          <w:sz w:val="24"/>
          <w:szCs w:val="24"/>
          <w:lang w:val="sq-AL"/>
        </w:rPr>
      </w:pPr>
      <w:r w:rsidRPr="00FA38F9">
        <w:rPr>
          <w:rFonts w:ascii="Garamond" w:hAnsi="Garamond" w:cs="Times New Roman"/>
          <w:sz w:val="24"/>
          <w:szCs w:val="24"/>
          <w:lang w:val="sq-AL"/>
        </w:rPr>
        <w:t>2. Ngarkohen subjektet e rregullores për zbatimin e këtij vendimi.</w:t>
      </w:r>
    </w:p>
    <w:p w14:paraId="31707B72" w14:textId="034BFD3A" w:rsidR="009E23AF" w:rsidRPr="00FA38F9" w:rsidRDefault="009E23AF" w:rsidP="009E23AF">
      <w:pPr>
        <w:tabs>
          <w:tab w:val="left" w:pos="360"/>
        </w:tabs>
        <w:spacing w:after="0" w:line="240" w:lineRule="auto"/>
        <w:ind w:firstLine="284"/>
        <w:jc w:val="both"/>
        <w:rPr>
          <w:rFonts w:ascii="Garamond" w:hAnsi="Garamond"/>
          <w:lang w:val="sq-AL"/>
        </w:rPr>
      </w:pPr>
      <w:r w:rsidRPr="00FA38F9">
        <w:rPr>
          <w:rFonts w:ascii="Garamond" w:hAnsi="Garamond" w:cs="Times New Roman"/>
          <w:sz w:val="24"/>
          <w:szCs w:val="24"/>
          <w:lang w:val="sq-AL"/>
        </w:rPr>
        <w:t>3. Ngarkohet Departamenti i Mbikëqyrjes në Bankën e Shqipërisë me ndjekjen e zbatimit të këtij vendimi.</w:t>
      </w:r>
    </w:p>
    <w:p w14:paraId="433C7F75" w14:textId="11D5C9AD" w:rsidR="009E23AF" w:rsidRPr="00FA38F9" w:rsidRDefault="009E23AF" w:rsidP="009E23AF">
      <w:pPr>
        <w:tabs>
          <w:tab w:val="left" w:pos="360"/>
        </w:tabs>
        <w:spacing w:after="0" w:line="240" w:lineRule="auto"/>
        <w:ind w:firstLine="284"/>
        <w:jc w:val="both"/>
        <w:rPr>
          <w:rFonts w:ascii="Garamond" w:hAnsi="Garamond" w:cs="Times New Roman"/>
          <w:sz w:val="24"/>
          <w:szCs w:val="24"/>
          <w:lang w:val="sq-AL"/>
        </w:rPr>
      </w:pPr>
      <w:r w:rsidRPr="00FA38F9">
        <w:rPr>
          <w:rFonts w:ascii="Garamond" w:hAnsi="Garamond" w:cs="Times New Roman"/>
          <w:sz w:val="24"/>
          <w:szCs w:val="24"/>
          <w:lang w:val="sq-AL"/>
        </w:rPr>
        <w:t>4. Ngarkohet Kabineti i Guvernatorit dhe Departamenti i Kërkimeve me publikimin e këtij vendimi, përkatësisht në Fletoren Zyrtare të Republikës së Shqipërisë dhe në Buletinin Zyrtar të Bankës së Shqipërisë.</w:t>
      </w:r>
    </w:p>
    <w:p w14:paraId="2DB5C9D9" w14:textId="22D67BC9" w:rsidR="009E23AF" w:rsidRPr="00FA38F9" w:rsidRDefault="009E23AF" w:rsidP="009E23AF">
      <w:pPr>
        <w:tabs>
          <w:tab w:val="left" w:pos="360"/>
        </w:tabs>
        <w:spacing w:after="0" w:line="240" w:lineRule="auto"/>
        <w:ind w:firstLine="284"/>
        <w:jc w:val="both"/>
        <w:rPr>
          <w:rFonts w:ascii="Garamond" w:hAnsi="Garamond"/>
          <w:lang w:val="sq-AL"/>
        </w:rPr>
      </w:pPr>
      <w:r w:rsidRPr="00FA38F9">
        <w:rPr>
          <w:rFonts w:ascii="Garamond" w:hAnsi="Garamond" w:cs="Times New Roman"/>
          <w:sz w:val="24"/>
          <w:szCs w:val="24"/>
          <w:lang w:val="sq-AL"/>
        </w:rPr>
        <w:t>5. Me hyrjen në fuqi të këtij vendimi, shfuqizohet rregullorja nr.</w:t>
      </w:r>
      <w:r w:rsidR="00FA38F9" w:rsidRPr="00FA38F9">
        <w:rPr>
          <w:rFonts w:ascii="Garamond" w:hAnsi="Garamond" w:cs="Times New Roman"/>
          <w:sz w:val="24"/>
          <w:szCs w:val="24"/>
          <w:lang w:val="sq-AL"/>
        </w:rPr>
        <w:t xml:space="preserve"> </w:t>
      </w:r>
      <w:r w:rsidRPr="00FA38F9">
        <w:rPr>
          <w:rFonts w:ascii="Garamond" w:hAnsi="Garamond" w:cs="Times New Roman"/>
          <w:sz w:val="24"/>
          <w:szCs w:val="24"/>
          <w:lang w:val="sq-AL"/>
        </w:rPr>
        <w:t>11, datë 6.2.2008</w:t>
      </w:r>
      <w:r w:rsidRPr="00FA38F9">
        <w:rPr>
          <w:rFonts w:ascii="Garamond" w:hAnsi="Garamond"/>
          <w:sz w:val="24"/>
          <w:szCs w:val="24"/>
          <w:lang w:val="sq-AL"/>
        </w:rPr>
        <w:t>,</w:t>
      </w:r>
      <w:r w:rsidRPr="00FA38F9">
        <w:rPr>
          <w:rFonts w:ascii="Garamond" w:hAnsi="Garamond" w:cs="Times New Roman"/>
          <w:sz w:val="24"/>
          <w:szCs w:val="24"/>
          <w:lang w:val="sq-AL"/>
        </w:rPr>
        <w:t xml:space="preserve"> “Për instrumentet e pagesave elektronike”.</w:t>
      </w:r>
    </w:p>
    <w:p w14:paraId="70F08658" w14:textId="77777777" w:rsidR="00847389" w:rsidRDefault="009E23AF" w:rsidP="009E23AF">
      <w:pPr>
        <w:pStyle w:val="BodyText"/>
        <w:ind w:firstLine="284"/>
        <w:jc w:val="left"/>
        <w:rPr>
          <w:rFonts w:ascii="Garamond" w:hAnsi="Garamond"/>
          <w:lang w:val="sq-AL"/>
        </w:rPr>
      </w:pPr>
      <w:r w:rsidRPr="00FA38F9">
        <w:rPr>
          <w:rFonts w:ascii="Garamond" w:hAnsi="Garamond"/>
          <w:lang w:val="sq-AL"/>
        </w:rPr>
        <w:t>Ky vendim hyn në fuqi</w:t>
      </w:r>
      <w:r w:rsidR="00D10836">
        <w:rPr>
          <w:rFonts w:ascii="Garamond" w:hAnsi="Garamond"/>
          <w:lang w:val="sq-AL"/>
        </w:rPr>
        <w:t>,</w:t>
      </w:r>
      <w:r w:rsidRPr="00FA38F9">
        <w:rPr>
          <w:rFonts w:ascii="Garamond" w:hAnsi="Garamond"/>
          <w:lang w:val="sq-AL"/>
        </w:rPr>
        <w:t xml:space="preserve"> </w:t>
      </w:r>
      <w:r w:rsidR="00781C87">
        <w:rPr>
          <w:rFonts w:ascii="Garamond" w:hAnsi="Garamond"/>
          <w:lang w:val="sq-AL"/>
        </w:rPr>
        <w:t>m</w:t>
      </w:r>
      <w:r w:rsidRPr="00FA38F9">
        <w:rPr>
          <w:rFonts w:ascii="Garamond" w:hAnsi="Garamond"/>
          <w:lang w:val="sq-AL"/>
        </w:rPr>
        <w:t>ë 1 mars 2023.</w:t>
      </w:r>
    </w:p>
    <w:p w14:paraId="7293B8A0" w14:textId="77777777" w:rsidR="00847389" w:rsidRDefault="00847389" w:rsidP="00847389">
      <w:pPr>
        <w:pStyle w:val="BodyText"/>
        <w:ind w:firstLine="284"/>
        <w:jc w:val="right"/>
        <w:rPr>
          <w:rFonts w:ascii="Garamond" w:hAnsi="Garamond"/>
          <w:b/>
          <w:bCs/>
          <w:szCs w:val="24"/>
        </w:rPr>
      </w:pPr>
      <w:bookmarkStart w:id="0" w:name="_GoBack"/>
      <w:r w:rsidRPr="00847389">
        <w:rPr>
          <w:rFonts w:ascii="Garamond" w:hAnsi="Garamond"/>
          <w:bCs/>
          <w:szCs w:val="24"/>
        </w:rPr>
        <w:t xml:space="preserve"> </w:t>
      </w:r>
      <w:r w:rsidRPr="00FA38F9">
        <w:rPr>
          <w:rFonts w:ascii="Garamond" w:hAnsi="Garamond"/>
          <w:bCs/>
          <w:szCs w:val="24"/>
        </w:rPr>
        <w:t>KRYETAR</w:t>
      </w:r>
      <w:r w:rsidRPr="00847389">
        <w:rPr>
          <w:rFonts w:ascii="Garamond" w:hAnsi="Garamond"/>
          <w:b/>
          <w:bCs/>
          <w:szCs w:val="24"/>
        </w:rPr>
        <w:t xml:space="preserve"> </w:t>
      </w:r>
    </w:p>
    <w:p w14:paraId="320D5789" w14:textId="6F5031CF" w:rsidR="009E23AF" w:rsidRPr="00FA38F9" w:rsidRDefault="00847389" w:rsidP="00847389">
      <w:pPr>
        <w:pStyle w:val="BodyText"/>
        <w:ind w:firstLine="284"/>
        <w:jc w:val="right"/>
        <w:rPr>
          <w:rFonts w:ascii="Garamond" w:hAnsi="Garamond"/>
          <w:lang w:val="sq-AL"/>
        </w:rPr>
      </w:pPr>
      <w:r w:rsidRPr="00FA38F9">
        <w:rPr>
          <w:rFonts w:ascii="Garamond" w:hAnsi="Garamond"/>
          <w:b/>
          <w:bCs/>
          <w:szCs w:val="24"/>
        </w:rPr>
        <w:t>Gent Sejko</w:t>
      </w:r>
    </w:p>
    <w:bookmarkEnd w:id="0"/>
    <w:p w14:paraId="0B2BAC39" w14:textId="77777777" w:rsidR="009E23AF" w:rsidRPr="00FA38F9" w:rsidRDefault="009E23AF" w:rsidP="009E23AF">
      <w:pPr>
        <w:pStyle w:val="BodyText"/>
        <w:ind w:firstLine="284"/>
        <w:jc w:val="left"/>
        <w:rPr>
          <w:rFonts w:ascii="Garamond" w:hAnsi="Garamond"/>
          <w:lang w:val="sq-AL"/>
        </w:rPr>
      </w:pPr>
    </w:p>
    <w:p w14:paraId="3ADDDD17" w14:textId="77777777" w:rsidR="009E23AF" w:rsidRPr="00FA38F9" w:rsidRDefault="009E23AF" w:rsidP="009E23AF">
      <w:pPr>
        <w:tabs>
          <w:tab w:val="left" w:pos="5120"/>
        </w:tabs>
        <w:spacing w:after="0" w:line="240" w:lineRule="auto"/>
        <w:ind w:firstLine="284"/>
        <w:jc w:val="center"/>
        <w:rPr>
          <w:rFonts w:ascii="Garamond" w:hAnsi="Garamond" w:cs="Times New Roman"/>
          <w:b/>
          <w:bCs/>
          <w:sz w:val="24"/>
          <w:szCs w:val="24"/>
          <w:lang w:val="sq-AL"/>
        </w:rPr>
      </w:pPr>
    </w:p>
    <w:p w14:paraId="66A930A0" w14:textId="77777777" w:rsidR="00407451" w:rsidRPr="00FA38F9" w:rsidRDefault="00407451" w:rsidP="009E23AF">
      <w:pPr>
        <w:tabs>
          <w:tab w:val="left" w:pos="5120"/>
        </w:tabs>
        <w:spacing w:after="0" w:line="240" w:lineRule="auto"/>
        <w:ind w:firstLine="284"/>
        <w:jc w:val="center"/>
        <w:rPr>
          <w:rFonts w:ascii="Garamond" w:hAnsi="Garamond" w:cs="Times New Roman"/>
          <w:b/>
          <w:bCs/>
          <w:smallCaps/>
          <w:sz w:val="24"/>
          <w:szCs w:val="24"/>
          <w:lang w:val="sq-AL"/>
        </w:rPr>
      </w:pPr>
      <w:r w:rsidRPr="00FA38F9">
        <w:rPr>
          <w:rFonts w:ascii="Garamond" w:hAnsi="Garamond" w:cs="Times New Roman"/>
          <w:b/>
          <w:bCs/>
          <w:smallCaps/>
          <w:sz w:val="24"/>
          <w:szCs w:val="24"/>
          <w:lang w:val="sq-AL"/>
        </w:rPr>
        <w:t>RREGULLORE</w:t>
      </w:r>
    </w:p>
    <w:p w14:paraId="569C8DBE" w14:textId="44A94FB1" w:rsidR="00407451" w:rsidRPr="00FA38F9" w:rsidRDefault="00407451" w:rsidP="009E23AF">
      <w:pPr>
        <w:tabs>
          <w:tab w:val="left" w:pos="5120"/>
        </w:tabs>
        <w:spacing w:after="0" w:line="240" w:lineRule="auto"/>
        <w:ind w:firstLine="284"/>
        <w:jc w:val="center"/>
        <w:rPr>
          <w:rFonts w:ascii="Garamond" w:hAnsi="Garamond" w:cs="Times New Roman"/>
          <w:bCs/>
          <w:smallCaps/>
          <w:sz w:val="24"/>
          <w:szCs w:val="24"/>
          <w:lang w:val="sq-AL"/>
        </w:rPr>
      </w:pPr>
      <w:r w:rsidRPr="00FA38F9">
        <w:rPr>
          <w:rFonts w:ascii="Garamond" w:hAnsi="Garamond" w:cs="Times New Roman"/>
          <w:bCs/>
          <w:smallCaps/>
          <w:sz w:val="24"/>
          <w:szCs w:val="24"/>
          <w:lang w:val="sq-AL"/>
        </w:rPr>
        <w:t>PËR USHTRIMIN E VEPRIMTARISË DHE MBIKËQYRJEN E INSTITUCIONEVE TË PARASË ELEKTRONIKE</w:t>
      </w:r>
    </w:p>
    <w:p w14:paraId="64D05E67" w14:textId="77777777" w:rsidR="00407451" w:rsidRPr="00FA38F9" w:rsidRDefault="00407451" w:rsidP="009E23AF">
      <w:pPr>
        <w:tabs>
          <w:tab w:val="left" w:pos="5120"/>
        </w:tabs>
        <w:spacing w:after="0" w:line="240" w:lineRule="auto"/>
        <w:ind w:firstLine="284"/>
        <w:jc w:val="center"/>
        <w:rPr>
          <w:rFonts w:ascii="Garamond" w:hAnsi="Garamond" w:cs="Times New Roman"/>
          <w:bCs/>
          <w:smallCaps/>
          <w:sz w:val="24"/>
          <w:szCs w:val="24"/>
          <w:lang w:val="sq-AL"/>
        </w:rPr>
      </w:pPr>
    </w:p>
    <w:p w14:paraId="429AB39F" w14:textId="77777777" w:rsidR="009E23AF" w:rsidRPr="00FA38F9" w:rsidRDefault="009E23AF" w:rsidP="009E23AF">
      <w:pPr>
        <w:tabs>
          <w:tab w:val="left" w:pos="5120"/>
        </w:tabs>
        <w:spacing w:after="0" w:line="240" w:lineRule="auto"/>
        <w:ind w:firstLine="284"/>
        <w:jc w:val="center"/>
        <w:rPr>
          <w:rFonts w:ascii="Garamond" w:hAnsi="Garamond" w:cs="Times New Roman"/>
          <w:bCs/>
          <w:sz w:val="24"/>
          <w:szCs w:val="24"/>
          <w:lang w:val="sq-AL"/>
        </w:rPr>
      </w:pPr>
      <w:r w:rsidRPr="00FA38F9">
        <w:rPr>
          <w:rFonts w:ascii="Garamond" w:hAnsi="Garamond" w:cs="Times New Roman"/>
          <w:bCs/>
          <w:sz w:val="24"/>
          <w:szCs w:val="24"/>
          <w:lang w:val="sq-AL"/>
        </w:rPr>
        <w:t>KREU I</w:t>
      </w:r>
    </w:p>
    <w:p w14:paraId="43E9B55A" w14:textId="77777777" w:rsidR="009E23AF" w:rsidRPr="00FA38F9" w:rsidRDefault="009E23AF" w:rsidP="009E23AF">
      <w:pPr>
        <w:tabs>
          <w:tab w:val="center" w:pos="4680"/>
          <w:tab w:val="left" w:pos="5440"/>
        </w:tabs>
        <w:spacing w:after="0" w:line="240" w:lineRule="auto"/>
        <w:ind w:firstLine="284"/>
        <w:jc w:val="center"/>
        <w:rPr>
          <w:rFonts w:ascii="Garamond" w:hAnsi="Garamond" w:cs="Times New Roman"/>
          <w:bCs/>
          <w:sz w:val="24"/>
          <w:szCs w:val="24"/>
          <w:lang w:val="sq-AL"/>
        </w:rPr>
      </w:pPr>
      <w:r w:rsidRPr="00FA38F9">
        <w:rPr>
          <w:rFonts w:ascii="Garamond" w:hAnsi="Garamond" w:cs="Times New Roman"/>
          <w:bCs/>
          <w:sz w:val="24"/>
          <w:szCs w:val="24"/>
          <w:lang w:val="sq-AL"/>
        </w:rPr>
        <w:t>TË PËRGJITHSHME</w:t>
      </w:r>
    </w:p>
    <w:p w14:paraId="77DF0852" w14:textId="77777777" w:rsidR="009E23AF" w:rsidRPr="00FA38F9" w:rsidRDefault="009E23AF" w:rsidP="009E23AF">
      <w:pPr>
        <w:tabs>
          <w:tab w:val="center" w:pos="4680"/>
          <w:tab w:val="left" w:pos="5440"/>
        </w:tabs>
        <w:spacing w:after="0" w:line="240" w:lineRule="auto"/>
        <w:ind w:firstLine="284"/>
        <w:rPr>
          <w:rFonts w:ascii="Garamond" w:hAnsi="Garamond" w:cs="Times New Roman"/>
          <w:b/>
          <w:bCs/>
          <w:sz w:val="24"/>
          <w:szCs w:val="24"/>
          <w:lang w:val="sq-AL"/>
        </w:rPr>
      </w:pPr>
    </w:p>
    <w:p w14:paraId="424F2EB2" w14:textId="77777777" w:rsidR="009E23AF" w:rsidRPr="00FA38F9" w:rsidRDefault="009E23AF" w:rsidP="009E23AF">
      <w:pPr>
        <w:spacing w:after="0" w:line="240" w:lineRule="auto"/>
        <w:ind w:firstLine="284"/>
        <w:jc w:val="center"/>
        <w:rPr>
          <w:rFonts w:ascii="Garamond" w:hAnsi="Garamond" w:cs="Times New Roman"/>
          <w:bCs/>
          <w:sz w:val="24"/>
          <w:szCs w:val="24"/>
          <w:lang w:val="sq-AL"/>
        </w:rPr>
      </w:pPr>
      <w:r w:rsidRPr="00FA38F9">
        <w:rPr>
          <w:rFonts w:ascii="Garamond" w:hAnsi="Garamond" w:cs="Times New Roman"/>
          <w:bCs/>
          <w:sz w:val="24"/>
          <w:szCs w:val="24"/>
          <w:lang w:val="sq-AL"/>
        </w:rPr>
        <w:t>Neni 1</w:t>
      </w:r>
    </w:p>
    <w:p w14:paraId="72BF34B5" w14:textId="77777777" w:rsidR="009E23AF" w:rsidRPr="00FA38F9" w:rsidRDefault="009E23AF" w:rsidP="009E23AF">
      <w:pPr>
        <w:spacing w:after="0" w:line="240" w:lineRule="auto"/>
        <w:ind w:firstLine="284"/>
        <w:jc w:val="center"/>
        <w:rPr>
          <w:rFonts w:ascii="Garamond" w:hAnsi="Garamond" w:cs="Times New Roman"/>
          <w:b/>
          <w:bCs/>
          <w:sz w:val="24"/>
          <w:szCs w:val="24"/>
          <w:lang w:val="sq-AL"/>
        </w:rPr>
      </w:pPr>
      <w:r w:rsidRPr="00FA38F9">
        <w:rPr>
          <w:rFonts w:ascii="Garamond" w:hAnsi="Garamond" w:cs="Times New Roman"/>
          <w:b/>
          <w:bCs/>
          <w:sz w:val="24"/>
          <w:szCs w:val="24"/>
          <w:lang w:val="sq-AL"/>
        </w:rPr>
        <w:t>Objekti</w:t>
      </w:r>
    </w:p>
    <w:p w14:paraId="6C77980A" w14:textId="77777777" w:rsidR="009E23AF" w:rsidRPr="00FA38F9" w:rsidRDefault="009E23AF" w:rsidP="009E23AF">
      <w:pPr>
        <w:spacing w:after="0" w:line="240" w:lineRule="auto"/>
        <w:ind w:firstLine="284"/>
        <w:jc w:val="center"/>
        <w:rPr>
          <w:rFonts w:ascii="Garamond" w:hAnsi="Garamond" w:cs="Times New Roman"/>
          <w:b/>
          <w:bCs/>
          <w:sz w:val="24"/>
          <w:szCs w:val="24"/>
          <w:lang w:val="sq-AL"/>
        </w:rPr>
      </w:pPr>
    </w:p>
    <w:p w14:paraId="2C55FFFD" w14:textId="77777777" w:rsidR="009E23AF" w:rsidRPr="00FA38F9" w:rsidRDefault="009E23AF" w:rsidP="009E23AF">
      <w:pPr>
        <w:spacing w:after="0" w:line="240" w:lineRule="auto"/>
        <w:ind w:firstLine="284"/>
        <w:jc w:val="both"/>
        <w:rPr>
          <w:rFonts w:ascii="Garamond" w:hAnsi="Garamond" w:cs="Times New Roman"/>
          <w:sz w:val="24"/>
          <w:szCs w:val="24"/>
          <w:lang w:val="sq-AL"/>
        </w:rPr>
      </w:pPr>
      <w:r w:rsidRPr="00FA38F9">
        <w:rPr>
          <w:rFonts w:ascii="Garamond" w:hAnsi="Garamond" w:cs="Times New Roman"/>
          <w:sz w:val="24"/>
          <w:szCs w:val="24"/>
          <w:lang w:val="sq-AL"/>
        </w:rPr>
        <w:t xml:space="preserve">Objekti i kësaj rregulloreje është përcaktimi i rregullave për ushtrimin e veprimtarisë së institucioneve të parasë elektronike, për administrimin e rreziqeve që lidhen me këtë veprimtari dhe për mbikëqyrjen e tyre, si dhe i rregullave dhe kërkesave për emetimin e parasë elektronike nga emetuesit e parasë elektronike. </w:t>
      </w:r>
    </w:p>
    <w:p w14:paraId="7A4A46AD" w14:textId="77777777" w:rsidR="009E23AF" w:rsidRPr="00FA38F9" w:rsidRDefault="009E23AF" w:rsidP="009E23AF">
      <w:pPr>
        <w:spacing w:after="0" w:line="240" w:lineRule="auto"/>
        <w:ind w:firstLine="284"/>
        <w:jc w:val="center"/>
        <w:rPr>
          <w:rFonts w:ascii="Garamond" w:hAnsi="Garamond" w:cs="Times New Roman"/>
          <w:b/>
          <w:bCs/>
          <w:sz w:val="24"/>
          <w:szCs w:val="24"/>
          <w:lang w:val="sq-AL"/>
        </w:rPr>
      </w:pPr>
    </w:p>
    <w:p w14:paraId="0E865CC7" w14:textId="77777777" w:rsidR="009E23AF" w:rsidRPr="00FA38F9" w:rsidRDefault="009E23AF" w:rsidP="009E23AF">
      <w:pPr>
        <w:spacing w:after="0" w:line="240" w:lineRule="auto"/>
        <w:ind w:firstLine="284"/>
        <w:jc w:val="center"/>
        <w:rPr>
          <w:rFonts w:ascii="Garamond" w:hAnsi="Garamond" w:cs="Times New Roman"/>
          <w:bCs/>
          <w:sz w:val="24"/>
          <w:szCs w:val="24"/>
          <w:lang w:val="sq-AL"/>
        </w:rPr>
      </w:pPr>
      <w:r w:rsidRPr="00FA38F9">
        <w:rPr>
          <w:rFonts w:ascii="Garamond" w:hAnsi="Garamond" w:cs="Times New Roman"/>
          <w:bCs/>
          <w:sz w:val="24"/>
          <w:szCs w:val="24"/>
          <w:lang w:val="sq-AL"/>
        </w:rPr>
        <w:t>Neni 2</w:t>
      </w:r>
    </w:p>
    <w:p w14:paraId="53A1F092" w14:textId="77777777" w:rsidR="009E23AF" w:rsidRPr="00FA38F9" w:rsidRDefault="009E23AF" w:rsidP="009E23AF">
      <w:pPr>
        <w:spacing w:after="0" w:line="240" w:lineRule="auto"/>
        <w:ind w:firstLine="284"/>
        <w:jc w:val="center"/>
        <w:rPr>
          <w:rFonts w:ascii="Garamond" w:hAnsi="Garamond" w:cs="Times New Roman"/>
          <w:b/>
          <w:bCs/>
          <w:sz w:val="24"/>
          <w:szCs w:val="24"/>
          <w:lang w:val="sq-AL"/>
        </w:rPr>
      </w:pPr>
      <w:r w:rsidRPr="00FA38F9">
        <w:rPr>
          <w:rFonts w:ascii="Garamond" w:hAnsi="Garamond" w:cs="Times New Roman"/>
          <w:b/>
          <w:bCs/>
          <w:sz w:val="24"/>
          <w:szCs w:val="24"/>
          <w:lang w:val="sq-AL"/>
        </w:rPr>
        <w:t>Subjektet</w:t>
      </w:r>
    </w:p>
    <w:p w14:paraId="4310ABEC" w14:textId="77777777" w:rsidR="009E23AF" w:rsidRPr="00FA38F9" w:rsidRDefault="009E23AF" w:rsidP="009E23AF">
      <w:pPr>
        <w:spacing w:after="0" w:line="240" w:lineRule="auto"/>
        <w:ind w:firstLine="284"/>
        <w:jc w:val="center"/>
        <w:rPr>
          <w:rFonts w:ascii="Garamond" w:hAnsi="Garamond" w:cs="Times New Roman"/>
          <w:b/>
          <w:bCs/>
          <w:sz w:val="24"/>
          <w:szCs w:val="24"/>
          <w:lang w:val="sq-AL"/>
        </w:rPr>
      </w:pPr>
    </w:p>
    <w:p w14:paraId="0696E650" w14:textId="248EC4A8" w:rsidR="009E23AF" w:rsidRPr="00FA38F9" w:rsidRDefault="009E23AF" w:rsidP="009E23AF">
      <w:pPr>
        <w:spacing w:after="0" w:line="240" w:lineRule="auto"/>
        <w:ind w:firstLine="284"/>
        <w:jc w:val="both"/>
        <w:rPr>
          <w:rFonts w:ascii="Garamond" w:hAnsi="Garamond" w:cs="Times New Roman"/>
          <w:sz w:val="24"/>
          <w:szCs w:val="24"/>
          <w:lang w:val="sq-AL"/>
        </w:rPr>
      </w:pPr>
      <w:r w:rsidRPr="00FA38F9">
        <w:rPr>
          <w:rFonts w:ascii="Garamond" w:hAnsi="Garamond" w:cs="Times New Roman"/>
          <w:sz w:val="24"/>
          <w:szCs w:val="24"/>
          <w:lang w:val="sq-AL"/>
        </w:rPr>
        <w:t>Subjekte të kësaj rregulloreje</w:t>
      </w:r>
      <w:r w:rsidR="004E6050">
        <w:rPr>
          <w:rFonts w:ascii="Garamond" w:hAnsi="Garamond" w:cs="Times New Roman"/>
          <w:sz w:val="24"/>
          <w:szCs w:val="24"/>
          <w:lang w:val="sq-AL"/>
        </w:rPr>
        <w:t>,</w:t>
      </w:r>
      <w:r w:rsidRPr="00FA38F9">
        <w:rPr>
          <w:rFonts w:ascii="Garamond" w:hAnsi="Garamond" w:cs="Times New Roman"/>
          <w:sz w:val="24"/>
          <w:szCs w:val="24"/>
          <w:lang w:val="sq-AL"/>
        </w:rPr>
        <w:t xml:space="preserve"> janë:</w:t>
      </w:r>
    </w:p>
    <w:p w14:paraId="660E334C" w14:textId="17576BE4" w:rsidR="009E23AF" w:rsidRPr="00FA38F9" w:rsidRDefault="009E23AF" w:rsidP="009E23AF">
      <w:pPr>
        <w:pStyle w:val="ListParagraph"/>
        <w:spacing w:after="0" w:line="240" w:lineRule="auto"/>
        <w:ind w:left="0" w:firstLine="284"/>
        <w:jc w:val="both"/>
        <w:rPr>
          <w:rFonts w:ascii="Garamond" w:hAnsi="Garamond" w:cs="Times New Roman"/>
          <w:sz w:val="24"/>
          <w:szCs w:val="24"/>
          <w:lang w:val="sq-AL"/>
        </w:rPr>
      </w:pPr>
      <w:r w:rsidRPr="00FA38F9">
        <w:rPr>
          <w:rFonts w:ascii="Garamond" w:hAnsi="Garamond" w:cs="Times New Roman"/>
          <w:sz w:val="24"/>
          <w:szCs w:val="24"/>
          <w:lang w:val="sq-AL"/>
        </w:rPr>
        <w:lastRenderedPageBreak/>
        <w:t>a) institucionet e parasë elektronike, siç përcaktohen në pikën 46</w:t>
      </w:r>
      <w:r w:rsidR="00F57231">
        <w:rPr>
          <w:rFonts w:ascii="Garamond" w:hAnsi="Garamond" w:cs="Times New Roman"/>
          <w:sz w:val="24"/>
          <w:szCs w:val="24"/>
          <w:lang w:val="sq-AL"/>
        </w:rPr>
        <w:t>,</w:t>
      </w:r>
      <w:r w:rsidRPr="00FA38F9">
        <w:rPr>
          <w:rFonts w:ascii="Garamond" w:hAnsi="Garamond" w:cs="Times New Roman"/>
          <w:sz w:val="24"/>
          <w:szCs w:val="24"/>
          <w:lang w:val="sq-AL"/>
        </w:rPr>
        <w:t xml:space="preserve"> të nenit 4</w:t>
      </w:r>
      <w:r w:rsidR="00F57231">
        <w:rPr>
          <w:rFonts w:ascii="Garamond" w:hAnsi="Garamond" w:cs="Times New Roman"/>
          <w:sz w:val="24"/>
          <w:szCs w:val="24"/>
          <w:lang w:val="sq-AL"/>
        </w:rPr>
        <w:t>,</w:t>
      </w:r>
      <w:r w:rsidRPr="00FA38F9">
        <w:rPr>
          <w:rFonts w:ascii="Garamond" w:hAnsi="Garamond" w:cs="Times New Roman"/>
          <w:sz w:val="24"/>
          <w:szCs w:val="24"/>
          <w:lang w:val="sq-AL"/>
        </w:rPr>
        <w:t xml:space="preserve"> të ligjit nr. 9662, datë 18.12.2006, “Për bankat në Republikën e Shqipërisë”;</w:t>
      </w:r>
    </w:p>
    <w:p w14:paraId="49D2D934" w14:textId="1A6610BD" w:rsidR="009E23AF" w:rsidRPr="00FA38F9" w:rsidRDefault="009E23AF" w:rsidP="009E23AF">
      <w:pPr>
        <w:pStyle w:val="ListParagraph"/>
        <w:spacing w:after="0" w:line="240" w:lineRule="auto"/>
        <w:ind w:left="0" w:firstLine="284"/>
        <w:jc w:val="both"/>
        <w:rPr>
          <w:rFonts w:ascii="Garamond" w:hAnsi="Garamond" w:cs="Times New Roman"/>
          <w:b/>
          <w:bCs/>
          <w:sz w:val="24"/>
          <w:szCs w:val="24"/>
          <w:lang w:val="sq-AL"/>
        </w:rPr>
      </w:pPr>
      <w:r w:rsidRPr="00FA38F9">
        <w:rPr>
          <w:rFonts w:ascii="Garamond" w:hAnsi="Garamond" w:cs="Times New Roman"/>
          <w:sz w:val="24"/>
          <w:szCs w:val="24"/>
          <w:lang w:val="sq-AL"/>
        </w:rPr>
        <w:t xml:space="preserve">b) bankat dhe degët e bankave të huaja, në cilësinë e emetuesve të parasë elektronike, për sa parashikohet në </w:t>
      </w:r>
      <w:r w:rsidR="0099451C">
        <w:rPr>
          <w:rFonts w:ascii="Garamond" w:hAnsi="Garamond" w:cs="Times New Roman"/>
          <w:sz w:val="24"/>
          <w:szCs w:val="24"/>
          <w:lang w:val="sq-AL"/>
        </w:rPr>
        <w:t>k</w:t>
      </w:r>
      <w:r w:rsidR="0099451C" w:rsidRPr="00FA38F9">
        <w:rPr>
          <w:rFonts w:ascii="Garamond" w:hAnsi="Garamond" w:cs="Times New Roman"/>
          <w:sz w:val="24"/>
          <w:szCs w:val="24"/>
          <w:lang w:val="sq-AL"/>
        </w:rPr>
        <w:t>re</w:t>
      </w:r>
      <w:r w:rsidR="0099451C">
        <w:rPr>
          <w:rFonts w:ascii="Garamond" w:hAnsi="Garamond" w:cs="Times New Roman"/>
          <w:sz w:val="24"/>
          <w:szCs w:val="24"/>
          <w:lang w:val="sq-AL"/>
        </w:rPr>
        <w:t>rët</w:t>
      </w:r>
      <w:r w:rsidRPr="00FA38F9">
        <w:rPr>
          <w:rFonts w:ascii="Garamond" w:hAnsi="Garamond" w:cs="Times New Roman"/>
          <w:sz w:val="24"/>
          <w:szCs w:val="24"/>
          <w:lang w:val="sq-AL"/>
        </w:rPr>
        <w:t xml:space="preserve"> VI dhe VII të kësaj rregulloreje.</w:t>
      </w:r>
    </w:p>
    <w:p w14:paraId="38E37DA0" w14:textId="77777777" w:rsidR="009E23AF" w:rsidRPr="00FA38F9" w:rsidRDefault="009E23AF" w:rsidP="009E23AF">
      <w:pPr>
        <w:spacing w:after="0" w:line="240" w:lineRule="auto"/>
        <w:ind w:firstLine="284"/>
        <w:jc w:val="both"/>
        <w:rPr>
          <w:rFonts w:ascii="Garamond" w:hAnsi="Garamond" w:cs="Times New Roman"/>
          <w:b/>
          <w:bCs/>
          <w:sz w:val="24"/>
          <w:szCs w:val="24"/>
          <w:lang w:val="sq-AL"/>
        </w:rPr>
      </w:pPr>
    </w:p>
    <w:p w14:paraId="0A5745E2" w14:textId="77777777" w:rsidR="009E23AF" w:rsidRPr="00FA38F9" w:rsidRDefault="009E23AF" w:rsidP="009E23AF">
      <w:pPr>
        <w:tabs>
          <w:tab w:val="left" w:pos="0"/>
        </w:tabs>
        <w:spacing w:after="0" w:line="240" w:lineRule="auto"/>
        <w:ind w:firstLine="284"/>
        <w:jc w:val="center"/>
        <w:rPr>
          <w:rFonts w:ascii="Garamond" w:hAnsi="Garamond" w:cs="Times New Roman"/>
          <w:bCs/>
          <w:sz w:val="24"/>
          <w:szCs w:val="24"/>
          <w:lang w:val="sq-AL"/>
        </w:rPr>
      </w:pPr>
      <w:r w:rsidRPr="00FA38F9">
        <w:rPr>
          <w:rFonts w:ascii="Garamond" w:hAnsi="Garamond" w:cs="Times New Roman"/>
          <w:bCs/>
          <w:sz w:val="24"/>
          <w:szCs w:val="24"/>
          <w:lang w:val="sq-AL"/>
        </w:rPr>
        <w:t>Neni 3</w:t>
      </w:r>
    </w:p>
    <w:p w14:paraId="5120B203" w14:textId="77777777" w:rsidR="009E23AF" w:rsidRPr="00FA38F9" w:rsidRDefault="009E23AF" w:rsidP="009E23AF">
      <w:pPr>
        <w:tabs>
          <w:tab w:val="left" w:pos="0"/>
        </w:tabs>
        <w:spacing w:after="0" w:line="240" w:lineRule="auto"/>
        <w:ind w:firstLine="284"/>
        <w:jc w:val="center"/>
        <w:rPr>
          <w:rFonts w:ascii="Garamond" w:hAnsi="Garamond" w:cs="Times New Roman"/>
          <w:b/>
          <w:bCs/>
          <w:sz w:val="24"/>
          <w:szCs w:val="24"/>
          <w:lang w:val="sq-AL"/>
        </w:rPr>
      </w:pPr>
      <w:r w:rsidRPr="00FA38F9">
        <w:rPr>
          <w:rFonts w:ascii="Garamond" w:hAnsi="Garamond" w:cs="Times New Roman"/>
          <w:b/>
          <w:bCs/>
          <w:sz w:val="24"/>
          <w:szCs w:val="24"/>
          <w:lang w:val="sq-AL"/>
        </w:rPr>
        <w:t>Baza juridike</w:t>
      </w:r>
    </w:p>
    <w:p w14:paraId="71A052F9" w14:textId="77777777" w:rsidR="009E23AF" w:rsidRPr="00FA38F9" w:rsidRDefault="009E23AF" w:rsidP="009E23AF">
      <w:pPr>
        <w:tabs>
          <w:tab w:val="left" w:pos="0"/>
        </w:tabs>
        <w:spacing w:after="0" w:line="240" w:lineRule="auto"/>
        <w:ind w:firstLine="284"/>
        <w:jc w:val="center"/>
        <w:rPr>
          <w:rFonts w:ascii="Garamond" w:hAnsi="Garamond" w:cs="Times New Roman"/>
          <w:b/>
          <w:bCs/>
          <w:sz w:val="24"/>
          <w:szCs w:val="24"/>
          <w:lang w:val="sq-AL"/>
        </w:rPr>
      </w:pPr>
    </w:p>
    <w:p w14:paraId="6E59FECB" w14:textId="77777777" w:rsidR="009E23AF" w:rsidRPr="00FA38F9" w:rsidRDefault="009E23AF" w:rsidP="009E23AF">
      <w:pPr>
        <w:spacing w:after="0" w:line="240" w:lineRule="auto"/>
        <w:ind w:firstLine="284"/>
        <w:jc w:val="both"/>
        <w:rPr>
          <w:rFonts w:ascii="Garamond" w:hAnsi="Garamond" w:cs="Times New Roman"/>
          <w:sz w:val="24"/>
          <w:szCs w:val="24"/>
          <w:lang w:val="sq-AL"/>
        </w:rPr>
      </w:pPr>
      <w:r w:rsidRPr="00FA38F9">
        <w:rPr>
          <w:rFonts w:ascii="Garamond" w:hAnsi="Garamond" w:cs="Times New Roman"/>
          <w:sz w:val="24"/>
          <w:szCs w:val="24"/>
          <w:lang w:val="sq-AL"/>
        </w:rPr>
        <w:t>Kjo rregullore nxirret në bazë dhe për zbatim të nenit 1, pika 4, shkronja “b”, nenit 12, shkronja “a”, dhe nenit 43, shkronja “c”, të ligjit nr. 8269, datë 23.12.1997, “Për Bankën e Shqipërisë”, i ndryshuar; të ligjit nr. 55/2020, datë 30.4.2020, “Për shërbimet e pagesave” (i cili në këtë rregullore do të quhet ligji “Për shërbimet e pagesave”); dhe nenit 126 të ligjit nr. 9662, datë 18.12.2006, “Për bankat në Republikën e Shqipërisë”, i ndryshuar (i cili në këtë rregullore do të quhet ligji “Për bankat”).</w:t>
      </w:r>
    </w:p>
    <w:p w14:paraId="0D90AC8F" w14:textId="77777777" w:rsidR="009E23AF" w:rsidRPr="00FA38F9" w:rsidRDefault="009E23AF" w:rsidP="009E23AF">
      <w:pPr>
        <w:spacing w:after="0" w:line="240" w:lineRule="auto"/>
        <w:ind w:firstLine="284"/>
        <w:rPr>
          <w:rFonts w:ascii="Garamond" w:hAnsi="Garamond" w:cs="Times New Roman"/>
          <w:sz w:val="24"/>
          <w:szCs w:val="24"/>
          <w:lang w:val="sq-AL"/>
        </w:rPr>
      </w:pPr>
    </w:p>
    <w:p w14:paraId="02389257" w14:textId="77777777" w:rsidR="009E23AF" w:rsidRPr="00FA38F9" w:rsidRDefault="009E23AF" w:rsidP="009E23AF">
      <w:pPr>
        <w:spacing w:after="0" w:line="240" w:lineRule="auto"/>
        <w:ind w:firstLine="284"/>
        <w:jc w:val="center"/>
        <w:rPr>
          <w:rFonts w:ascii="Garamond" w:hAnsi="Garamond" w:cs="Times New Roman"/>
          <w:bCs/>
          <w:sz w:val="24"/>
          <w:szCs w:val="24"/>
          <w:lang w:val="sq-AL"/>
        </w:rPr>
      </w:pPr>
      <w:r w:rsidRPr="00FA38F9">
        <w:rPr>
          <w:rFonts w:ascii="Garamond" w:hAnsi="Garamond" w:cs="Times New Roman"/>
          <w:bCs/>
          <w:sz w:val="24"/>
          <w:szCs w:val="24"/>
          <w:lang w:val="sq-AL"/>
        </w:rPr>
        <w:t>Neni 4</w:t>
      </w:r>
    </w:p>
    <w:p w14:paraId="4F52C369" w14:textId="77777777" w:rsidR="009E23AF" w:rsidRPr="00FA38F9" w:rsidRDefault="009E23AF" w:rsidP="009E23AF">
      <w:pPr>
        <w:spacing w:after="0" w:line="240" w:lineRule="auto"/>
        <w:ind w:firstLine="284"/>
        <w:jc w:val="center"/>
        <w:rPr>
          <w:rFonts w:ascii="Garamond" w:hAnsi="Garamond" w:cs="Times New Roman"/>
          <w:b/>
          <w:bCs/>
          <w:sz w:val="24"/>
          <w:szCs w:val="24"/>
          <w:lang w:val="sq-AL"/>
        </w:rPr>
      </w:pPr>
      <w:r w:rsidRPr="00FA38F9">
        <w:rPr>
          <w:rFonts w:ascii="Garamond" w:hAnsi="Garamond" w:cs="Times New Roman"/>
          <w:b/>
          <w:bCs/>
          <w:sz w:val="24"/>
          <w:szCs w:val="24"/>
          <w:lang w:val="sq-AL"/>
        </w:rPr>
        <w:t>Përkufizime</w:t>
      </w:r>
    </w:p>
    <w:p w14:paraId="2E9C1D49" w14:textId="77777777" w:rsidR="009E23AF" w:rsidRPr="00FA38F9" w:rsidRDefault="009E23AF" w:rsidP="009E23AF">
      <w:pPr>
        <w:spacing w:after="0" w:line="240" w:lineRule="auto"/>
        <w:ind w:firstLine="284"/>
        <w:jc w:val="center"/>
        <w:rPr>
          <w:rFonts w:ascii="Garamond" w:hAnsi="Garamond" w:cs="Times New Roman"/>
          <w:b/>
          <w:bCs/>
          <w:sz w:val="24"/>
          <w:szCs w:val="24"/>
          <w:lang w:val="sq-AL"/>
        </w:rPr>
      </w:pPr>
    </w:p>
    <w:p w14:paraId="351F68A4" w14:textId="190121F3" w:rsidR="009E23AF" w:rsidRPr="00FA38F9" w:rsidRDefault="009E23AF" w:rsidP="009E23AF">
      <w:pPr>
        <w:pStyle w:val="ListParagraph"/>
        <w:spacing w:after="0" w:line="240" w:lineRule="auto"/>
        <w:ind w:left="0" w:firstLine="284"/>
        <w:jc w:val="both"/>
        <w:rPr>
          <w:rFonts w:ascii="Garamond" w:hAnsi="Garamond" w:cs="Times New Roman"/>
          <w:sz w:val="24"/>
          <w:szCs w:val="24"/>
          <w:lang w:val="sq-AL"/>
        </w:rPr>
      </w:pPr>
      <w:r w:rsidRPr="00FA38F9">
        <w:rPr>
          <w:rFonts w:ascii="Garamond" w:hAnsi="Garamond" w:cs="Times New Roman"/>
          <w:sz w:val="24"/>
          <w:szCs w:val="24"/>
          <w:lang w:val="sq-AL"/>
        </w:rPr>
        <w:t xml:space="preserve">1. Termat e përdorur në këtë rregullore kanë të njëjtin kuptim me termat e përkufizuar në ligjin “Për shërbimet e pagesave” dhe në ligjin “Për bankat”. </w:t>
      </w:r>
    </w:p>
    <w:p w14:paraId="10FE2FBA" w14:textId="5F8EAD41" w:rsidR="009E23AF" w:rsidRPr="00FA38F9" w:rsidRDefault="009E23AF" w:rsidP="009E23AF">
      <w:pPr>
        <w:pStyle w:val="ListParagraph"/>
        <w:spacing w:after="0" w:line="240" w:lineRule="auto"/>
        <w:ind w:left="0" w:firstLine="284"/>
        <w:jc w:val="both"/>
        <w:rPr>
          <w:rFonts w:ascii="Garamond" w:hAnsi="Garamond" w:cs="Times New Roman"/>
          <w:sz w:val="24"/>
          <w:szCs w:val="24"/>
          <w:lang w:val="sq-AL"/>
        </w:rPr>
      </w:pPr>
      <w:r w:rsidRPr="00FA38F9">
        <w:rPr>
          <w:rFonts w:ascii="Garamond" w:hAnsi="Garamond" w:cs="Times New Roman"/>
          <w:sz w:val="24"/>
          <w:szCs w:val="24"/>
          <w:lang w:val="sq-AL"/>
        </w:rPr>
        <w:t>2. Përveç sa parashikohet në pikën 1 të këtij neni, për qëllime të zbatimit të kësaj rregulloreje, termat e mëposhtëm kanë këtë kuptim:</w:t>
      </w:r>
    </w:p>
    <w:p w14:paraId="0279A560" w14:textId="3E3F2F82" w:rsidR="009E23AF" w:rsidRPr="00FA38F9" w:rsidRDefault="009E23AF" w:rsidP="009E23AF">
      <w:pPr>
        <w:tabs>
          <w:tab w:val="left" w:pos="720"/>
        </w:tabs>
        <w:spacing w:after="0" w:line="240" w:lineRule="auto"/>
        <w:ind w:firstLine="284"/>
        <w:jc w:val="both"/>
        <w:rPr>
          <w:rFonts w:ascii="Garamond" w:hAnsi="Garamond" w:cs="Times New Roman"/>
          <w:sz w:val="24"/>
          <w:szCs w:val="24"/>
          <w:lang w:val="sq-AL"/>
        </w:rPr>
      </w:pPr>
      <w:r w:rsidRPr="00FA38F9">
        <w:rPr>
          <w:rFonts w:ascii="Garamond" w:hAnsi="Garamond" w:cs="Times New Roman"/>
          <w:sz w:val="24"/>
          <w:szCs w:val="24"/>
          <w:lang w:val="sq-AL"/>
        </w:rPr>
        <w:t xml:space="preserve">a) “tepricë mesatare e parasë elektronike” – është mesatarja e shumës totale të detyrimeve financiare të lidhura me paranë elektronike të emetuar, në fund të çdo dite kalendarike përgjatë gjashtëmujorit paraardhës, të përllogaritur në ditën e parë kalendarike të çdo muaji kalendarik pasardhës të gjashtëmujorit dhe që aplikohet për këtë muaj kalendarik; </w:t>
      </w:r>
    </w:p>
    <w:p w14:paraId="0FCA0D33" w14:textId="59731D92" w:rsidR="009E23AF" w:rsidRPr="00FA38F9" w:rsidRDefault="009E23AF" w:rsidP="009E23AF">
      <w:pPr>
        <w:tabs>
          <w:tab w:val="left" w:pos="720"/>
        </w:tabs>
        <w:spacing w:after="0" w:line="240" w:lineRule="auto"/>
        <w:ind w:firstLine="284"/>
        <w:jc w:val="both"/>
        <w:rPr>
          <w:rFonts w:ascii="Garamond" w:hAnsi="Garamond" w:cs="Times New Roman"/>
          <w:sz w:val="24"/>
          <w:szCs w:val="24"/>
          <w:lang w:val="sq-AL"/>
        </w:rPr>
      </w:pPr>
      <w:r w:rsidRPr="00FA38F9">
        <w:rPr>
          <w:rFonts w:ascii="Garamond" w:hAnsi="Garamond" w:cs="Times New Roman"/>
          <w:sz w:val="24"/>
          <w:szCs w:val="24"/>
          <w:lang w:val="sq-AL"/>
        </w:rPr>
        <w:t>b) “emetues i parasë elektronike” – janë kategoritë e mëposhtme:</w:t>
      </w:r>
    </w:p>
    <w:p w14:paraId="55690F48" w14:textId="79D998E8" w:rsidR="009E23AF" w:rsidRPr="00FA38F9" w:rsidRDefault="009E23AF" w:rsidP="009E23AF">
      <w:pPr>
        <w:pStyle w:val="ListParagraph"/>
        <w:spacing w:after="0" w:line="240" w:lineRule="auto"/>
        <w:ind w:left="0" w:firstLine="284"/>
        <w:jc w:val="both"/>
        <w:rPr>
          <w:rFonts w:ascii="Garamond" w:hAnsi="Garamond" w:cs="Times New Roman"/>
          <w:sz w:val="24"/>
          <w:szCs w:val="24"/>
          <w:lang w:val="sq-AL"/>
        </w:rPr>
      </w:pPr>
      <w:r w:rsidRPr="00FA38F9">
        <w:rPr>
          <w:rFonts w:ascii="Garamond" w:hAnsi="Garamond" w:cs="Times New Roman"/>
          <w:sz w:val="24"/>
          <w:szCs w:val="24"/>
          <w:lang w:val="sq-AL"/>
        </w:rPr>
        <w:t>i. bankat dhe degët e bankave të huaja, të licencuara nga Banka e Shqipërisë për emetimin e parasë elektronike,</w:t>
      </w:r>
    </w:p>
    <w:p w14:paraId="3A7C1F03" w14:textId="4A3D82D4" w:rsidR="009E23AF" w:rsidRPr="00FA38F9" w:rsidRDefault="009E23AF" w:rsidP="009E23AF">
      <w:pPr>
        <w:pStyle w:val="ListParagraph"/>
        <w:spacing w:after="0" w:line="240" w:lineRule="auto"/>
        <w:ind w:left="0" w:firstLine="284"/>
        <w:jc w:val="both"/>
        <w:rPr>
          <w:rFonts w:ascii="Garamond" w:hAnsi="Garamond" w:cs="Times New Roman"/>
          <w:sz w:val="24"/>
          <w:szCs w:val="24"/>
          <w:lang w:val="sq-AL"/>
        </w:rPr>
      </w:pPr>
      <w:r w:rsidRPr="00FA38F9">
        <w:rPr>
          <w:rFonts w:ascii="Garamond" w:hAnsi="Garamond" w:cs="Times New Roman"/>
          <w:sz w:val="24"/>
          <w:szCs w:val="24"/>
          <w:lang w:val="sq-AL"/>
        </w:rPr>
        <w:t>ii. institucionet e parasë elektronike, siç përcaktohen në pikën 46 të nenit 4 të ligjit “Për bankat”;</w:t>
      </w:r>
    </w:p>
    <w:p w14:paraId="46BE9878" w14:textId="4DED9AC5" w:rsidR="009E23AF" w:rsidRPr="00FA38F9" w:rsidRDefault="009E23AF" w:rsidP="009E23AF">
      <w:pPr>
        <w:tabs>
          <w:tab w:val="left" w:pos="720"/>
        </w:tabs>
        <w:spacing w:after="0" w:line="240" w:lineRule="auto"/>
        <w:ind w:firstLine="284"/>
        <w:jc w:val="both"/>
        <w:rPr>
          <w:rFonts w:ascii="Garamond" w:hAnsi="Garamond" w:cs="Times New Roman"/>
          <w:sz w:val="24"/>
          <w:szCs w:val="24"/>
          <w:lang w:val="sq-AL"/>
        </w:rPr>
      </w:pPr>
      <w:r w:rsidRPr="00FA38F9">
        <w:rPr>
          <w:rFonts w:ascii="Garamond" w:hAnsi="Garamond" w:cs="Times New Roman"/>
          <w:sz w:val="24"/>
          <w:szCs w:val="24"/>
          <w:lang w:val="sq-AL"/>
        </w:rPr>
        <w:t>c) “mbajtës i parasë elektronike” – është personi (individi, personi fizik ose personi juridik), i cili, në bazë të kontratës përkatëse me emetuesin e parasë elektronike, mban paranë elektronike;</w:t>
      </w:r>
    </w:p>
    <w:p w14:paraId="18EC2064" w14:textId="440032C6" w:rsidR="009E23AF" w:rsidRPr="00FA38F9" w:rsidRDefault="009E23AF" w:rsidP="009E23AF">
      <w:pPr>
        <w:tabs>
          <w:tab w:val="left" w:pos="720"/>
        </w:tabs>
        <w:spacing w:after="0" w:line="240" w:lineRule="auto"/>
        <w:ind w:firstLine="284"/>
        <w:jc w:val="both"/>
        <w:rPr>
          <w:rFonts w:ascii="Garamond" w:hAnsi="Garamond"/>
          <w:sz w:val="24"/>
          <w:szCs w:val="24"/>
          <w:lang w:val="sq-AL"/>
        </w:rPr>
      </w:pPr>
      <w:r w:rsidRPr="00FA38F9">
        <w:rPr>
          <w:rFonts w:ascii="Garamond" w:hAnsi="Garamond" w:cs="Times New Roman"/>
          <w:sz w:val="24"/>
          <w:szCs w:val="24"/>
          <w:lang w:val="sq-AL"/>
        </w:rPr>
        <w:t>d) “sistemi i kontrollit të brendshëm” - përfshin procesin e monitorimit dhe të vlerësimit të vazhdueshëm të mjaftueshmërisë dhe efektivitetit të akteve të brendshme e mekanizmave të kontrollit brenda një institucioni si dhe të cilësisë së operacioneve të veprimtarisë së tij, të kryera nga strukturat përgjegjëse, për realizimin e funksioneve të sistemit të kontrollit të brendshëm</w:t>
      </w:r>
      <w:r w:rsidRPr="00FA38F9">
        <w:rPr>
          <w:rFonts w:ascii="Garamond" w:hAnsi="Garamond"/>
          <w:sz w:val="24"/>
          <w:szCs w:val="24"/>
          <w:lang w:val="sq-AL"/>
        </w:rPr>
        <w:t>.</w:t>
      </w:r>
    </w:p>
    <w:p w14:paraId="35A36C47" w14:textId="1E132545" w:rsidR="009E23AF" w:rsidRPr="00FA38F9" w:rsidRDefault="009E23AF" w:rsidP="009E23AF">
      <w:pPr>
        <w:pStyle w:val="ListParagraph"/>
        <w:spacing w:after="0" w:line="240" w:lineRule="auto"/>
        <w:ind w:left="0" w:firstLine="284"/>
        <w:jc w:val="both"/>
        <w:rPr>
          <w:rFonts w:ascii="Garamond" w:hAnsi="Garamond" w:cs="Times New Roman"/>
          <w:sz w:val="24"/>
          <w:szCs w:val="24"/>
          <w:lang w:val="sq-AL"/>
        </w:rPr>
      </w:pPr>
      <w:r w:rsidRPr="00FA38F9">
        <w:rPr>
          <w:rFonts w:ascii="Garamond" w:hAnsi="Garamond" w:cs="Times New Roman"/>
          <w:sz w:val="24"/>
          <w:szCs w:val="24"/>
          <w:lang w:val="sq-AL"/>
        </w:rPr>
        <w:t xml:space="preserve">3. Kërkesat e kësaj rregulloreje dhe të akteve të tjera ligjore e nënligjore për institucionet e parasë elektronike, nuk do të zbatohen për: </w:t>
      </w:r>
    </w:p>
    <w:p w14:paraId="597DB25D" w14:textId="6FA1CBF2" w:rsidR="009E23AF" w:rsidRPr="00FA38F9" w:rsidRDefault="009E23AF" w:rsidP="009E23AF">
      <w:pPr>
        <w:spacing w:after="0" w:line="240" w:lineRule="auto"/>
        <w:ind w:firstLine="284"/>
        <w:jc w:val="both"/>
        <w:rPr>
          <w:rFonts w:ascii="Garamond" w:hAnsi="Garamond" w:cs="Times New Roman"/>
          <w:sz w:val="24"/>
          <w:szCs w:val="24"/>
          <w:lang w:val="sq-AL"/>
        </w:rPr>
      </w:pPr>
      <w:r w:rsidRPr="00FA38F9">
        <w:rPr>
          <w:rFonts w:ascii="Garamond" w:hAnsi="Garamond" w:cs="Times New Roman"/>
          <w:sz w:val="24"/>
          <w:szCs w:val="24"/>
          <w:lang w:val="sq-AL"/>
        </w:rPr>
        <w:t>a) vlerat monetare që ruhen në instrumente të përjashtuara, siç përcaktohen në shkronjën “gj”</w:t>
      </w:r>
      <w:r w:rsidR="002B2840">
        <w:rPr>
          <w:rFonts w:ascii="Garamond" w:hAnsi="Garamond" w:cs="Times New Roman"/>
          <w:sz w:val="24"/>
          <w:szCs w:val="24"/>
          <w:lang w:val="sq-AL"/>
        </w:rPr>
        <w:t>,</w:t>
      </w:r>
      <w:r w:rsidRPr="00FA38F9">
        <w:rPr>
          <w:rFonts w:ascii="Garamond" w:hAnsi="Garamond" w:cs="Times New Roman"/>
          <w:sz w:val="24"/>
          <w:szCs w:val="24"/>
          <w:lang w:val="sq-AL"/>
        </w:rPr>
        <w:t xml:space="preserve"> të nenit 4</w:t>
      </w:r>
      <w:r w:rsidR="002B2840">
        <w:rPr>
          <w:rFonts w:ascii="Garamond" w:hAnsi="Garamond" w:cs="Times New Roman"/>
          <w:sz w:val="24"/>
          <w:szCs w:val="24"/>
          <w:lang w:val="sq-AL"/>
        </w:rPr>
        <w:t>,</w:t>
      </w:r>
      <w:r w:rsidRPr="00FA38F9">
        <w:rPr>
          <w:rFonts w:ascii="Garamond" w:hAnsi="Garamond" w:cs="Times New Roman"/>
          <w:sz w:val="24"/>
          <w:szCs w:val="24"/>
          <w:lang w:val="sq-AL"/>
        </w:rPr>
        <w:t xml:space="preserve"> të ligjit “Për shërbimet e pagesave”; </w:t>
      </w:r>
    </w:p>
    <w:p w14:paraId="46307A11" w14:textId="4C6D95CC" w:rsidR="009E23AF" w:rsidRPr="00FA38F9" w:rsidRDefault="009E23AF" w:rsidP="009E23AF">
      <w:pPr>
        <w:spacing w:after="0" w:line="240" w:lineRule="auto"/>
        <w:ind w:firstLine="284"/>
        <w:jc w:val="both"/>
        <w:rPr>
          <w:rFonts w:ascii="Garamond" w:hAnsi="Garamond" w:cs="Times New Roman"/>
          <w:sz w:val="24"/>
          <w:szCs w:val="24"/>
          <w:lang w:val="sq-AL"/>
        </w:rPr>
      </w:pPr>
      <w:r w:rsidRPr="00FA38F9">
        <w:rPr>
          <w:rFonts w:ascii="Garamond" w:hAnsi="Garamond" w:cs="Times New Roman"/>
          <w:sz w:val="24"/>
          <w:szCs w:val="24"/>
          <w:lang w:val="sq-AL"/>
        </w:rPr>
        <w:t>b) vlerat monetare që përdoren për të kryer transaksione të pagesave të përjashtuara, siç përcaktohen në shkronjën “h”</w:t>
      </w:r>
      <w:r w:rsidR="00C15C05">
        <w:rPr>
          <w:rFonts w:ascii="Garamond" w:hAnsi="Garamond" w:cs="Times New Roman"/>
          <w:sz w:val="24"/>
          <w:szCs w:val="24"/>
          <w:lang w:val="sq-AL"/>
        </w:rPr>
        <w:t>,</w:t>
      </w:r>
      <w:r w:rsidRPr="00FA38F9">
        <w:rPr>
          <w:rFonts w:ascii="Garamond" w:hAnsi="Garamond" w:cs="Times New Roman"/>
          <w:sz w:val="24"/>
          <w:szCs w:val="24"/>
          <w:lang w:val="sq-AL"/>
        </w:rPr>
        <w:t xml:space="preserve"> të nenit 4</w:t>
      </w:r>
      <w:r w:rsidR="00C15C05">
        <w:rPr>
          <w:rFonts w:ascii="Garamond" w:hAnsi="Garamond" w:cs="Times New Roman"/>
          <w:sz w:val="24"/>
          <w:szCs w:val="24"/>
          <w:lang w:val="sq-AL"/>
        </w:rPr>
        <w:t>,</w:t>
      </w:r>
      <w:r w:rsidRPr="00FA38F9">
        <w:rPr>
          <w:rFonts w:ascii="Garamond" w:hAnsi="Garamond" w:cs="Times New Roman"/>
          <w:sz w:val="24"/>
          <w:szCs w:val="24"/>
          <w:lang w:val="sq-AL"/>
        </w:rPr>
        <w:t xml:space="preserve"> të ligjit “Për shërbimet e pagesave”. </w:t>
      </w:r>
    </w:p>
    <w:p w14:paraId="4CC7C7AD" w14:textId="77777777" w:rsidR="009E23AF" w:rsidRPr="00FA38F9" w:rsidRDefault="009E23AF" w:rsidP="009E23AF">
      <w:pPr>
        <w:pStyle w:val="ListParagraph"/>
        <w:spacing w:after="0" w:line="240" w:lineRule="auto"/>
        <w:ind w:left="0" w:firstLine="284"/>
        <w:jc w:val="both"/>
        <w:rPr>
          <w:rFonts w:ascii="Garamond" w:hAnsi="Garamond" w:cs="Times New Roman"/>
          <w:sz w:val="24"/>
          <w:szCs w:val="24"/>
          <w:lang w:val="sq-AL"/>
        </w:rPr>
      </w:pPr>
    </w:p>
    <w:p w14:paraId="77F76F29" w14:textId="77777777" w:rsidR="009E23AF" w:rsidRPr="00FA38F9" w:rsidRDefault="009E23AF" w:rsidP="009E23AF">
      <w:pPr>
        <w:spacing w:after="0" w:line="240" w:lineRule="auto"/>
        <w:ind w:firstLine="284"/>
        <w:jc w:val="center"/>
        <w:rPr>
          <w:rFonts w:ascii="Garamond" w:hAnsi="Garamond" w:cs="Times New Roman"/>
          <w:bCs/>
          <w:sz w:val="24"/>
          <w:szCs w:val="24"/>
          <w:lang w:val="sq-AL"/>
        </w:rPr>
      </w:pPr>
      <w:r w:rsidRPr="00FA38F9">
        <w:rPr>
          <w:rFonts w:ascii="Garamond" w:hAnsi="Garamond" w:cs="Times New Roman"/>
          <w:bCs/>
          <w:sz w:val="24"/>
          <w:szCs w:val="24"/>
          <w:lang w:val="sq-AL"/>
        </w:rPr>
        <w:t>KREU II</w:t>
      </w:r>
    </w:p>
    <w:p w14:paraId="6A706E0E" w14:textId="77777777" w:rsidR="009E23AF" w:rsidRPr="00FA38F9" w:rsidRDefault="009E23AF" w:rsidP="009E23AF">
      <w:pPr>
        <w:spacing w:after="0" w:line="240" w:lineRule="auto"/>
        <w:ind w:firstLine="284"/>
        <w:jc w:val="center"/>
        <w:rPr>
          <w:rFonts w:ascii="Garamond" w:hAnsi="Garamond" w:cs="Times New Roman"/>
          <w:bCs/>
          <w:sz w:val="24"/>
          <w:szCs w:val="24"/>
          <w:lang w:val="sq-AL"/>
        </w:rPr>
      </w:pPr>
      <w:r w:rsidRPr="00FA38F9">
        <w:rPr>
          <w:rFonts w:ascii="Garamond" w:hAnsi="Garamond" w:cs="Times New Roman"/>
          <w:bCs/>
          <w:sz w:val="24"/>
          <w:szCs w:val="24"/>
          <w:lang w:val="sq-AL"/>
        </w:rPr>
        <w:t>KËRKESA TË PËRGJITHSHME PËR ADMINISTRIMIN E RREZIKUT DHE MBIKËQYRJEN GJATË USHTRIMIT TË VEPRIMTARISË SË INSTITUCIONEVE TË PARASË ELEKTRONIKE</w:t>
      </w:r>
    </w:p>
    <w:p w14:paraId="763AFA28" w14:textId="77777777" w:rsidR="009E23AF" w:rsidRPr="00FA38F9" w:rsidRDefault="009E23AF" w:rsidP="009E23AF">
      <w:pPr>
        <w:tabs>
          <w:tab w:val="left" w:pos="560"/>
        </w:tabs>
        <w:spacing w:after="0" w:line="240" w:lineRule="auto"/>
        <w:ind w:firstLine="284"/>
        <w:jc w:val="both"/>
        <w:rPr>
          <w:rFonts w:ascii="Garamond" w:hAnsi="Garamond" w:cs="Times New Roman"/>
          <w:sz w:val="24"/>
          <w:szCs w:val="24"/>
          <w:lang w:val="sq-AL"/>
        </w:rPr>
      </w:pPr>
    </w:p>
    <w:p w14:paraId="4F9BC006" w14:textId="77777777" w:rsidR="009E23AF" w:rsidRPr="0008479A" w:rsidRDefault="009E23AF" w:rsidP="009E23AF">
      <w:pPr>
        <w:spacing w:after="0" w:line="240" w:lineRule="auto"/>
        <w:ind w:firstLine="284"/>
        <w:jc w:val="center"/>
        <w:rPr>
          <w:rFonts w:ascii="Garamond" w:hAnsi="Garamond" w:cs="Times New Roman"/>
          <w:bCs/>
          <w:sz w:val="24"/>
          <w:szCs w:val="24"/>
          <w:lang w:val="sq-AL"/>
        </w:rPr>
      </w:pPr>
      <w:r w:rsidRPr="0008479A">
        <w:rPr>
          <w:rFonts w:ascii="Garamond" w:hAnsi="Garamond" w:cs="Times New Roman"/>
          <w:bCs/>
          <w:sz w:val="24"/>
          <w:szCs w:val="24"/>
          <w:lang w:val="sq-AL"/>
        </w:rPr>
        <w:t>Neni 5</w:t>
      </w:r>
    </w:p>
    <w:p w14:paraId="25228ACF" w14:textId="77777777" w:rsidR="009E23AF" w:rsidRPr="0008479A" w:rsidRDefault="009E23AF" w:rsidP="009E23AF">
      <w:pPr>
        <w:spacing w:after="0" w:line="240" w:lineRule="auto"/>
        <w:ind w:firstLine="284"/>
        <w:jc w:val="center"/>
        <w:rPr>
          <w:rFonts w:ascii="Garamond" w:hAnsi="Garamond" w:cs="Times New Roman"/>
          <w:b/>
          <w:bCs/>
          <w:sz w:val="24"/>
          <w:szCs w:val="24"/>
          <w:lang w:val="sq-AL"/>
        </w:rPr>
      </w:pPr>
      <w:r w:rsidRPr="0008479A">
        <w:rPr>
          <w:rFonts w:ascii="Garamond" w:hAnsi="Garamond" w:cs="Times New Roman"/>
          <w:b/>
          <w:bCs/>
          <w:sz w:val="24"/>
          <w:szCs w:val="24"/>
          <w:lang w:val="sq-AL"/>
        </w:rPr>
        <w:t>Kërkesa të përgjithshme prudenciale</w:t>
      </w:r>
    </w:p>
    <w:p w14:paraId="361C32B1" w14:textId="77777777" w:rsidR="009E23AF" w:rsidRPr="00FA38F9" w:rsidRDefault="009E23AF" w:rsidP="009E23AF">
      <w:pPr>
        <w:spacing w:after="0" w:line="240" w:lineRule="auto"/>
        <w:ind w:firstLine="284"/>
        <w:jc w:val="center"/>
        <w:rPr>
          <w:rFonts w:ascii="Garamond" w:hAnsi="Garamond" w:cs="Times New Roman"/>
          <w:b/>
          <w:bCs/>
          <w:sz w:val="24"/>
          <w:szCs w:val="24"/>
          <w:lang w:val="sq-AL"/>
        </w:rPr>
      </w:pPr>
    </w:p>
    <w:p w14:paraId="3933FEDE" w14:textId="2240FFBC" w:rsidR="009E23AF" w:rsidRPr="00FA38F9" w:rsidRDefault="009E23AF" w:rsidP="009E23AF">
      <w:pPr>
        <w:pStyle w:val="ListParagraph"/>
        <w:tabs>
          <w:tab w:val="left" w:pos="360"/>
          <w:tab w:val="center" w:pos="4680"/>
          <w:tab w:val="left" w:pos="5440"/>
        </w:tabs>
        <w:spacing w:after="0" w:line="240" w:lineRule="auto"/>
        <w:ind w:left="0" w:firstLine="284"/>
        <w:jc w:val="both"/>
        <w:rPr>
          <w:rFonts w:ascii="Garamond" w:hAnsi="Garamond" w:cs="Times New Roman"/>
          <w:sz w:val="24"/>
          <w:szCs w:val="24"/>
          <w:lang w:val="sq-AL"/>
        </w:rPr>
      </w:pPr>
      <w:r w:rsidRPr="00FA38F9">
        <w:rPr>
          <w:rFonts w:ascii="Garamond" w:hAnsi="Garamond" w:cs="Times New Roman"/>
          <w:sz w:val="24"/>
          <w:szCs w:val="24"/>
          <w:lang w:val="sq-AL"/>
        </w:rPr>
        <w:t>1. Përveç sa parashikohet në këtë rregullore dhe në akte të tjera nënligjore të Bankës së Shqipërisë për institucionet e parasë elektronike, kërkesat e parashikuara në nenet 8 dhe 22</w:t>
      </w:r>
      <w:r w:rsidR="00D86100">
        <w:rPr>
          <w:rFonts w:ascii="Garamond" w:hAnsi="Garamond" w:cs="Times New Roman"/>
          <w:sz w:val="24"/>
          <w:szCs w:val="24"/>
          <w:lang w:val="sq-AL"/>
        </w:rPr>
        <w:t>–</w:t>
      </w:r>
      <w:r w:rsidRPr="00FA38F9">
        <w:rPr>
          <w:rFonts w:ascii="Garamond" w:hAnsi="Garamond" w:cs="Times New Roman"/>
          <w:sz w:val="24"/>
          <w:szCs w:val="24"/>
          <w:lang w:val="sq-AL"/>
        </w:rPr>
        <w:t>26</w:t>
      </w:r>
      <w:r w:rsidR="00D86100">
        <w:rPr>
          <w:rFonts w:ascii="Garamond" w:hAnsi="Garamond" w:cs="Times New Roman"/>
          <w:sz w:val="24"/>
          <w:szCs w:val="24"/>
          <w:lang w:val="sq-AL"/>
        </w:rPr>
        <w:t xml:space="preserve"> </w:t>
      </w:r>
      <w:r w:rsidRPr="00FA38F9">
        <w:rPr>
          <w:rFonts w:ascii="Garamond" w:hAnsi="Garamond" w:cs="Times New Roman"/>
          <w:sz w:val="24"/>
          <w:szCs w:val="24"/>
          <w:lang w:val="sq-AL"/>
        </w:rPr>
        <w:t>të ligjit “Për shërbimet e pagesave” zbatohen në të njëjtën mënyrë edhe për institucionet e parasë elektronike.</w:t>
      </w:r>
    </w:p>
    <w:p w14:paraId="1AC5520F" w14:textId="1E9E4783" w:rsidR="009E23AF" w:rsidRPr="00FA38F9" w:rsidRDefault="009E23AF" w:rsidP="009E23AF">
      <w:pPr>
        <w:pStyle w:val="ListParagraph"/>
        <w:tabs>
          <w:tab w:val="left" w:pos="360"/>
          <w:tab w:val="center" w:pos="4680"/>
          <w:tab w:val="left" w:pos="5440"/>
        </w:tabs>
        <w:spacing w:after="0" w:line="240" w:lineRule="auto"/>
        <w:ind w:left="0" w:firstLine="284"/>
        <w:jc w:val="both"/>
        <w:rPr>
          <w:rFonts w:ascii="Garamond" w:hAnsi="Garamond" w:cs="Times New Roman"/>
          <w:sz w:val="24"/>
          <w:szCs w:val="24"/>
          <w:lang w:val="sq-AL"/>
        </w:rPr>
      </w:pPr>
      <w:r w:rsidRPr="00FA38F9">
        <w:rPr>
          <w:rFonts w:ascii="Garamond" w:hAnsi="Garamond" w:cs="Times New Roman"/>
          <w:sz w:val="24"/>
          <w:szCs w:val="24"/>
          <w:lang w:val="sq-AL"/>
        </w:rPr>
        <w:t>2. Institucionet e parasë elektronike duhet të kenë procedura administrimi, kontabiliteti dhe sisteme të mjaftueshme të kontrollit të brendshëm, mbi baza individuale e të konsoliduara, në përputhje me këtë rregullore.</w:t>
      </w:r>
    </w:p>
    <w:p w14:paraId="1EE9C0E6" w14:textId="038A7F74" w:rsidR="009E23AF" w:rsidRPr="00FA38F9" w:rsidRDefault="009E23AF" w:rsidP="009E23AF">
      <w:pPr>
        <w:pStyle w:val="ListParagraph"/>
        <w:tabs>
          <w:tab w:val="left" w:pos="360"/>
          <w:tab w:val="center" w:pos="4680"/>
          <w:tab w:val="left" w:pos="5440"/>
        </w:tabs>
        <w:spacing w:after="0" w:line="240" w:lineRule="auto"/>
        <w:ind w:left="0" w:firstLine="284"/>
        <w:jc w:val="both"/>
        <w:rPr>
          <w:rFonts w:ascii="Garamond" w:hAnsi="Garamond" w:cs="Times New Roman"/>
          <w:sz w:val="24"/>
          <w:szCs w:val="24"/>
          <w:lang w:val="sq-AL"/>
        </w:rPr>
      </w:pPr>
      <w:r w:rsidRPr="00FA38F9">
        <w:rPr>
          <w:rFonts w:ascii="Garamond" w:hAnsi="Garamond" w:cs="Times New Roman"/>
          <w:sz w:val="24"/>
          <w:szCs w:val="24"/>
          <w:lang w:val="sq-AL"/>
        </w:rPr>
        <w:t>3. Institucionet e parasë elektronike nuk pranojnë depozita monetare ose fonde të tjera të ripagueshme nga publiku, sipas kuptimit të nenit 4</w:t>
      </w:r>
      <w:r w:rsidR="007E473F">
        <w:rPr>
          <w:rFonts w:ascii="Garamond" w:hAnsi="Garamond" w:cs="Times New Roman"/>
          <w:sz w:val="24"/>
          <w:szCs w:val="24"/>
          <w:lang w:val="sq-AL"/>
        </w:rPr>
        <w:t>,</w:t>
      </w:r>
      <w:r w:rsidRPr="00FA38F9">
        <w:rPr>
          <w:rFonts w:ascii="Garamond" w:hAnsi="Garamond" w:cs="Times New Roman"/>
          <w:sz w:val="24"/>
          <w:szCs w:val="24"/>
          <w:lang w:val="sq-AL"/>
        </w:rPr>
        <w:t xml:space="preserve"> të ligjit “Për bankat”.</w:t>
      </w:r>
    </w:p>
    <w:p w14:paraId="0899FAEB" w14:textId="71785EE6" w:rsidR="009E23AF" w:rsidRPr="00FA38F9" w:rsidRDefault="009E23AF" w:rsidP="009E23AF">
      <w:pPr>
        <w:pStyle w:val="ListParagraph"/>
        <w:tabs>
          <w:tab w:val="left" w:pos="360"/>
          <w:tab w:val="center" w:pos="4680"/>
          <w:tab w:val="left" w:pos="5440"/>
        </w:tabs>
        <w:spacing w:after="0" w:line="240" w:lineRule="auto"/>
        <w:ind w:left="0" w:firstLine="284"/>
        <w:jc w:val="both"/>
        <w:rPr>
          <w:rFonts w:ascii="Garamond" w:hAnsi="Garamond" w:cs="Times New Roman"/>
          <w:sz w:val="24"/>
          <w:szCs w:val="24"/>
          <w:lang w:val="sq-AL"/>
        </w:rPr>
      </w:pPr>
      <w:r w:rsidRPr="00FA38F9">
        <w:rPr>
          <w:rFonts w:ascii="Garamond" w:hAnsi="Garamond" w:cs="Times New Roman"/>
          <w:sz w:val="24"/>
          <w:szCs w:val="24"/>
          <w:lang w:val="sq-AL"/>
        </w:rPr>
        <w:t>4. Fondet e pranuara/marra nga institucionet e parasë elektronike prej mbajtësit të parasë elektronike, kthehen pa vonesë në para elektronike. Këto fonde nuk konsiderohen depozita monetare ose fonde të tjera të ripagueshme nga publiku, sipas kuptimit të nenit 4</w:t>
      </w:r>
      <w:r w:rsidR="00BC3288">
        <w:rPr>
          <w:rFonts w:ascii="Garamond" w:hAnsi="Garamond" w:cs="Times New Roman"/>
          <w:sz w:val="24"/>
          <w:szCs w:val="24"/>
          <w:lang w:val="sq-AL"/>
        </w:rPr>
        <w:t>,</w:t>
      </w:r>
      <w:r w:rsidRPr="00FA38F9">
        <w:rPr>
          <w:rFonts w:ascii="Garamond" w:hAnsi="Garamond" w:cs="Times New Roman"/>
          <w:sz w:val="24"/>
          <w:szCs w:val="24"/>
          <w:lang w:val="sq-AL"/>
        </w:rPr>
        <w:t xml:space="preserve"> të ligjit “Për bankat”.</w:t>
      </w:r>
    </w:p>
    <w:p w14:paraId="163BC82A" w14:textId="581D2745" w:rsidR="009E23AF" w:rsidRPr="00FA38F9" w:rsidRDefault="009E23AF" w:rsidP="009E23AF">
      <w:pPr>
        <w:pStyle w:val="ListParagraph"/>
        <w:tabs>
          <w:tab w:val="left" w:pos="360"/>
          <w:tab w:val="center" w:pos="4680"/>
          <w:tab w:val="left" w:pos="5440"/>
        </w:tabs>
        <w:spacing w:after="0" w:line="240" w:lineRule="auto"/>
        <w:ind w:left="0" w:firstLine="284"/>
        <w:jc w:val="both"/>
        <w:rPr>
          <w:rFonts w:ascii="Garamond" w:hAnsi="Garamond" w:cs="Times New Roman"/>
          <w:sz w:val="24"/>
          <w:szCs w:val="24"/>
          <w:lang w:val="sq-AL"/>
        </w:rPr>
      </w:pPr>
      <w:r w:rsidRPr="00FA38F9">
        <w:rPr>
          <w:rFonts w:ascii="Garamond" w:hAnsi="Garamond" w:cs="Times New Roman"/>
          <w:sz w:val="24"/>
          <w:szCs w:val="24"/>
          <w:lang w:val="sq-AL"/>
        </w:rPr>
        <w:t>5. Dispozitat e pikave 2, 3 dhe 5</w:t>
      </w:r>
      <w:r w:rsidR="00BC3288">
        <w:rPr>
          <w:rFonts w:ascii="Garamond" w:hAnsi="Garamond" w:cs="Times New Roman"/>
          <w:sz w:val="24"/>
          <w:szCs w:val="24"/>
          <w:lang w:val="sq-AL"/>
        </w:rPr>
        <w:t>,</w:t>
      </w:r>
      <w:r w:rsidRPr="00FA38F9">
        <w:rPr>
          <w:rFonts w:ascii="Garamond" w:hAnsi="Garamond" w:cs="Times New Roman"/>
          <w:sz w:val="24"/>
          <w:szCs w:val="24"/>
          <w:lang w:val="sq-AL"/>
        </w:rPr>
        <w:t xml:space="preserve"> të nenit 19 të ligjit “Për shërbimet e pagesave” do të zbatohen edhe për fondet e marra për shërbimet e pagesave të parashikuara në aneksin 1 të atij ligji, që nuk lidhen me emetimin e parasë elektronike.</w:t>
      </w:r>
    </w:p>
    <w:p w14:paraId="0E7AAEFB" w14:textId="48868DCE" w:rsidR="009E23AF" w:rsidRPr="00FA38F9" w:rsidRDefault="009E23AF" w:rsidP="009E23AF">
      <w:pPr>
        <w:pStyle w:val="ListParagraph"/>
        <w:tabs>
          <w:tab w:val="left" w:pos="360"/>
          <w:tab w:val="center" w:pos="4680"/>
          <w:tab w:val="left" w:pos="5440"/>
        </w:tabs>
        <w:spacing w:after="0" w:line="240" w:lineRule="auto"/>
        <w:ind w:left="0" w:firstLine="284"/>
        <w:jc w:val="both"/>
        <w:rPr>
          <w:rFonts w:ascii="Garamond" w:hAnsi="Garamond" w:cs="Times New Roman"/>
          <w:sz w:val="24"/>
          <w:szCs w:val="24"/>
          <w:lang w:val="sq-AL"/>
        </w:rPr>
      </w:pPr>
      <w:r w:rsidRPr="00FA38F9">
        <w:rPr>
          <w:rFonts w:ascii="Garamond" w:hAnsi="Garamond" w:cs="Times New Roman"/>
          <w:sz w:val="24"/>
          <w:szCs w:val="24"/>
          <w:lang w:val="sq-AL"/>
        </w:rPr>
        <w:t>6. Institucionet e parasë elektronike njoftojnë Bankën e Shqipërisë, para se të ndodhin ndryshime të rëndësishme në masat e marra prej tyre, për mbrojtjen e fondeve të pranuara në këmbim të emetimit të parasë elektronike.</w:t>
      </w:r>
    </w:p>
    <w:p w14:paraId="72D17A7A" w14:textId="77777777" w:rsidR="009E23AF" w:rsidRPr="00FA38F9" w:rsidRDefault="009E23AF" w:rsidP="009E23AF">
      <w:pPr>
        <w:pStyle w:val="ListParagraph"/>
        <w:tabs>
          <w:tab w:val="left" w:pos="360"/>
          <w:tab w:val="center" w:pos="4680"/>
          <w:tab w:val="left" w:pos="5440"/>
        </w:tabs>
        <w:spacing w:after="0" w:line="240" w:lineRule="auto"/>
        <w:ind w:left="0" w:firstLine="284"/>
        <w:jc w:val="both"/>
        <w:rPr>
          <w:rFonts w:ascii="Garamond" w:hAnsi="Garamond" w:cs="Times New Roman"/>
          <w:sz w:val="24"/>
          <w:szCs w:val="24"/>
          <w:lang w:val="sq-AL"/>
        </w:rPr>
      </w:pPr>
    </w:p>
    <w:p w14:paraId="13977DBF" w14:textId="77777777" w:rsidR="009E23AF" w:rsidRPr="004C49D7" w:rsidRDefault="009E23AF" w:rsidP="009E23AF">
      <w:pPr>
        <w:spacing w:after="0" w:line="240" w:lineRule="auto"/>
        <w:ind w:firstLine="284"/>
        <w:jc w:val="center"/>
        <w:rPr>
          <w:rFonts w:ascii="Garamond" w:hAnsi="Garamond" w:cs="Times New Roman"/>
          <w:bCs/>
          <w:sz w:val="24"/>
          <w:szCs w:val="24"/>
          <w:lang w:val="sq-AL"/>
        </w:rPr>
      </w:pPr>
      <w:r w:rsidRPr="004C49D7">
        <w:rPr>
          <w:rFonts w:ascii="Garamond" w:hAnsi="Garamond" w:cs="Times New Roman"/>
          <w:bCs/>
          <w:sz w:val="24"/>
          <w:szCs w:val="24"/>
          <w:lang w:val="sq-AL"/>
        </w:rPr>
        <w:t>Neni 6</w:t>
      </w:r>
    </w:p>
    <w:p w14:paraId="35BFC275" w14:textId="77777777" w:rsidR="009E23AF" w:rsidRPr="00FA38F9" w:rsidRDefault="009E23AF" w:rsidP="009E23AF">
      <w:pPr>
        <w:spacing w:after="0" w:line="240" w:lineRule="auto"/>
        <w:ind w:firstLine="284"/>
        <w:jc w:val="center"/>
        <w:rPr>
          <w:rFonts w:ascii="Garamond" w:hAnsi="Garamond" w:cs="Times New Roman"/>
          <w:bCs/>
          <w:sz w:val="24"/>
          <w:szCs w:val="24"/>
          <w:lang w:val="sq-AL"/>
        </w:rPr>
      </w:pPr>
      <w:r w:rsidRPr="004C49D7">
        <w:rPr>
          <w:rFonts w:ascii="Garamond" w:hAnsi="Garamond" w:cs="Times New Roman"/>
          <w:b/>
          <w:bCs/>
          <w:sz w:val="24"/>
          <w:szCs w:val="24"/>
          <w:lang w:val="sq-AL"/>
        </w:rPr>
        <w:t>Veprimtaritë</w:t>
      </w:r>
    </w:p>
    <w:p w14:paraId="695493C7" w14:textId="77777777" w:rsidR="009E23AF" w:rsidRPr="00FA38F9" w:rsidRDefault="009E23AF" w:rsidP="009E23AF">
      <w:pPr>
        <w:spacing w:after="0" w:line="240" w:lineRule="auto"/>
        <w:ind w:firstLine="284"/>
        <w:jc w:val="center"/>
        <w:rPr>
          <w:rFonts w:ascii="Garamond" w:hAnsi="Garamond" w:cs="Times New Roman"/>
          <w:b/>
          <w:bCs/>
          <w:sz w:val="24"/>
          <w:szCs w:val="24"/>
          <w:lang w:val="sq-AL"/>
        </w:rPr>
      </w:pPr>
    </w:p>
    <w:p w14:paraId="1893D394" w14:textId="3D4ABC9E" w:rsidR="009E23AF" w:rsidRPr="00FA38F9" w:rsidRDefault="009E23AF" w:rsidP="009E23AF">
      <w:pPr>
        <w:pStyle w:val="ListParagraph"/>
        <w:tabs>
          <w:tab w:val="center" w:pos="4680"/>
          <w:tab w:val="left" w:pos="5440"/>
        </w:tabs>
        <w:spacing w:after="0" w:line="240" w:lineRule="auto"/>
        <w:ind w:left="0" w:firstLine="284"/>
        <w:jc w:val="both"/>
        <w:rPr>
          <w:rFonts w:ascii="Garamond" w:hAnsi="Garamond" w:cs="Times New Roman"/>
          <w:sz w:val="24"/>
          <w:szCs w:val="24"/>
          <w:lang w:val="sq-AL"/>
        </w:rPr>
      </w:pPr>
      <w:r w:rsidRPr="00FA38F9">
        <w:rPr>
          <w:rFonts w:ascii="Garamond" w:hAnsi="Garamond" w:cs="Times New Roman"/>
          <w:sz w:val="24"/>
          <w:szCs w:val="24"/>
          <w:lang w:val="sq-AL"/>
        </w:rPr>
        <w:t>1. Në përputhje me sa parashikohet në nenin 19</w:t>
      </w:r>
      <w:r w:rsidR="009D45E9">
        <w:rPr>
          <w:rFonts w:ascii="Garamond" w:hAnsi="Garamond" w:cs="Times New Roman"/>
          <w:sz w:val="24"/>
          <w:szCs w:val="24"/>
          <w:lang w:val="sq-AL"/>
        </w:rPr>
        <w:t>,</w:t>
      </w:r>
      <w:r w:rsidRPr="00FA38F9">
        <w:rPr>
          <w:rFonts w:ascii="Garamond" w:hAnsi="Garamond" w:cs="Times New Roman"/>
          <w:sz w:val="24"/>
          <w:szCs w:val="24"/>
          <w:lang w:val="sq-AL"/>
        </w:rPr>
        <w:t xml:space="preserve"> të ligjit “Për shërbimet e pagesave”, institucionet e parasë elektronike, përveç emetimit të parasë elektronike, mund të kryejnë një ose disa nga veprimtaritë e mëposhtme:</w:t>
      </w:r>
    </w:p>
    <w:p w14:paraId="7A289CC5" w14:textId="7732C1ED" w:rsidR="009E23AF" w:rsidRPr="00FA38F9" w:rsidRDefault="009E23AF" w:rsidP="009E23AF">
      <w:pPr>
        <w:pStyle w:val="ListParagraph"/>
        <w:tabs>
          <w:tab w:val="center" w:pos="4680"/>
          <w:tab w:val="left" w:pos="5440"/>
        </w:tabs>
        <w:spacing w:after="0" w:line="240" w:lineRule="auto"/>
        <w:ind w:left="0" w:firstLine="284"/>
        <w:jc w:val="both"/>
        <w:rPr>
          <w:rFonts w:ascii="Garamond" w:hAnsi="Garamond" w:cs="Times New Roman"/>
          <w:sz w:val="24"/>
          <w:szCs w:val="24"/>
          <w:lang w:val="sq-AL"/>
        </w:rPr>
      </w:pPr>
      <w:r w:rsidRPr="00FA38F9">
        <w:rPr>
          <w:rFonts w:ascii="Garamond" w:hAnsi="Garamond" w:cs="Times New Roman"/>
          <w:sz w:val="24"/>
          <w:szCs w:val="24"/>
          <w:lang w:val="sq-AL"/>
        </w:rPr>
        <w:t>a) shërbimet e pagesave të listuara në aneksin 1</w:t>
      </w:r>
      <w:r w:rsidR="009D45E9">
        <w:rPr>
          <w:rFonts w:ascii="Garamond" w:hAnsi="Garamond" w:cs="Times New Roman"/>
          <w:sz w:val="24"/>
          <w:szCs w:val="24"/>
          <w:lang w:val="sq-AL"/>
        </w:rPr>
        <w:t>,</w:t>
      </w:r>
      <w:r w:rsidRPr="00FA38F9">
        <w:rPr>
          <w:rFonts w:ascii="Garamond" w:hAnsi="Garamond" w:cs="Times New Roman"/>
          <w:sz w:val="24"/>
          <w:szCs w:val="24"/>
          <w:lang w:val="sq-AL"/>
        </w:rPr>
        <w:t xml:space="preserve"> të ligjit “Për shërbimet e pagesave”, që nuk janë të lidhura me emetimin e parasë elektronike;</w:t>
      </w:r>
    </w:p>
    <w:p w14:paraId="031320C4" w14:textId="137A07C9" w:rsidR="009E23AF" w:rsidRPr="00FA38F9" w:rsidRDefault="009E23AF" w:rsidP="009E23AF">
      <w:pPr>
        <w:pStyle w:val="ListParagraph"/>
        <w:tabs>
          <w:tab w:val="center" w:pos="4680"/>
          <w:tab w:val="left" w:pos="5440"/>
        </w:tabs>
        <w:spacing w:after="0" w:line="240" w:lineRule="auto"/>
        <w:ind w:left="0" w:firstLine="284"/>
        <w:jc w:val="both"/>
        <w:rPr>
          <w:rFonts w:ascii="Garamond" w:hAnsi="Garamond" w:cs="Times New Roman"/>
          <w:sz w:val="24"/>
          <w:szCs w:val="24"/>
          <w:lang w:val="sq-AL"/>
        </w:rPr>
      </w:pPr>
      <w:r w:rsidRPr="00FA38F9">
        <w:rPr>
          <w:rFonts w:ascii="Garamond" w:hAnsi="Garamond" w:cs="Times New Roman"/>
          <w:sz w:val="24"/>
          <w:szCs w:val="24"/>
          <w:lang w:val="sq-AL"/>
        </w:rPr>
        <w:t>b) dhënien e kredive lidhur me shërbimet e pagesave, të parashikuara në pikat 4 ose 5</w:t>
      </w:r>
      <w:r w:rsidR="004C49D7">
        <w:rPr>
          <w:rFonts w:ascii="Garamond" w:hAnsi="Garamond" w:cs="Times New Roman"/>
          <w:sz w:val="24"/>
          <w:szCs w:val="24"/>
          <w:lang w:val="sq-AL"/>
        </w:rPr>
        <w:t>,</w:t>
      </w:r>
      <w:r w:rsidRPr="00FA38F9">
        <w:rPr>
          <w:rFonts w:ascii="Garamond" w:hAnsi="Garamond" w:cs="Times New Roman"/>
          <w:sz w:val="24"/>
          <w:szCs w:val="24"/>
          <w:lang w:val="sq-AL"/>
        </w:rPr>
        <w:t xml:space="preserve"> të aneksit 1</w:t>
      </w:r>
      <w:r w:rsidR="00AD68EB">
        <w:rPr>
          <w:rFonts w:ascii="Garamond" w:hAnsi="Garamond" w:cs="Times New Roman"/>
          <w:sz w:val="24"/>
          <w:szCs w:val="24"/>
          <w:lang w:val="sq-AL"/>
        </w:rPr>
        <w:t>,</w:t>
      </w:r>
      <w:r w:rsidRPr="00FA38F9">
        <w:rPr>
          <w:rFonts w:ascii="Garamond" w:hAnsi="Garamond" w:cs="Times New Roman"/>
          <w:sz w:val="24"/>
          <w:szCs w:val="24"/>
          <w:lang w:val="sq-AL"/>
        </w:rPr>
        <w:t xml:space="preserve"> të ligjit “Për shërbimet e pagesave”, nëse plotësohen kushtet e parashikuara në pikat 4 dhe 6</w:t>
      </w:r>
      <w:r w:rsidR="00AD68EB">
        <w:rPr>
          <w:rFonts w:ascii="Garamond" w:hAnsi="Garamond" w:cs="Times New Roman"/>
          <w:sz w:val="24"/>
          <w:szCs w:val="24"/>
          <w:lang w:val="sq-AL"/>
        </w:rPr>
        <w:t>,</w:t>
      </w:r>
      <w:r w:rsidRPr="00FA38F9">
        <w:rPr>
          <w:rFonts w:ascii="Garamond" w:hAnsi="Garamond" w:cs="Times New Roman"/>
          <w:sz w:val="24"/>
          <w:szCs w:val="24"/>
          <w:lang w:val="sq-AL"/>
        </w:rPr>
        <w:t xml:space="preserve"> të nenit 19</w:t>
      </w:r>
      <w:r w:rsidR="00AD68EB">
        <w:rPr>
          <w:rFonts w:ascii="Garamond" w:hAnsi="Garamond" w:cs="Times New Roman"/>
          <w:sz w:val="24"/>
          <w:szCs w:val="24"/>
          <w:lang w:val="sq-AL"/>
        </w:rPr>
        <w:t>,</w:t>
      </w:r>
      <w:r w:rsidRPr="00FA38F9">
        <w:rPr>
          <w:rFonts w:ascii="Garamond" w:hAnsi="Garamond" w:cs="Times New Roman"/>
          <w:sz w:val="24"/>
          <w:szCs w:val="24"/>
          <w:lang w:val="sq-AL"/>
        </w:rPr>
        <w:t xml:space="preserve"> të ligjit “Për shërbimet e pagesave”;</w:t>
      </w:r>
    </w:p>
    <w:p w14:paraId="0FDCA199" w14:textId="6F566D17" w:rsidR="009E23AF" w:rsidRPr="00FA38F9" w:rsidRDefault="009E23AF" w:rsidP="009E23AF">
      <w:pPr>
        <w:pStyle w:val="ListParagraph"/>
        <w:tabs>
          <w:tab w:val="center" w:pos="4680"/>
          <w:tab w:val="left" w:pos="5440"/>
        </w:tabs>
        <w:spacing w:after="0" w:line="240" w:lineRule="auto"/>
        <w:ind w:left="0" w:firstLine="284"/>
        <w:jc w:val="both"/>
        <w:rPr>
          <w:rFonts w:ascii="Garamond" w:hAnsi="Garamond" w:cs="Times New Roman"/>
          <w:sz w:val="24"/>
          <w:szCs w:val="24"/>
          <w:lang w:val="sq-AL"/>
        </w:rPr>
      </w:pPr>
      <w:r w:rsidRPr="00FA38F9">
        <w:rPr>
          <w:rFonts w:ascii="Garamond" w:hAnsi="Garamond" w:cs="Times New Roman"/>
          <w:sz w:val="24"/>
          <w:szCs w:val="24"/>
          <w:lang w:val="sq-AL"/>
        </w:rPr>
        <w:t>c) shërbime operacionale dhe ndihmëse, në funksion të emetimit të parasë elektronike ose të ofrimit të shërbimeve të pagesave të parashikuara në shkronjën “a” të kësaj pike;</w:t>
      </w:r>
    </w:p>
    <w:p w14:paraId="1E302C60" w14:textId="384CAB2F" w:rsidR="009E23AF" w:rsidRPr="00FA38F9" w:rsidRDefault="009E23AF" w:rsidP="009E23AF">
      <w:pPr>
        <w:pStyle w:val="ListParagraph"/>
        <w:tabs>
          <w:tab w:val="center" w:pos="4680"/>
          <w:tab w:val="left" w:pos="5440"/>
        </w:tabs>
        <w:spacing w:after="0" w:line="240" w:lineRule="auto"/>
        <w:ind w:left="0" w:firstLine="284"/>
        <w:jc w:val="both"/>
        <w:rPr>
          <w:rFonts w:ascii="Garamond" w:hAnsi="Garamond" w:cs="Times New Roman"/>
          <w:sz w:val="24"/>
          <w:szCs w:val="24"/>
          <w:lang w:val="sq-AL"/>
        </w:rPr>
      </w:pPr>
      <w:r w:rsidRPr="00FA38F9">
        <w:rPr>
          <w:rFonts w:ascii="Garamond" w:hAnsi="Garamond" w:cs="Times New Roman"/>
          <w:sz w:val="24"/>
          <w:szCs w:val="24"/>
          <w:lang w:val="sq-AL"/>
        </w:rPr>
        <w:t>d) operimin e sistemeve të pagesave, sipas nenit 20</w:t>
      </w:r>
      <w:r w:rsidR="009F1517">
        <w:rPr>
          <w:rFonts w:ascii="Garamond" w:hAnsi="Garamond" w:cs="Times New Roman"/>
          <w:sz w:val="24"/>
          <w:szCs w:val="24"/>
          <w:lang w:val="sq-AL"/>
        </w:rPr>
        <w:t>,</w:t>
      </w:r>
      <w:r w:rsidRPr="00FA38F9">
        <w:rPr>
          <w:rFonts w:ascii="Garamond" w:hAnsi="Garamond" w:cs="Times New Roman"/>
          <w:sz w:val="24"/>
          <w:szCs w:val="24"/>
          <w:lang w:val="sq-AL"/>
        </w:rPr>
        <w:t xml:space="preserve"> të ligjit “Për shërbimet e pagesave”, dhe pa cenuar pjesëmarrjen në sisteme të tjera, sipas nenit 29 të ligjit “Për shërbimet e pagesave”;</w:t>
      </w:r>
    </w:p>
    <w:p w14:paraId="3923156C" w14:textId="090E631D" w:rsidR="009E23AF" w:rsidRPr="00FA38F9" w:rsidRDefault="009E23AF" w:rsidP="009E23AF">
      <w:pPr>
        <w:pStyle w:val="ListParagraph"/>
        <w:tabs>
          <w:tab w:val="center" w:pos="4680"/>
          <w:tab w:val="left" w:pos="5440"/>
        </w:tabs>
        <w:spacing w:after="0" w:line="240" w:lineRule="auto"/>
        <w:ind w:left="0" w:firstLine="284"/>
        <w:jc w:val="both"/>
        <w:rPr>
          <w:rFonts w:ascii="Garamond" w:hAnsi="Garamond" w:cs="Times New Roman"/>
          <w:sz w:val="24"/>
          <w:szCs w:val="24"/>
          <w:lang w:val="sq-AL"/>
        </w:rPr>
      </w:pPr>
      <w:r w:rsidRPr="00FA38F9">
        <w:rPr>
          <w:rFonts w:ascii="Garamond" w:hAnsi="Garamond" w:cs="Times New Roman"/>
          <w:sz w:val="24"/>
          <w:szCs w:val="24"/>
          <w:lang w:val="sq-AL"/>
        </w:rPr>
        <w:t>e) veprimtari tregtare të ndryshme nga ato të emetimit të parasë elektronike, në përputhje me legjislacionin në fuqi.</w:t>
      </w:r>
    </w:p>
    <w:p w14:paraId="33575D0E" w14:textId="77777777" w:rsidR="009E23AF" w:rsidRPr="00FA38F9" w:rsidRDefault="009E23AF" w:rsidP="009E23AF">
      <w:pPr>
        <w:pStyle w:val="ListParagraph"/>
        <w:tabs>
          <w:tab w:val="center" w:pos="4680"/>
          <w:tab w:val="left" w:pos="5440"/>
        </w:tabs>
        <w:spacing w:after="0" w:line="240" w:lineRule="auto"/>
        <w:ind w:left="0" w:firstLine="284"/>
        <w:jc w:val="both"/>
        <w:rPr>
          <w:rFonts w:ascii="Garamond" w:hAnsi="Garamond" w:cs="Times New Roman"/>
          <w:sz w:val="24"/>
          <w:szCs w:val="24"/>
          <w:lang w:val="sq-AL"/>
        </w:rPr>
      </w:pPr>
    </w:p>
    <w:p w14:paraId="3999BFAC" w14:textId="77777777" w:rsidR="009E23AF" w:rsidRPr="00F57231" w:rsidRDefault="009E23AF" w:rsidP="009E23AF">
      <w:pPr>
        <w:tabs>
          <w:tab w:val="center" w:pos="4680"/>
          <w:tab w:val="left" w:pos="5440"/>
        </w:tabs>
        <w:spacing w:after="0" w:line="240" w:lineRule="auto"/>
        <w:ind w:firstLine="284"/>
        <w:jc w:val="center"/>
        <w:rPr>
          <w:rFonts w:ascii="Garamond" w:hAnsi="Garamond" w:cs="Times New Roman"/>
          <w:bCs/>
          <w:sz w:val="24"/>
          <w:szCs w:val="24"/>
          <w:lang w:val="sq-AL"/>
        </w:rPr>
      </w:pPr>
      <w:r w:rsidRPr="00F57231">
        <w:rPr>
          <w:rFonts w:ascii="Garamond" w:hAnsi="Garamond" w:cs="Times New Roman"/>
          <w:bCs/>
          <w:sz w:val="24"/>
          <w:szCs w:val="24"/>
          <w:lang w:val="sq-AL"/>
        </w:rPr>
        <w:t>KREU III</w:t>
      </w:r>
    </w:p>
    <w:p w14:paraId="5A5AFE4D" w14:textId="77777777" w:rsidR="009E23AF" w:rsidRPr="00FA38F9" w:rsidRDefault="009E23AF" w:rsidP="009E23AF">
      <w:pPr>
        <w:spacing w:after="0" w:line="240" w:lineRule="auto"/>
        <w:ind w:firstLine="284"/>
        <w:jc w:val="center"/>
        <w:rPr>
          <w:rFonts w:ascii="Garamond" w:hAnsi="Garamond" w:cs="Times New Roman"/>
          <w:bCs/>
          <w:sz w:val="24"/>
          <w:szCs w:val="24"/>
          <w:lang w:val="sq-AL"/>
        </w:rPr>
      </w:pPr>
      <w:r w:rsidRPr="00F57231">
        <w:rPr>
          <w:rFonts w:ascii="Garamond" w:hAnsi="Garamond" w:cs="Times New Roman"/>
          <w:bCs/>
          <w:sz w:val="24"/>
          <w:szCs w:val="24"/>
          <w:lang w:val="sq-AL"/>
        </w:rPr>
        <w:t>PARIMET DHE RREG</w:t>
      </w:r>
      <w:r w:rsidRPr="00FA38F9">
        <w:rPr>
          <w:rFonts w:ascii="Garamond" w:hAnsi="Garamond" w:cs="Times New Roman"/>
          <w:bCs/>
          <w:sz w:val="24"/>
          <w:szCs w:val="24"/>
          <w:lang w:val="sq-AL"/>
        </w:rPr>
        <w:t xml:space="preserve">ULLAT BAZË TË DREJTIMIT TË PËRGJEGJSHËM DHE EFEKTIV DHE SISTEMIT TË KONTROLLIT TË BRENDSHËM </w:t>
      </w:r>
    </w:p>
    <w:p w14:paraId="6FDAC17D" w14:textId="77777777" w:rsidR="009E23AF" w:rsidRPr="00FA38F9" w:rsidRDefault="009E23AF" w:rsidP="009E23AF">
      <w:pPr>
        <w:spacing w:after="0" w:line="240" w:lineRule="auto"/>
        <w:ind w:firstLine="284"/>
        <w:jc w:val="center"/>
        <w:rPr>
          <w:rFonts w:ascii="Garamond" w:hAnsi="Garamond" w:cs="Times New Roman"/>
          <w:bCs/>
          <w:sz w:val="24"/>
          <w:szCs w:val="24"/>
          <w:lang w:val="sq-AL"/>
        </w:rPr>
      </w:pPr>
    </w:p>
    <w:p w14:paraId="363DB95E" w14:textId="77777777" w:rsidR="009E23AF" w:rsidRPr="00FA38F9" w:rsidRDefault="009E23AF" w:rsidP="009E23AF">
      <w:pPr>
        <w:spacing w:after="0" w:line="240" w:lineRule="auto"/>
        <w:ind w:firstLine="284"/>
        <w:jc w:val="center"/>
        <w:rPr>
          <w:rFonts w:ascii="Garamond" w:hAnsi="Garamond" w:cs="Times New Roman"/>
          <w:bCs/>
          <w:sz w:val="24"/>
          <w:szCs w:val="24"/>
          <w:lang w:val="sq-AL"/>
        </w:rPr>
      </w:pPr>
      <w:r w:rsidRPr="00FA38F9">
        <w:rPr>
          <w:rFonts w:ascii="Garamond" w:hAnsi="Garamond" w:cs="Times New Roman"/>
          <w:bCs/>
          <w:sz w:val="24"/>
          <w:szCs w:val="24"/>
          <w:lang w:val="sq-AL"/>
        </w:rPr>
        <w:t>Neni 7</w:t>
      </w:r>
    </w:p>
    <w:p w14:paraId="78FD26C8" w14:textId="77777777" w:rsidR="009E23AF" w:rsidRPr="00FA38F9" w:rsidRDefault="009E23AF" w:rsidP="009E23AF">
      <w:pPr>
        <w:spacing w:after="0" w:line="240" w:lineRule="auto"/>
        <w:ind w:firstLine="284"/>
        <w:jc w:val="center"/>
        <w:rPr>
          <w:rFonts w:ascii="Garamond" w:hAnsi="Garamond" w:cs="Times New Roman"/>
          <w:b/>
          <w:bCs/>
          <w:sz w:val="24"/>
          <w:szCs w:val="24"/>
          <w:lang w:val="sq-AL"/>
        </w:rPr>
      </w:pPr>
      <w:r w:rsidRPr="00FA38F9">
        <w:rPr>
          <w:rFonts w:ascii="Garamond" w:hAnsi="Garamond" w:cs="Times New Roman"/>
          <w:b/>
          <w:bCs/>
          <w:sz w:val="24"/>
          <w:szCs w:val="24"/>
          <w:lang w:val="sq-AL"/>
        </w:rPr>
        <w:t>Kërkesa të përgjithshme</w:t>
      </w:r>
    </w:p>
    <w:p w14:paraId="6CB62410" w14:textId="77777777" w:rsidR="009E23AF" w:rsidRPr="00FA38F9" w:rsidRDefault="009E23AF" w:rsidP="009E23AF">
      <w:pPr>
        <w:spacing w:after="0" w:line="240" w:lineRule="auto"/>
        <w:ind w:firstLine="284"/>
        <w:jc w:val="center"/>
        <w:rPr>
          <w:rFonts w:ascii="Garamond" w:hAnsi="Garamond" w:cs="Times New Roman"/>
          <w:b/>
          <w:bCs/>
          <w:sz w:val="24"/>
          <w:szCs w:val="24"/>
          <w:lang w:val="sq-AL"/>
        </w:rPr>
      </w:pPr>
    </w:p>
    <w:p w14:paraId="22C5CC7B" w14:textId="77777777" w:rsidR="009E23AF" w:rsidRPr="00FA38F9" w:rsidRDefault="009E23AF" w:rsidP="009E23AF">
      <w:pPr>
        <w:spacing w:after="0" w:line="240" w:lineRule="auto"/>
        <w:ind w:firstLine="284"/>
        <w:jc w:val="both"/>
        <w:rPr>
          <w:rFonts w:ascii="Garamond" w:hAnsi="Garamond" w:cs="Times New Roman"/>
          <w:sz w:val="24"/>
          <w:szCs w:val="24"/>
          <w:lang w:val="sq-AL"/>
        </w:rPr>
      </w:pPr>
      <w:r w:rsidRPr="00FA38F9">
        <w:rPr>
          <w:rFonts w:ascii="Garamond" w:hAnsi="Garamond" w:cs="Times New Roman"/>
          <w:sz w:val="24"/>
          <w:szCs w:val="24"/>
          <w:lang w:val="sq-AL"/>
        </w:rPr>
        <w:lastRenderedPageBreak/>
        <w:t xml:space="preserve">Institucionet e parasë elektronike krijojnë rregulla, procedura dhe sisteme të kontrollit të brendshëm lidhur me drejtimin e përgjegjshëm dhe efektiv, të cilët duhet të jenë gjithëpërfshirës e proporcionalë me natyrën, shkallën dhe kompleksitetin e aktivitetit dhe shërbimeve të ofruara nga institucioni i parasë elektronike. </w:t>
      </w:r>
    </w:p>
    <w:p w14:paraId="19424E0C" w14:textId="77777777" w:rsidR="009E23AF" w:rsidRPr="00FA38F9" w:rsidRDefault="009E23AF" w:rsidP="009E23AF">
      <w:pPr>
        <w:spacing w:after="0" w:line="240" w:lineRule="auto"/>
        <w:ind w:firstLine="284"/>
        <w:jc w:val="center"/>
        <w:rPr>
          <w:rFonts w:ascii="Garamond" w:hAnsi="Garamond" w:cs="Times New Roman"/>
          <w:b/>
          <w:bCs/>
          <w:sz w:val="24"/>
          <w:szCs w:val="24"/>
          <w:lang w:val="sq-AL"/>
        </w:rPr>
      </w:pPr>
    </w:p>
    <w:p w14:paraId="1FB8E127" w14:textId="77777777" w:rsidR="009E23AF" w:rsidRPr="00FA38F9" w:rsidRDefault="009E23AF" w:rsidP="009E23AF">
      <w:pPr>
        <w:spacing w:after="0" w:line="240" w:lineRule="auto"/>
        <w:ind w:firstLine="284"/>
        <w:jc w:val="center"/>
        <w:rPr>
          <w:rFonts w:ascii="Garamond" w:hAnsi="Garamond" w:cs="Times New Roman"/>
          <w:bCs/>
          <w:sz w:val="24"/>
          <w:szCs w:val="24"/>
          <w:lang w:val="sq-AL"/>
        </w:rPr>
      </w:pPr>
      <w:r w:rsidRPr="00FA38F9">
        <w:rPr>
          <w:rFonts w:ascii="Garamond" w:hAnsi="Garamond" w:cs="Times New Roman"/>
          <w:bCs/>
          <w:sz w:val="24"/>
          <w:szCs w:val="24"/>
          <w:lang w:val="sq-AL"/>
        </w:rPr>
        <w:t>Neni 8</w:t>
      </w:r>
    </w:p>
    <w:p w14:paraId="12A250E4" w14:textId="77777777" w:rsidR="009E23AF" w:rsidRPr="00FA38F9" w:rsidRDefault="009E23AF" w:rsidP="009E23AF">
      <w:pPr>
        <w:spacing w:after="0" w:line="240" w:lineRule="auto"/>
        <w:ind w:firstLine="284"/>
        <w:jc w:val="center"/>
        <w:rPr>
          <w:rFonts w:ascii="Garamond" w:hAnsi="Garamond" w:cs="Times New Roman"/>
          <w:b/>
          <w:bCs/>
          <w:sz w:val="24"/>
          <w:szCs w:val="24"/>
          <w:lang w:val="sq-AL"/>
        </w:rPr>
      </w:pPr>
      <w:r w:rsidRPr="00FA38F9">
        <w:rPr>
          <w:rFonts w:ascii="Garamond" w:hAnsi="Garamond" w:cs="Times New Roman"/>
          <w:b/>
          <w:bCs/>
          <w:sz w:val="24"/>
          <w:szCs w:val="24"/>
          <w:lang w:val="sq-AL"/>
        </w:rPr>
        <w:t xml:space="preserve">Organet drejtuese dhe kultura e përgjithshme e drejtimit </w:t>
      </w:r>
    </w:p>
    <w:p w14:paraId="7805E562" w14:textId="229273CC" w:rsidR="009E23AF" w:rsidRPr="00FA38F9" w:rsidRDefault="009E23AF" w:rsidP="009E23AF">
      <w:pPr>
        <w:tabs>
          <w:tab w:val="left" w:pos="360"/>
        </w:tabs>
        <w:spacing w:after="0" w:line="240" w:lineRule="auto"/>
        <w:ind w:firstLine="284"/>
        <w:jc w:val="both"/>
        <w:rPr>
          <w:rFonts w:ascii="Garamond" w:hAnsi="Garamond" w:cs="Times New Roman"/>
          <w:sz w:val="24"/>
          <w:szCs w:val="24"/>
          <w:lang w:val="sq-AL"/>
        </w:rPr>
      </w:pPr>
      <w:r w:rsidRPr="00FA38F9">
        <w:rPr>
          <w:rFonts w:ascii="Garamond" w:hAnsi="Garamond" w:cs="Times New Roman"/>
          <w:sz w:val="24"/>
          <w:szCs w:val="24"/>
          <w:lang w:val="sq-AL"/>
        </w:rPr>
        <w:br/>
        <w:t xml:space="preserve">1. Organet drejtuese të institucionit të parasë elektronike, në zbatimin e detyrave dhe përgjegjësive që lidhen me drejtimin dhe kontrollin e institucionit të parasë elektronike, njohin në mënyrë të plotë dhe të qartë profilin e rrezikut të këtij institucioni, duke përcaktuar e miratuar paraprakisht ndërmarrjen dhe tolerancën ndaj rrezikut, si dhe ndjekjen në vazhdimësi të tij në përputhshmëri me këto të fundit, duke siguruar që nivelet e kapitalit të mbulojnë mjaftueshëm këtë rrezik. </w:t>
      </w:r>
    </w:p>
    <w:p w14:paraId="153DE767" w14:textId="744DF45A" w:rsidR="009E23AF" w:rsidRPr="00FA38F9" w:rsidRDefault="009E23AF" w:rsidP="009E23AF">
      <w:pPr>
        <w:tabs>
          <w:tab w:val="left" w:pos="360"/>
        </w:tabs>
        <w:spacing w:after="0" w:line="240" w:lineRule="auto"/>
        <w:ind w:firstLine="284"/>
        <w:jc w:val="both"/>
        <w:rPr>
          <w:rFonts w:ascii="Garamond" w:hAnsi="Garamond" w:cs="Times New Roman"/>
          <w:sz w:val="24"/>
          <w:szCs w:val="24"/>
          <w:lang w:val="sq-AL"/>
        </w:rPr>
      </w:pPr>
      <w:r w:rsidRPr="00FA38F9">
        <w:rPr>
          <w:rFonts w:ascii="Garamond" w:hAnsi="Garamond" w:cs="Times New Roman"/>
          <w:sz w:val="24"/>
          <w:szCs w:val="24"/>
          <w:lang w:val="sq-AL"/>
        </w:rPr>
        <w:t>2. Organet drejtuese të institucionit të parasë elektronike, nëpërmjet mënyrës së drejtimit, nxi</w:t>
      </w:r>
      <w:r w:rsidR="0018108C">
        <w:rPr>
          <w:rFonts w:ascii="Garamond" w:hAnsi="Garamond" w:cs="Times New Roman"/>
          <w:sz w:val="24"/>
          <w:szCs w:val="24"/>
          <w:lang w:val="sq-AL"/>
        </w:rPr>
        <w:t>t</w:t>
      </w:r>
      <w:r w:rsidRPr="00FA38F9">
        <w:rPr>
          <w:rFonts w:ascii="Garamond" w:hAnsi="Garamond" w:cs="Times New Roman"/>
          <w:sz w:val="24"/>
          <w:szCs w:val="24"/>
          <w:lang w:val="sq-AL"/>
        </w:rPr>
        <w:t xml:space="preserve">in (stimulojnë) një kulturë të përshtatshme drejtimi, të bazuar në standarde të larta profesionale dhe vlera të larta etike. </w:t>
      </w:r>
    </w:p>
    <w:p w14:paraId="02E30535" w14:textId="06A52A11" w:rsidR="009E23AF" w:rsidRPr="00FA38F9" w:rsidRDefault="009E23AF" w:rsidP="009E23AF">
      <w:pPr>
        <w:tabs>
          <w:tab w:val="left" w:pos="360"/>
        </w:tabs>
        <w:spacing w:after="0" w:line="240" w:lineRule="auto"/>
        <w:ind w:firstLine="284"/>
        <w:jc w:val="both"/>
        <w:rPr>
          <w:rFonts w:ascii="Garamond" w:hAnsi="Garamond" w:cs="Times New Roman"/>
          <w:sz w:val="24"/>
          <w:szCs w:val="24"/>
          <w:lang w:val="sq-AL"/>
        </w:rPr>
      </w:pPr>
      <w:r w:rsidRPr="00FA38F9">
        <w:rPr>
          <w:rFonts w:ascii="Garamond" w:hAnsi="Garamond" w:cs="Times New Roman"/>
          <w:sz w:val="24"/>
          <w:szCs w:val="24"/>
          <w:lang w:val="sq-AL"/>
        </w:rPr>
        <w:t>3. Organet drejtuese të institucionit të parasë elektronike marrin masa për arritjen e standardeve të larta etike dhe profesionale në drejtimin e institucionit të parasë elektronike.</w:t>
      </w:r>
    </w:p>
    <w:p w14:paraId="5A4B6ADD" w14:textId="77777777" w:rsidR="009E23AF" w:rsidRPr="00FA38F9" w:rsidRDefault="009E23AF" w:rsidP="009E23AF">
      <w:pPr>
        <w:spacing w:after="0" w:line="240" w:lineRule="auto"/>
        <w:ind w:firstLine="284"/>
        <w:jc w:val="center"/>
        <w:rPr>
          <w:rFonts w:ascii="Garamond" w:hAnsi="Garamond" w:cs="Times New Roman"/>
          <w:b/>
          <w:bCs/>
          <w:sz w:val="24"/>
          <w:szCs w:val="24"/>
          <w:lang w:val="sq-AL"/>
        </w:rPr>
      </w:pPr>
    </w:p>
    <w:p w14:paraId="1A4F8B5D" w14:textId="77777777" w:rsidR="009E23AF" w:rsidRPr="00FA38F9" w:rsidRDefault="009E23AF" w:rsidP="009E23AF">
      <w:pPr>
        <w:spacing w:after="0" w:line="240" w:lineRule="auto"/>
        <w:ind w:firstLine="284"/>
        <w:jc w:val="center"/>
        <w:rPr>
          <w:rFonts w:ascii="Garamond" w:hAnsi="Garamond" w:cs="Times New Roman"/>
          <w:bCs/>
          <w:sz w:val="24"/>
          <w:szCs w:val="24"/>
          <w:lang w:val="sq-AL"/>
        </w:rPr>
      </w:pPr>
      <w:r w:rsidRPr="00FA38F9">
        <w:rPr>
          <w:rFonts w:ascii="Garamond" w:hAnsi="Garamond" w:cs="Times New Roman"/>
          <w:bCs/>
          <w:sz w:val="24"/>
          <w:szCs w:val="24"/>
          <w:lang w:val="sq-AL"/>
        </w:rPr>
        <w:t>Neni 9</w:t>
      </w:r>
    </w:p>
    <w:p w14:paraId="78A2288D" w14:textId="77777777" w:rsidR="009E23AF" w:rsidRPr="00FA38F9" w:rsidRDefault="009E23AF" w:rsidP="009E23AF">
      <w:pPr>
        <w:spacing w:after="0" w:line="240" w:lineRule="auto"/>
        <w:ind w:firstLine="284"/>
        <w:jc w:val="center"/>
        <w:rPr>
          <w:rFonts w:ascii="Garamond" w:hAnsi="Garamond" w:cs="Times New Roman"/>
          <w:b/>
          <w:bCs/>
          <w:sz w:val="24"/>
          <w:szCs w:val="24"/>
          <w:lang w:val="sq-AL"/>
        </w:rPr>
      </w:pPr>
      <w:r w:rsidRPr="00FA38F9">
        <w:rPr>
          <w:rFonts w:ascii="Garamond" w:hAnsi="Garamond" w:cs="Times New Roman"/>
          <w:b/>
          <w:bCs/>
          <w:sz w:val="24"/>
          <w:szCs w:val="24"/>
          <w:lang w:val="sq-AL"/>
        </w:rPr>
        <w:t>Sistemi i administrimit të rrezikut</w:t>
      </w:r>
    </w:p>
    <w:p w14:paraId="1FD865D7" w14:textId="77777777" w:rsidR="009E23AF" w:rsidRPr="00FA38F9" w:rsidRDefault="009E23AF" w:rsidP="009E23AF">
      <w:pPr>
        <w:spacing w:after="0" w:line="240" w:lineRule="auto"/>
        <w:ind w:firstLine="284"/>
        <w:jc w:val="center"/>
        <w:rPr>
          <w:rFonts w:ascii="Garamond" w:hAnsi="Garamond" w:cs="Times New Roman"/>
          <w:b/>
          <w:bCs/>
          <w:sz w:val="24"/>
          <w:szCs w:val="24"/>
          <w:lang w:val="sq-AL"/>
        </w:rPr>
      </w:pPr>
    </w:p>
    <w:p w14:paraId="7FFAAB25" w14:textId="30F052E2" w:rsidR="009E23AF" w:rsidRPr="00FA38F9" w:rsidRDefault="009E23AF" w:rsidP="009E23AF">
      <w:pPr>
        <w:tabs>
          <w:tab w:val="left" w:pos="360"/>
          <w:tab w:val="left" w:pos="4860"/>
        </w:tabs>
        <w:spacing w:after="0" w:line="240" w:lineRule="auto"/>
        <w:ind w:firstLine="284"/>
        <w:jc w:val="both"/>
        <w:rPr>
          <w:rFonts w:ascii="Garamond" w:hAnsi="Garamond" w:cs="Times New Roman"/>
          <w:sz w:val="24"/>
          <w:szCs w:val="24"/>
          <w:lang w:val="sq-AL"/>
        </w:rPr>
      </w:pPr>
      <w:r w:rsidRPr="00FA38F9">
        <w:rPr>
          <w:rFonts w:ascii="Garamond" w:hAnsi="Garamond" w:cs="Times New Roman"/>
          <w:sz w:val="24"/>
          <w:szCs w:val="24"/>
          <w:lang w:val="sq-AL"/>
        </w:rPr>
        <w:t xml:space="preserve">1. Institucionet e parasë elektronike krijojnë dhe zhvillojnë sistemin e administrimit të rrezikut, lidhur me veprimtaritë/shërbimet për të cilat janë licencuar, në përputhje me natyrën, vëllimin dhe kompleksitetin e veprimtarisë/shërbimeve të tyre. Rreziqet që lidhen me veprimtarinë e emetimit të parasë elektronike ose të shërbimeve të pagesave, mund të përfshijnë, por nuk kufizohen në: </w:t>
      </w:r>
    </w:p>
    <w:p w14:paraId="4E84A972" w14:textId="71402FB6" w:rsidR="009E23AF" w:rsidRPr="00FA38F9" w:rsidRDefault="009E23AF" w:rsidP="009E23AF">
      <w:pPr>
        <w:pStyle w:val="Default"/>
        <w:ind w:firstLine="284"/>
        <w:jc w:val="both"/>
        <w:rPr>
          <w:rFonts w:ascii="Garamond" w:hAnsi="Garamond"/>
          <w:color w:val="auto"/>
          <w:lang w:val="sq-AL"/>
        </w:rPr>
      </w:pPr>
      <w:r w:rsidRPr="00FA38F9">
        <w:rPr>
          <w:rFonts w:ascii="Garamond" w:hAnsi="Garamond"/>
          <w:lang w:val="sq-AL"/>
        </w:rPr>
        <w:t>a) rrezikun e shlyerjes (rreziku që shlyerja e një transaksioni pagese të mos kryhet sipas parashikimeve);</w:t>
      </w:r>
    </w:p>
    <w:p w14:paraId="52654FC2" w14:textId="519297FB" w:rsidR="009E23AF" w:rsidRPr="00FA38F9" w:rsidRDefault="009E23AF" w:rsidP="009E23AF">
      <w:pPr>
        <w:pStyle w:val="Default"/>
        <w:ind w:firstLine="284"/>
        <w:jc w:val="both"/>
        <w:rPr>
          <w:rFonts w:ascii="Garamond" w:hAnsi="Garamond"/>
          <w:color w:val="auto"/>
          <w:lang w:val="sq-AL"/>
        </w:rPr>
      </w:pPr>
      <w:r w:rsidRPr="00FA38F9">
        <w:rPr>
          <w:rFonts w:ascii="Garamond" w:hAnsi="Garamond"/>
          <w:color w:val="auto"/>
          <w:lang w:val="sq-AL"/>
        </w:rPr>
        <w:t xml:space="preserve">b) rrezikun operacional (rreziku që subjekti të pësojë humbje financiare si rezultat i papërshtatshmërisë ose dështimit të proceseve të brendshme dhe të sistemeve, gabimeve njerëzore, ose i ngjarjeve të jashtme); </w:t>
      </w:r>
    </w:p>
    <w:p w14:paraId="13B19B0C" w14:textId="6B5B026C" w:rsidR="009E23AF" w:rsidRPr="00FA38F9" w:rsidRDefault="009E23AF" w:rsidP="009E23AF">
      <w:pPr>
        <w:pStyle w:val="Default"/>
        <w:ind w:firstLine="284"/>
        <w:jc w:val="both"/>
        <w:rPr>
          <w:rFonts w:ascii="Garamond" w:hAnsi="Garamond"/>
          <w:color w:val="auto"/>
          <w:lang w:val="sq-AL"/>
        </w:rPr>
      </w:pPr>
      <w:r w:rsidRPr="00FA38F9">
        <w:rPr>
          <w:rFonts w:ascii="Garamond" w:hAnsi="Garamond"/>
          <w:color w:val="auto"/>
          <w:lang w:val="sq-AL"/>
        </w:rPr>
        <w:t xml:space="preserve">c) rrezikun e kundërpartisë (rreziku që pala tjetër e përfshirë në transaksion të mos përmbushë detyrimet); </w:t>
      </w:r>
    </w:p>
    <w:p w14:paraId="1F95DF79" w14:textId="41F986EF" w:rsidR="009E23AF" w:rsidRPr="00FA38F9" w:rsidRDefault="009E23AF" w:rsidP="009E23AF">
      <w:pPr>
        <w:pStyle w:val="Default"/>
        <w:ind w:firstLine="284"/>
        <w:jc w:val="both"/>
        <w:rPr>
          <w:rFonts w:ascii="Garamond" w:hAnsi="Garamond"/>
          <w:color w:val="auto"/>
          <w:lang w:val="sq-AL"/>
        </w:rPr>
      </w:pPr>
      <w:r w:rsidRPr="00FA38F9">
        <w:rPr>
          <w:rFonts w:ascii="Garamond" w:hAnsi="Garamond"/>
          <w:color w:val="auto"/>
          <w:lang w:val="sq-AL"/>
        </w:rPr>
        <w:t>d) rrezikun e likuiditetit (rreziku që institucioni i parasë elektronike të ketë flukse të pamjaftueshme monetare për të përmbushur detyrimet financiare);</w:t>
      </w:r>
    </w:p>
    <w:p w14:paraId="53AADCB4" w14:textId="363588EB" w:rsidR="009E23AF" w:rsidRPr="00FA38F9" w:rsidRDefault="009E23AF" w:rsidP="009E23AF">
      <w:pPr>
        <w:pStyle w:val="Default"/>
        <w:ind w:firstLine="284"/>
        <w:jc w:val="both"/>
        <w:rPr>
          <w:rFonts w:ascii="Garamond" w:hAnsi="Garamond"/>
          <w:color w:val="auto"/>
          <w:lang w:val="sq-AL"/>
        </w:rPr>
      </w:pPr>
      <w:r w:rsidRPr="00FA38F9">
        <w:rPr>
          <w:rFonts w:ascii="Garamond" w:hAnsi="Garamond"/>
          <w:color w:val="auto"/>
          <w:lang w:val="sq-AL"/>
        </w:rPr>
        <w:t xml:space="preserve">e) rrezikun e tregut (rreziku që shkaktohet nga luhatjet në çmimet e tregut); </w:t>
      </w:r>
    </w:p>
    <w:p w14:paraId="5CE1C49F" w14:textId="2B50007D" w:rsidR="009E23AF" w:rsidRPr="00FA38F9" w:rsidRDefault="009E23AF" w:rsidP="009E23AF">
      <w:pPr>
        <w:pStyle w:val="Default"/>
        <w:ind w:firstLine="284"/>
        <w:jc w:val="both"/>
        <w:rPr>
          <w:rFonts w:ascii="Garamond" w:hAnsi="Garamond"/>
          <w:color w:val="auto"/>
          <w:lang w:val="sq-AL"/>
        </w:rPr>
      </w:pPr>
      <w:r w:rsidRPr="00FA38F9">
        <w:rPr>
          <w:rFonts w:ascii="Garamond" w:hAnsi="Garamond"/>
          <w:color w:val="auto"/>
          <w:lang w:val="sq-AL"/>
        </w:rPr>
        <w:t xml:space="preserve">f) rrezikun e pastrimit të parave ose financimit të terrorizmit (rreziku që institucioni i parasë elektronike ose shërbimet që ofron, të përdoren për qëllime që lidhen me pastrimin e parave ose financimin e terrorizmit); </w:t>
      </w:r>
    </w:p>
    <w:p w14:paraId="5C4102CB" w14:textId="366C7635" w:rsidR="009E23AF" w:rsidRPr="00FA38F9" w:rsidRDefault="009E23AF" w:rsidP="009E23AF">
      <w:pPr>
        <w:pStyle w:val="Default"/>
        <w:ind w:firstLine="284"/>
        <w:jc w:val="both"/>
        <w:rPr>
          <w:rFonts w:ascii="Garamond" w:hAnsi="Garamond"/>
          <w:color w:val="auto"/>
          <w:lang w:val="sq-AL"/>
        </w:rPr>
      </w:pPr>
      <w:r w:rsidRPr="00FA38F9">
        <w:rPr>
          <w:rFonts w:ascii="Garamond" w:hAnsi="Garamond"/>
          <w:color w:val="auto"/>
          <w:lang w:val="sq-AL"/>
        </w:rPr>
        <w:t>g) rrezikun e kursit të këmbimit (rreziku që shkaktohet nga luhatjet në kursin e këmbimit).</w:t>
      </w:r>
    </w:p>
    <w:p w14:paraId="45150953" w14:textId="61236296" w:rsidR="009E23AF" w:rsidRPr="00FA38F9" w:rsidRDefault="009E23AF" w:rsidP="009E23AF">
      <w:pPr>
        <w:tabs>
          <w:tab w:val="left" w:pos="360"/>
          <w:tab w:val="left" w:pos="4860"/>
        </w:tabs>
        <w:spacing w:after="0" w:line="240" w:lineRule="auto"/>
        <w:ind w:firstLine="284"/>
        <w:jc w:val="both"/>
        <w:rPr>
          <w:rFonts w:ascii="Garamond" w:hAnsi="Garamond" w:cs="Times New Roman"/>
          <w:sz w:val="24"/>
          <w:szCs w:val="24"/>
          <w:lang w:val="sq-AL"/>
        </w:rPr>
      </w:pPr>
      <w:r w:rsidRPr="00FA38F9">
        <w:rPr>
          <w:rFonts w:ascii="Garamond" w:hAnsi="Garamond" w:cs="Times New Roman"/>
          <w:sz w:val="24"/>
          <w:szCs w:val="24"/>
          <w:lang w:val="sq-AL"/>
        </w:rPr>
        <w:t xml:space="preserve">2. Sistemi i administrimit të rrezikut është tërësia e politikave, procedurave, rregullave dhe strukturave të institucioneve të parasë elektronike, që shërbejnë për administrimin e rrezikut. </w:t>
      </w:r>
    </w:p>
    <w:p w14:paraId="53139E5A" w14:textId="39942D04" w:rsidR="009E23AF" w:rsidRPr="00FA38F9" w:rsidRDefault="009E23AF" w:rsidP="009E23AF">
      <w:pPr>
        <w:tabs>
          <w:tab w:val="left" w:pos="360"/>
          <w:tab w:val="left" w:pos="4860"/>
        </w:tabs>
        <w:spacing w:after="0" w:line="240" w:lineRule="auto"/>
        <w:ind w:firstLine="284"/>
        <w:jc w:val="both"/>
        <w:rPr>
          <w:rFonts w:ascii="Garamond" w:hAnsi="Garamond" w:cs="Times New Roman"/>
          <w:sz w:val="24"/>
          <w:szCs w:val="24"/>
          <w:lang w:val="sq-AL"/>
        </w:rPr>
      </w:pPr>
      <w:r w:rsidRPr="00FA38F9">
        <w:rPr>
          <w:rFonts w:ascii="Garamond" w:hAnsi="Garamond" w:cs="Times New Roman"/>
          <w:sz w:val="24"/>
          <w:szCs w:val="24"/>
          <w:lang w:val="sq-AL"/>
        </w:rPr>
        <w:t>3. Sistemi i administrimit të rrezikut përfshin:</w:t>
      </w:r>
    </w:p>
    <w:p w14:paraId="32AEBD6F" w14:textId="1861502B" w:rsidR="009E23AF" w:rsidRPr="00FA38F9" w:rsidRDefault="009E23AF" w:rsidP="009E23AF">
      <w:pPr>
        <w:pStyle w:val="ListParagraph"/>
        <w:tabs>
          <w:tab w:val="left" w:pos="360"/>
        </w:tabs>
        <w:spacing w:after="0" w:line="240" w:lineRule="auto"/>
        <w:ind w:left="0" w:firstLine="284"/>
        <w:jc w:val="both"/>
        <w:rPr>
          <w:rFonts w:ascii="Garamond" w:hAnsi="Garamond" w:cs="Times New Roman"/>
          <w:sz w:val="24"/>
          <w:szCs w:val="24"/>
          <w:lang w:val="sq-AL"/>
        </w:rPr>
      </w:pPr>
      <w:r w:rsidRPr="00FA38F9">
        <w:rPr>
          <w:rFonts w:ascii="Garamond" w:hAnsi="Garamond" w:cs="Times New Roman"/>
          <w:sz w:val="24"/>
          <w:szCs w:val="24"/>
          <w:lang w:val="sq-AL"/>
        </w:rPr>
        <w:t xml:space="preserve">a) procesin e identifikimit, të matjes, të monitorimit, të kontrollit dhe të raportimit, të të gjitha rreziqeve brenda institucionit të parasë elektronike, në të gjithë aktivitetin e tij (për të gjithë bilancin, linjat e biznesit, agjentët etj.); </w:t>
      </w:r>
    </w:p>
    <w:p w14:paraId="74A623E3" w14:textId="748D96AA" w:rsidR="009E23AF" w:rsidRPr="00FA38F9" w:rsidRDefault="009E23AF" w:rsidP="009E23AF">
      <w:pPr>
        <w:pStyle w:val="ListParagraph"/>
        <w:tabs>
          <w:tab w:val="left" w:pos="360"/>
        </w:tabs>
        <w:spacing w:after="0" w:line="240" w:lineRule="auto"/>
        <w:ind w:left="0" w:firstLine="284"/>
        <w:jc w:val="both"/>
        <w:rPr>
          <w:rFonts w:ascii="Garamond" w:hAnsi="Garamond" w:cs="Times New Roman"/>
          <w:sz w:val="24"/>
          <w:szCs w:val="24"/>
          <w:lang w:val="sq-AL"/>
        </w:rPr>
      </w:pPr>
      <w:r w:rsidRPr="00FA38F9">
        <w:rPr>
          <w:rFonts w:ascii="Garamond" w:hAnsi="Garamond" w:cs="Times New Roman"/>
          <w:sz w:val="24"/>
          <w:szCs w:val="24"/>
          <w:lang w:val="sq-AL"/>
        </w:rPr>
        <w:lastRenderedPageBreak/>
        <w:t>b) përcaktimin e funksioneve të strukturave të administrimit të rrezikut, të cilat sigurojnë:</w:t>
      </w:r>
    </w:p>
    <w:p w14:paraId="24BBB021" w14:textId="2371E576" w:rsidR="009E23AF" w:rsidRPr="00FA38F9" w:rsidRDefault="009E23AF" w:rsidP="009E23AF">
      <w:pPr>
        <w:pStyle w:val="ListParagraph"/>
        <w:tabs>
          <w:tab w:val="left" w:pos="1440"/>
          <w:tab w:val="left" w:pos="1620"/>
        </w:tabs>
        <w:spacing w:after="0" w:line="240" w:lineRule="auto"/>
        <w:ind w:left="0" w:firstLine="284"/>
        <w:jc w:val="both"/>
        <w:rPr>
          <w:rFonts w:ascii="Garamond" w:hAnsi="Garamond" w:cs="Times New Roman"/>
          <w:sz w:val="24"/>
          <w:szCs w:val="24"/>
          <w:lang w:val="sq-AL"/>
        </w:rPr>
      </w:pPr>
      <w:r w:rsidRPr="00FA38F9">
        <w:rPr>
          <w:rFonts w:ascii="Garamond" w:hAnsi="Garamond" w:cs="Times New Roman"/>
          <w:sz w:val="24"/>
          <w:szCs w:val="24"/>
          <w:lang w:val="sq-AL"/>
        </w:rPr>
        <w:t>i. identifikimin e të gjitha rreziqeve,</w:t>
      </w:r>
    </w:p>
    <w:p w14:paraId="4F60B4C9" w14:textId="3EEDD477" w:rsidR="009E23AF" w:rsidRPr="00FA38F9" w:rsidRDefault="009E23AF" w:rsidP="009E23AF">
      <w:pPr>
        <w:pStyle w:val="ListParagraph"/>
        <w:tabs>
          <w:tab w:val="left" w:pos="1440"/>
          <w:tab w:val="left" w:pos="1620"/>
        </w:tabs>
        <w:spacing w:after="0" w:line="240" w:lineRule="auto"/>
        <w:ind w:left="0" w:firstLine="284"/>
        <w:jc w:val="both"/>
        <w:rPr>
          <w:rFonts w:ascii="Garamond" w:hAnsi="Garamond" w:cs="Times New Roman"/>
          <w:sz w:val="24"/>
          <w:szCs w:val="24"/>
          <w:lang w:val="sq-AL"/>
        </w:rPr>
      </w:pPr>
      <w:r w:rsidRPr="00FA38F9">
        <w:rPr>
          <w:rFonts w:ascii="Garamond" w:hAnsi="Garamond" w:cs="Times New Roman"/>
          <w:sz w:val="24"/>
          <w:szCs w:val="24"/>
          <w:lang w:val="sq-AL"/>
        </w:rPr>
        <w:t>ii. vlerësimin e rreziqeve dhe matjen e ekspozimit ndaj tyre,</w:t>
      </w:r>
    </w:p>
    <w:p w14:paraId="4C0451D8" w14:textId="2EC1BBF4" w:rsidR="009E23AF" w:rsidRPr="00FA38F9" w:rsidRDefault="009E23AF" w:rsidP="009E23AF">
      <w:pPr>
        <w:pStyle w:val="ListParagraph"/>
        <w:tabs>
          <w:tab w:val="left" w:pos="1440"/>
          <w:tab w:val="left" w:pos="1620"/>
        </w:tabs>
        <w:spacing w:after="0" w:line="240" w:lineRule="auto"/>
        <w:ind w:left="0" w:firstLine="284"/>
        <w:jc w:val="both"/>
        <w:rPr>
          <w:rFonts w:ascii="Garamond" w:hAnsi="Garamond" w:cs="Times New Roman"/>
          <w:sz w:val="24"/>
          <w:szCs w:val="24"/>
          <w:lang w:val="sq-AL"/>
        </w:rPr>
      </w:pPr>
      <w:r w:rsidRPr="00FA38F9">
        <w:rPr>
          <w:rFonts w:ascii="Garamond" w:hAnsi="Garamond" w:cs="Times New Roman"/>
          <w:sz w:val="24"/>
          <w:szCs w:val="24"/>
          <w:lang w:val="sq-AL"/>
        </w:rPr>
        <w:t>iii. monitorimin e ekspozimit të rrezikut dhe përcaktimin e nevojave për kapital në mënyrë të vazhdueshme,</w:t>
      </w:r>
    </w:p>
    <w:p w14:paraId="5CC4A89A" w14:textId="1005C2E2" w:rsidR="009E23AF" w:rsidRPr="00FA38F9" w:rsidRDefault="009E23AF" w:rsidP="009E23AF">
      <w:pPr>
        <w:pStyle w:val="ListParagraph"/>
        <w:tabs>
          <w:tab w:val="left" w:pos="1440"/>
          <w:tab w:val="left" w:pos="1620"/>
        </w:tabs>
        <w:spacing w:after="0" w:line="240" w:lineRule="auto"/>
        <w:ind w:left="0" w:firstLine="284"/>
        <w:jc w:val="both"/>
        <w:rPr>
          <w:rFonts w:ascii="Garamond" w:hAnsi="Garamond" w:cs="Times New Roman"/>
          <w:sz w:val="24"/>
          <w:szCs w:val="24"/>
          <w:lang w:val="sq-AL"/>
        </w:rPr>
      </w:pPr>
      <w:r w:rsidRPr="00FA38F9">
        <w:rPr>
          <w:rFonts w:ascii="Garamond" w:hAnsi="Garamond" w:cs="Times New Roman"/>
          <w:sz w:val="24"/>
          <w:szCs w:val="24"/>
          <w:lang w:val="sq-AL"/>
        </w:rPr>
        <w:t>iv. monitorimin dhe vlerësimin e vendimeve për pranimin e rreziqeve të caktuara, masat për zbutjen e rrezikut dhe nëse vendimet janë në përputhje me vendimet e organeve drejtuese për politikat e rrezikut,</w:t>
      </w:r>
    </w:p>
    <w:p w14:paraId="7F8513AD" w14:textId="762DCBA0" w:rsidR="009E23AF" w:rsidRPr="00FA38F9" w:rsidRDefault="009E23AF" w:rsidP="009E23AF">
      <w:pPr>
        <w:pStyle w:val="ListParagraph"/>
        <w:tabs>
          <w:tab w:val="left" w:pos="1440"/>
        </w:tabs>
        <w:spacing w:after="0" w:line="240" w:lineRule="auto"/>
        <w:ind w:left="0" w:firstLine="284"/>
        <w:jc w:val="both"/>
        <w:rPr>
          <w:rFonts w:ascii="Garamond" w:hAnsi="Garamond" w:cs="Times New Roman"/>
          <w:sz w:val="24"/>
          <w:szCs w:val="24"/>
          <w:lang w:val="sq-AL"/>
        </w:rPr>
      </w:pPr>
      <w:r w:rsidRPr="00FA38F9">
        <w:rPr>
          <w:rFonts w:ascii="Garamond" w:hAnsi="Garamond" w:cs="Times New Roman"/>
          <w:sz w:val="24"/>
          <w:szCs w:val="24"/>
          <w:lang w:val="sq-AL"/>
        </w:rPr>
        <w:t>v. raportimin, në mënyrë të drejtpërdrejtë dhe të pavarur, në organet drejtuese të të gjitha çështjeve të përcaktuara më lart.</w:t>
      </w:r>
    </w:p>
    <w:p w14:paraId="2F50DE17" w14:textId="77777777" w:rsidR="009E23AF" w:rsidRPr="00FA38F9" w:rsidRDefault="009E23AF" w:rsidP="009E23AF">
      <w:pPr>
        <w:spacing w:after="0" w:line="240" w:lineRule="auto"/>
        <w:ind w:firstLine="284"/>
        <w:rPr>
          <w:rFonts w:ascii="Garamond" w:hAnsi="Garamond"/>
          <w:b/>
          <w:bCs/>
          <w:sz w:val="24"/>
          <w:szCs w:val="24"/>
          <w:lang w:val="sq-AL"/>
        </w:rPr>
      </w:pPr>
    </w:p>
    <w:p w14:paraId="4C64F724" w14:textId="77777777" w:rsidR="009E23AF" w:rsidRPr="00FA38F9" w:rsidRDefault="009E23AF" w:rsidP="009E23AF">
      <w:pPr>
        <w:spacing w:after="0" w:line="240" w:lineRule="auto"/>
        <w:ind w:firstLine="284"/>
        <w:jc w:val="center"/>
        <w:rPr>
          <w:rFonts w:ascii="Garamond" w:hAnsi="Garamond" w:cs="Times New Roman"/>
          <w:bCs/>
          <w:sz w:val="24"/>
          <w:szCs w:val="24"/>
          <w:lang w:val="sq-AL"/>
        </w:rPr>
      </w:pPr>
      <w:r w:rsidRPr="00FA38F9">
        <w:rPr>
          <w:rFonts w:ascii="Garamond" w:hAnsi="Garamond" w:cs="Times New Roman"/>
          <w:bCs/>
          <w:sz w:val="24"/>
          <w:szCs w:val="24"/>
          <w:lang w:val="sq-AL"/>
        </w:rPr>
        <w:t>Neni 10</w:t>
      </w:r>
    </w:p>
    <w:p w14:paraId="5869F14D" w14:textId="77777777" w:rsidR="009E23AF" w:rsidRPr="00FA38F9" w:rsidRDefault="009E23AF" w:rsidP="009E23AF">
      <w:pPr>
        <w:spacing w:after="0" w:line="240" w:lineRule="auto"/>
        <w:ind w:firstLine="284"/>
        <w:jc w:val="center"/>
        <w:rPr>
          <w:rFonts w:ascii="Garamond" w:hAnsi="Garamond" w:cs="Times New Roman"/>
          <w:b/>
          <w:bCs/>
          <w:sz w:val="24"/>
          <w:szCs w:val="24"/>
          <w:lang w:val="sq-AL"/>
        </w:rPr>
      </w:pPr>
      <w:r w:rsidRPr="00FA38F9">
        <w:rPr>
          <w:rFonts w:ascii="Garamond" w:hAnsi="Garamond" w:cs="Times New Roman"/>
          <w:b/>
          <w:bCs/>
          <w:sz w:val="24"/>
          <w:szCs w:val="24"/>
          <w:lang w:val="sq-AL"/>
        </w:rPr>
        <w:t>Funksioni/njësia e kontrollit të brendshëm</w:t>
      </w:r>
    </w:p>
    <w:p w14:paraId="2503CCC4" w14:textId="77777777" w:rsidR="009E23AF" w:rsidRPr="00FA38F9" w:rsidRDefault="009E23AF" w:rsidP="009E23AF">
      <w:pPr>
        <w:spacing w:after="0" w:line="240" w:lineRule="auto"/>
        <w:ind w:firstLine="284"/>
        <w:jc w:val="center"/>
        <w:rPr>
          <w:rFonts w:ascii="Garamond" w:hAnsi="Garamond" w:cs="Times New Roman"/>
          <w:b/>
          <w:bCs/>
          <w:sz w:val="24"/>
          <w:szCs w:val="24"/>
          <w:lang w:val="sq-AL"/>
        </w:rPr>
      </w:pPr>
    </w:p>
    <w:p w14:paraId="735AECEA" w14:textId="022720E3" w:rsidR="009E23AF" w:rsidRPr="00FA38F9" w:rsidRDefault="009E23AF" w:rsidP="009E23AF">
      <w:pPr>
        <w:tabs>
          <w:tab w:val="left" w:pos="540"/>
          <w:tab w:val="left" w:pos="2700"/>
        </w:tabs>
        <w:spacing w:after="0" w:line="240" w:lineRule="auto"/>
        <w:ind w:firstLine="284"/>
        <w:jc w:val="both"/>
        <w:rPr>
          <w:rFonts w:ascii="Garamond" w:hAnsi="Garamond" w:cs="Times New Roman"/>
          <w:sz w:val="24"/>
          <w:szCs w:val="24"/>
          <w:lang w:val="sq-AL"/>
        </w:rPr>
      </w:pPr>
      <w:r w:rsidRPr="00FA38F9">
        <w:rPr>
          <w:rFonts w:ascii="Garamond" w:hAnsi="Garamond" w:cs="Times New Roman"/>
          <w:sz w:val="24"/>
          <w:szCs w:val="24"/>
          <w:lang w:val="sq-AL"/>
        </w:rPr>
        <w:t>1. Institucionet e parasë elektronike krijojnë funksionin/njësinë e kontrollit të brendshëm, si pjesë të sistemit të kontrollit të brendshëm.</w:t>
      </w:r>
    </w:p>
    <w:p w14:paraId="023FB3F7" w14:textId="5EB11E74" w:rsidR="009E23AF" w:rsidRPr="00FA38F9" w:rsidRDefault="009E23AF" w:rsidP="009E23AF">
      <w:pPr>
        <w:tabs>
          <w:tab w:val="left" w:pos="540"/>
          <w:tab w:val="left" w:pos="2700"/>
        </w:tabs>
        <w:spacing w:after="0" w:line="240" w:lineRule="auto"/>
        <w:ind w:firstLine="284"/>
        <w:jc w:val="both"/>
        <w:rPr>
          <w:rFonts w:ascii="Garamond" w:hAnsi="Garamond" w:cs="Times New Roman"/>
          <w:sz w:val="24"/>
          <w:szCs w:val="24"/>
          <w:lang w:val="sq-AL"/>
        </w:rPr>
      </w:pPr>
      <w:r w:rsidRPr="00FA38F9">
        <w:rPr>
          <w:rFonts w:ascii="Garamond" w:hAnsi="Garamond" w:cs="Times New Roman"/>
          <w:sz w:val="24"/>
          <w:szCs w:val="24"/>
          <w:lang w:val="sq-AL"/>
        </w:rPr>
        <w:t>2. Funksioni/njësia e kontrollit të brendshëm është njësi organizative e veçantë e subjektit, e pavarur nga veprimtaritë, strukturat dhe personat që ajo shqyrton ose kontrollon, e cila raporton përpara këshillit të administrimit/mbikëqyrës dhe/ose komitetit të kontrollit të subjektit.</w:t>
      </w:r>
    </w:p>
    <w:p w14:paraId="60E7AE05" w14:textId="74D2360E" w:rsidR="009E23AF" w:rsidRPr="00FA38F9" w:rsidRDefault="009E23AF" w:rsidP="009E23AF">
      <w:pPr>
        <w:tabs>
          <w:tab w:val="left" w:pos="540"/>
          <w:tab w:val="left" w:pos="2700"/>
        </w:tabs>
        <w:spacing w:after="0" w:line="240" w:lineRule="auto"/>
        <w:ind w:firstLine="284"/>
        <w:jc w:val="both"/>
        <w:rPr>
          <w:rFonts w:ascii="Garamond" w:hAnsi="Garamond" w:cs="Times New Roman"/>
          <w:sz w:val="24"/>
          <w:szCs w:val="24"/>
          <w:lang w:val="sq-AL"/>
        </w:rPr>
      </w:pPr>
      <w:r w:rsidRPr="00FA38F9">
        <w:rPr>
          <w:rFonts w:ascii="Garamond" w:hAnsi="Garamond" w:cs="Times New Roman"/>
          <w:sz w:val="24"/>
          <w:szCs w:val="24"/>
          <w:lang w:val="sq-AL"/>
        </w:rPr>
        <w:t xml:space="preserve">3. Funksioni/njësia e kontrollit të brendshëm siguron, në mënyrë të pavarur, organet drejtuese mbi cilësinë dhe efektivitetin e kontrollit të brendshëm të subjektit, si dhe mbi sistemin dhe proceset e drejtimit/qeverisjes dhe të administrimit të rreziqeve. </w:t>
      </w:r>
    </w:p>
    <w:p w14:paraId="330BE4DD" w14:textId="5E2F51ED" w:rsidR="009E23AF" w:rsidRPr="00FA38F9" w:rsidRDefault="009E23AF" w:rsidP="009E23AF">
      <w:pPr>
        <w:tabs>
          <w:tab w:val="left" w:pos="540"/>
          <w:tab w:val="left" w:pos="2700"/>
        </w:tabs>
        <w:spacing w:after="0" w:line="240" w:lineRule="auto"/>
        <w:ind w:firstLine="284"/>
        <w:jc w:val="both"/>
        <w:rPr>
          <w:rFonts w:ascii="Garamond" w:hAnsi="Garamond" w:cs="Times New Roman"/>
          <w:sz w:val="24"/>
          <w:szCs w:val="24"/>
          <w:lang w:val="sq-AL"/>
        </w:rPr>
      </w:pPr>
      <w:r w:rsidRPr="00FA38F9">
        <w:rPr>
          <w:rFonts w:ascii="Garamond" w:hAnsi="Garamond" w:cs="Times New Roman"/>
          <w:sz w:val="24"/>
          <w:szCs w:val="24"/>
          <w:lang w:val="sq-AL"/>
        </w:rPr>
        <w:t xml:space="preserve">4. Funksioni/njësia e kontrollit të brendshëm zbaton standardet ndërkombëtare të kontrollit të brendshëm. </w:t>
      </w:r>
    </w:p>
    <w:p w14:paraId="6A57C41B" w14:textId="7E1EE158" w:rsidR="009E23AF" w:rsidRPr="00FA38F9" w:rsidRDefault="009E23AF" w:rsidP="009E23AF">
      <w:pPr>
        <w:tabs>
          <w:tab w:val="left" w:pos="540"/>
          <w:tab w:val="left" w:pos="2700"/>
        </w:tabs>
        <w:spacing w:after="0" w:line="240" w:lineRule="auto"/>
        <w:ind w:firstLine="284"/>
        <w:jc w:val="both"/>
        <w:rPr>
          <w:rFonts w:ascii="Garamond" w:hAnsi="Garamond" w:cs="Times New Roman"/>
          <w:sz w:val="24"/>
          <w:szCs w:val="24"/>
          <w:lang w:val="sq-AL"/>
        </w:rPr>
      </w:pPr>
      <w:r w:rsidRPr="00FA38F9">
        <w:rPr>
          <w:rFonts w:ascii="Garamond" w:hAnsi="Garamond" w:cs="Times New Roman"/>
          <w:sz w:val="24"/>
          <w:szCs w:val="24"/>
          <w:lang w:val="sq-AL"/>
        </w:rPr>
        <w:t xml:space="preserve">5. Institucionet e parasë elektronike hartojnë dhe miratojnë akte të brendshme për funksionimin dhe ushtrimin e veprimtarisë së këtij funksioni/kësaj njësie, të cilat hartohen dhe rishikohen sa herë gjykohet e nevojshme. </w:t>
      </w:r>
    </w:p>
    <w:p w14:paraId="440B2723" w14:textId="053B4388" w:rsidR="009E23AF" w:rsidRPr="00FA38F9" w:rsidRDefault="009E23AF" w:rsidP="009E23AF">
      <w:pPr>
        <w:tabs>
          <w:tab w:val="left" w:pos="540"/>
          <w:tab w:val="left" w:pos="2700"/>
        </w:tabs>
        <w:spacing w:after="0" w:line="240" w:lineRule="auto"/>
        <w:ind w:firstLine="284"/>
        <w:jc w:val="both"/>
        <w:rPr>
          <w:rFonts w:ascii="Garamond" w:hAnsi="Garamond" w:cs="Times New Roman"/>
          <w:sz w:val="24"/>
          <w:szCs w:val="24"/>
          <w:lang w:val="sq-AL"/>
        </w:rPr>
      </w:pPr>
      <w:r w:rsidRPr="00FA38F9">
        <w:rPr>
          <w:rFonts w:ascii="Garamond" w:hAnsi="Garamond" w:cs="Times New Roman"/>
          <w:sz w:val="24"/>
          <w:szCs w:val="24"/>
          <w:lang w:val="sq-AL"/>
        </w:rPr>
        <w:t>6. Aktet e brendshme që përcaktojnë mënyrën e funksionimit dhe të ushtrimit të veprimtarisë së funksionit/njësisë së kontrollit të brendshëm, përmbajnë minimalisht elementet e mëposhtme:</w:t>
      </w:r>
    </w:p>
    <w:p w14:paraId="7AE92FB2" w14:textId="3574E4EF" w:rsidR="009E23AF" w:rsidRPr="00FA38F9" w:rsidRDefault="009E23AF" w:rsidP="009E23AF">
      <w:pPr>
        <w:pStyle w:val="ListParagraph"/>
        <w:tabs>
          <w:tab w:val="left" w:pos="720"/>
        </w:tabs>
        <w:spacing w:after="0" w:line="240" w:lineRule="auto"/>
        <w:ind w:left="0" w:firstLine="284"/>
        <w:jc w:val="both"/>
        <w:rPr>
          <w:rFonts w:ascii="Garamond" w:hAnsi="Garamond" w:cs="Times New Roman"/>
          <w:sz w:val="24"/>
          <w:szCs w:val="24"/>
          <w:lang w:val="sq-AL"/>
        </w:rPr>
      </w:pPr>
      <w:r w:rsidRPr="00FA38F9">
        <w:rPr>
          <w:rFonts w:ascii="Garamond" w:hAnsi="Garamond" w:cs="Times New Roman"/>
          <w:sz w:val="24"/>
          <w:szCs w:val="24"/>
          <w:lang w:val="sq-AL"/>
        </w:rPr>
        <w:t>a) qëllimin dhe fushën e veprimit të funksionit/njësisë së kontrollit të brendshëm;</w:t>
      </w:r>
    </w:p>
    <w:p w14:paraId="5ED7B287" w14:textId="178F8165" w:rsidR="009E23AF" w:rsidRPr="00FA38F9" w:rsidRDefault="009E23AF" w:rsidP="009E23AF">
      <w:pPr>
        <w:pStyle w:val="ListParagraph"/>
        <w:tabs>
          <w:tab w:val="left" w:pos="720"/>
        </w:tabs>
        <w:spacing w:after="0" w:line="240" w:lineRule="auto"/>
        <w:ind w:left="0" w:firstLine="284"/>
        <w:jc w:val="both"/>
        <w:rPr>
          <w:rFonts w:ascii="Garamond" w:hAnsi="Garamond" w:cs="Times New Roman"/>
          <w:sz w:val="24"/>
          <w:szCs w:val="24"/>
          <w:lang w:val="sq-AL"/>
        </w:rPr>
      </w:pPr>
      <w:r w:rsidRPr="00FA38F9">
        <w:rPr>
          <w:rFonts w:ascii="Garamond" w:hAnsi="Garamond" w:cs="Times New Roman"/>
          <w:sz w:val="24"/>
          <w:szCs w:val="24"/>
          <w:lang w:val="sq-AL"/>
        </w:rPr>
        <w:t>b) rolin, autoritetin dhe përgjegjësitë e funksionit/njësisë së kontrollit të brendshëm;</w:t>
      </w:r>
    </w:p>
    <w:p w14:paraId="13E8D06B" w14:textId="4AB45E10" w:rsidR="009E23AF" w:rsidRPr="00FA38F9" w:rsidRDefault="009E23AF" w:rsidP="009E23AF">
      <w:pPr>
        <w:pStyle w:val="ListParagraph"/>
        <w:tabs>
          <w:tab w:val="left" w:pos="720"/>
        </w:tabs>
        <w:spacing w:after="0" w:line="240" w:lineRule="auto"/>
        <w:ind w:left="0" w:firstLine="284"/>
        <w:jc w:val="both"/>
        <w:rPr>
          <w:rFonts w:ascii="Garamond" w:hAnsi="Garamond" w:cs="Times New Roman"/>
          <w:sz w:val="24"/>
          <w:szCs w:val="24"/>
          <w:lang w:val="sq-AL"/>
        </w:rPr>
      </w:pPr>
      <w:r w:rsidRPr="00FA38F9">
        <w:rPr>
          <w:rFonts w:ascii="Garamond" w:hAnsi="Garamond" w:cs="Times New Roman"/>
          <w:sz w:val="24"/>
          <w:szCs w:val="24"/>
          <w:lang w:val="sq-AL"/>
        </w:rPr>
        <w:t>c) marrëdhëniet e funksionit/njësisë së kontrollit të brendshëm me funksione të tjera të sistemit të kontrollit brenda subjektit;</w:t>
      </w:r>
    </w:p>
    <w:p w14:paraId="65905782" w14:textId="277D78CA" w:rsidR="009E23AF" w:rsidRPr="00FA38F9" w:rsidRDefault="009E23AF" w:rsidP="009E23AF">
      <w:pPr>
        <w:pStyle w:val="ListParagraph"/>
        <w:tabs>
          <w:tab w:val="left" w:pos="720"/>
        </w:tabs>
        <w:spacing w:after="0" w:line="240" w:lineRule="auto"/>
        <w:ind w:left="0" w:firstLine="284"/>
        <w:jc w:val="both"/>
        <w:rPr>
          <w:rFonts w:ascii="Garamond" w:hAnsi="Garamond" w:cs="Times New Roman"/>
          <w:sz w:val="24"/>
          <w:szCs w:val="24"/>
          <w:lang w:val="sq-AL"/>
        </w:rPr>
      </w:pPr>
      <w:r w:rsidRPr="00FA38F9">
        <w:rPr>
          <w:rFonts w:ascii="Garamond" w:hAnsi="Garamond" w:cs="Times New Roman"/>
          <w:sz w:val="24"/>
          <w:szCs w:val="24"/>
          <w:lang w:val="sq-AL"/>
        </w:rPr>
        <w:t>d) mënyrat dhe linjat e komunikimit të rezultateve të veprimtarisë së kontrollit;</w:t>
      </w:r>
    </w:p>
    <w:p w14:paraId="6D7A10BB" w14:textId="0713C9D2" w:rsidR="009E23AF" w:rsidRPr="00FA38F9" w:rsidRDefault="009E23AF" w:rsidP="009E23AF">
      <w:pPr>
        <w:pStyle w:val="ListParagraph"/>
        <w:tabs>
          <w:tab w:val="left" w:pos="720"/>
        </w:tabs>
        <w:spacing w:after="0" w:line="240" w:lineRule="auto"/>
        <w:ind w:left="0" w:firstLine="284"/>
        <w:jc w:val="both"/>
        <w:rPr>
          <w:rFonts w:ascii="Garamond" w:hAnsi="Garamond" w:cs="Times New Roman"/>
          <w:sz w:val="24"/>
          <w:szCs w:val="24"/>
          <w:lang w:val="sq-AL"/>
        </w:rPr>
      </w:pPr>
      <w:r w:rsidRPr="00FA38F9">
        <w:rPr>
          <w:rFonts w:ascii="Garamond" w:hAnsi="Garamond" w:cs="Times New Roman"/>
          <w:sz w:val="24"/>
          <w:szCs w:val="24"/>
          <w:lang w:val="sq-AL"/>
        </w:rPr>
        <w:t>e) procedurat për koordinimin me audituesin ligjor ose shoqërinë e auditimit, si dhe me autoritetin mbikëqyrës;</w:t>
      </w:r>
    </w:p>
    <w:p w14:paraId="7EE0D575" w14:textId="28D928A3" w:rsidR="009E23AF" w:rsidRPr="00FA38F9" w:rsidRDefault="009E23AF" w:rsidP="009E23AF">
      <w:pPr>
        <w:pStyle w:val="ListParagraph"/>
        <w:tabs>
          <w:tab w:val="left" w:pos="720"/>
        </w:tabs>
        <w:spacing w:after="0" w:line="240" w:lineRule="auto"/>
        <w:ind w:left="0" w:firstLine="284"/>
        <w:jc w:val="both"/>
        <w:rPr>
          <w:rFonts w:ascii="Garamond" w:hAnsi="Garamond" w:cs="Times New Roman"/>
          <w:sz w:val="24"/>
          <w:szCs w:val="24"/>
          <w:lang w:val="sq-AL"/>
        </w:rPr>
      </w:pPr>
      <w:r w:rsidRPr="00FA38F9">
        <w:rPr>
          <w:rFonts w:ascii="Garamond" w:hAnsi="Garamond" w:cs="Times New Roman"/>
          <w:sz w:val="24"/>
          <w:szCs w:val="24"/>
          <w:lang w:val="sq-AL"/>
        </w:rPr>
        <w:t>f) të drejtën për të përdorur në mënyrë të plotë dhe të pakushtëzuar çdo regjistrim, dosje, bazë të dhënash, aktive fizike të institucionit të parasë elektronike, si edhe çdo dokumentacion të organeve drejtuese apo njësive organizative, të nevojshme për kryerjen e funksioneve;</w:t>
      </w:r>
    </w:p>
    <w:p w14:paraId="1269EFB4" w14:textId="39EA8343" w:rsidR="009E23AF" w:rsidRPr="00FA38F9" w:rsidRDefault="009E23AF" w:rsidP="009E23AF">
      <w:pPr>
        <w:pStyle w:val="ListParagraph"/>
        <w:tabs>
          <w:tab w:val="left" w:pos="720"/>
        </w:tabs>
        <w:spacing w:after="0" w:line="240" w:lineRule="auto"/>
        <w:ind w:left="0" w:firstLine="284"/>
        <w:jc w:val="both"/>
        <w:rPr>
          <w:rFonts w:ascii="Garamond" w:hAnsi="Garamond" w:cs="Times New Roman"/>
          <w:sz w:val="24"/>
          <w:szCs w:val="24"/>
          <w:lang w:val="sq-AL"/>
        </w:rPr>
      </w:pPr>
      <w:r w:rsidRPr="00FA38F9">
        <w:rPr>
          <w:rFonts w:ascii="Garamond" w:hAnsi="Garamond" w:cs="Times New Roman"/>
          <w:sz w:val="24"/>
          <w:szCs w:val="24"/>
          <w:lang w:val="sq-AL"/>
        </w:rPr>
        <w:t>g) të drejtën e drejtuesit të funksionit/njësisë së kontrollit të brendshëm për të pasur kontakt të drejtpërdrejtë me organet drejtuese;</w:t>
      </w:r>
    </w:p>
    <w:p w14:paraId="051D8C29" w14:textId="31E35C13" w:rsidR="009E23AF" w:rsidRPr="00FA38F9" w:rsidRDefault="009E23AF" w:rsidP="009E23AF">
      <w:pPr>
        <w:pStyle w:val="ListParagraph"/>
        <w:tabs>
          <w:tab w:val="left" w:pos="720"/>
        </w:tabs>
        <w:spacing w:after="0" w:line="240" w:lineRule="auto"/>
        <w:ind w:left="0" w:firstLine="284"/>
        <w:jc w:val="both"/>
        <w:rPr>
          <w:rFonts w:ascii="Garamond" w:hAnsi="Garamond" w:cs="Times New Roman"/>
          <w:sz w:val="24"/>
          <w:szCs w:val="24"/>
          <w:lang w:val="sq-AL"/>
        </w:rPr>
      </w:pPr>
      <w:r w:rsidRPr="00FA38F9">
        <w:rPr>
          <w:rFonts w:ascii="Garamond" w:hAnsi="Garamond" w:cs="Times New Roman"/>
          <w:sz w:val="24"/>
          <w:szCs w:val="24"/>
          <w:lang w:val="sq-AL"/>
        </w:rPr>
        <w:t>h) të drejtën e planifikimit dhe përcaktimit të kontrolleve në mënyrë të pavarur;</w:t>
      </w:r>
    </w:p>
    <w:p w14:paraId="5996A41C" w14:textId="6A73E1D6" w:rsidR="009E23AF" w:rsidRPr="00FA38F9" w:rsidRDefault="009E23AF" w:rsidP="009E23AF">
      <w:pPr>
        <w:pStyle w:val="ListParagraph"/>
        <w:tabs>
          <w:tab w:val="left" w:pos="720"/>
        </w:tabs>
        <w:spacing w:after="0" w:line="240" w:lineRule="auto"/>
        <w:ind w:left="0" w:firstLine="284"/>
        <w:jc w:val="both"/>
        <w:rPr>
          <w:rFonts w:ascii="Garamond" w:hAnsi="Garamond" w:cs="Times New Roman"/>
          <w:sz w:val="24"/>
          <w:szCs w:val="24"/>
          <w:lang w:val="sq-AL"/>
        </w:rPr>
      </w:pPr>
      <w:r w:rsidRPr="00FA38F9">
        <w:rPr>
          <w:rFonts w:ascii="Garamond" w:hAnsi="Garamond" w:cs="Times New Roman"/>
          <w:sz w:val="24"/>
          <w:szCs w:val="24"/>
          <w:lang w:val="sq-AL"/>
        </w:rPr>
        <w:t>i) sigurimin e shmangies së çdo konflikti interesash në kryerjen e detyrave të kontrollit të brendshëm;</w:t>
      </w:r>
    </w:p>
    <w:p w14:paraId="0322AE40" w14:textId="2B1AF801" w:rsidR="009E23AF" w:rsidRPr="00FA38F9" w:rsidRDefault="009E23AF" w:rsidP="009E23AF">
      <w:pPr>
        <w:pStyle w:val="ListParagraph"/>
        <w:tabs>
          <w:tab w:val="left" w:pos="720"/>
        </w:tabs>
        <w:spacing w:after="0" w:line="240" w:lineRule="auto"/>
        <w:ind w:left="0" w:firstLine="284"/>
        <w:jc w:val="both"/>
        <w:rPr>
          <w:rFonts w:ascii="Garamond" w:hAnsi="Garamond" w:cs="Times New Roman"/>
          <w:sz w:val="24"/>
          <w:szCs w:val="24"/>
          <w:lang w:val="sq-AL"/>
        </w:rPr>
      </w:pPr>
      <w:r w:rsidRPr="00FA38F9">
        <w:rPr>
          <w:rFonts w:ascii="Garamond" w:hAnsi="Garamond" w:cs="Times New Roman"/>
          <w:sz w:val="24"/>
          <w:szCs w:val="24"/>
          <w:lang w:val="sq-AL"/>
        </w:rPr>
        <w:t>j) kërkesa për përputhshmërinë me standardet më të mira të kontrollit të brendshëm.</w:t>
      </w:r>
    </w:p>
    <w:p w14:paraId="64838C30" w14:textId="2213029B" w:rsidR="009E23AF" w:rsidRPr="00FA38F9" w:rsidRDefault="009E23AF" w:rsidP="009E23AF">
      <w:pPr>
        <w:tabs>
          <w:tab w:val="left" w:pos="540"/>
          <w:tab w:val="left" w:pos="2700"/>
        </w:tabs>
        <w:spacing w:after="0" w:line="240" w:lineRule="auto"/>
        <w:ind w:firstLine="284"/>
        <w:jc w:val="both"/>
        <w:rPr>
          <w:rFonts w:ascii="Garamond" w:hAnsi="Garamond"/>
          <w:sz w:val="24"/>
          <w:szCs w:val="24"/>
          <w:lang w:val="sq-AL"/>
        </w:rPr>
      </w:pPr>
      <w:r w:rsidRPr="00FA38F9">
        <w:rPr>
          <w:rFonts w:ascii="Garamond" w:hAnsi="Garamond" w:cs="Times New Roman"/>
          <w:sz w:val="24"/>
          <w:szCs w:val="24"/>
          <w:lang w:val="sq-AL"/>
        </w:rPr>
        <w:t>7. Frekuenca e kontrollit bazohet në vlerësimin e çdo fushe veprimtarie dhe shërbimi, si dhe njësie organizative të institucionit të parasë elektronike, të bazuar në rrezik. Të gjitha fushat e veprimtarisë dhe shërbimeve dhe njësitë organizative të institucionit të parasë elektronike janë objekt kontrolli nga funksioni/njësia e kontrollit të brendshëm, të paktën çdo tre vjet, përfshirë edhe ato fusha veprimtarie dhe shërbimi dhe njësi organizative me rrezik të ulët, si dhe degët, agjentët dhe palët e treta të kontraktuara.</w:t>
      </w:r>
    </w:p>
    <w:p w14:paraId="25A5FD76" w14:textId="151FCC6F" w:rsidR="009E23AF" w:rsidRPr="00FA38F9" w:rsidRDefault="009E23AF" w:rsidP="009E23AF">
      <w:pPr>
        <w:tabs>
          <w:tab w:val="left" w:pos="540"/>
          <w:tab w:val="left" w:pos="2700"/>
        </w:tabs>
        <w:spacing w:after="0" w:line="240" w:lineRule="auto"/>
        <w:ind w:firstLine="284"/>
        <w:jc w:val="both"/>
        <w:rPr>
          <w:rFonts w:ascii="Garamond" w:hAnsi="Garamond" w:cs="Times New Roman"/>
          <w:sz w:val="24"/>
          <w:szCs w:val="24"/>
          <w:lang w:val="sq-AL"/>
        </w:rPr>
      </w:pPr>
      <w:r w:rsidRPr="00FA38F9">
        <w:rPr>
          <w:rFonts w:ascii="Garamond" w:hAnsi="Garamond" w:cs="Times New Roman"/>
          <w:sz w:val="24"/>
          <w:szCs w:val="24"/>
          <w:lang w:val="sq-AL"/>
        </w:rPr>
        <w:t>8. Funksioni/njësia e kontrollit të brendshëm përgatit një raport për çdo kontroll të kryer, i cili përmban të paktën:</w:t>
      </w:r>
    </w:p>
    <w:p w14:paraId="6BF9512F" w14:textId="14D08275" w:rsidR="009E23AF" w:rsidRPr="00FA38F9" w:rsidRDefault="009E23AF" w:rsidP="009E23AF">
      <w:pPr>
        <w:tabs>
          <w:tab w:val="left" w:pos="360"/>
        </w:tabs>
        <w:spacing w:after="0" w:line="240" w:lineRule="auto"/>
        <w:ind w:firstLine="284"/>
        <w:jc w:val="both"/>
        <w:rPr>
          <w:rFonts w:ascii="Garamond" w:hAnsi="Garamond" w:cs="Times New Roman"/>
          <w:sz w:val="24"/>
          <w:szCs w:val="24"/>
          <w:lang w:val="sq-AL"/>
        </w:rPr>
      </w:pPr>
      <w:r w:rsidRPr="00FA38F9">
        <w:rPr>
          <w:rFonts w:ascii="Garamond" w:hAnsi="Garamond" w:cs="Times New Roman"/>
          <w:sz w:val="24"/>
          <w:szCs w:val="24"/>
          <w:lang w:val="sq-AL"/>
        </w:rPr>
        <w:t>a) objektin e kontrollit;</w:t>
      </w:r>
    </w:p>
    <w:p w14:paraId="56AC768D" w14:textId="36807CCA" w:rsidR="009E23AF" w:rsidRPr="00FA38F9" w:rsidRDefault="009E23AF" w:rsidP="009E23AF">
      <w:pPr>
        <w:tabs>
          <w:tab w:val="left" w:pos="360"/>
        </w:tabs>
        <w:spacing w:after="0" w:line="240" w:lineRule="auto"/>
        <w:ind w:firstLine="284"/>
        <w:jc w:val="both"/>
        <w:rPr>
          <w:rFonts w:ascii="Garamond" w:hAnsi="Garamond" w:cs="Times New Roman"/>
          <w:sz w:val="24"/>
          <w:szCs w:val="24"/>
          <w:lang w:val="sq-AL"/>
        </w:rPr>
      </w:pPr>
      <w:r w:rsidRPr="00FA38F9">
        <w:rPr>
          <w:rFonts w:ascii="Garamond" w:hAnsi="Garamond" w:cs="Times New Roman"/>
          <w:sz w:val="24"/>
          <w:szCs w:val="24"/>
          <w:lang w:val="sq-AL"/>
        </w:rPr>
        <w:t>b) përshkrimin e punës së kontrollit (përshkrimin e metodologjisë, hapat dhe procedurat e ndjekura për të arritur objektivat e kontrollit etj.);</w:t>
      </w:r>
    </w:p>
    <w:p w14:paraId="314CF071" w14:textId="093A4D3B" w:rsidR="009E23AF" w:rsidRPr="00FA38F9" w:rsidRDefault="009E23AF" w:rsidP="009E23AF">
      <w:pPr>
        <w:tabs>
          <w:tab w:val="left" w:pos="360"/>
        </w:tabs>
        <w:spacing w:after="0" w:line="240" w:lineRule="auto"/>
        <w:ind w:firstLine="284"/>
        <w:jc w:val="both"/>
        <w:rPr>
          <w:rFonts w:ascii="Garamond" w:hAnsi="Garamond" w:cs="Times New Roman"/>
          <w:sz w:val="24"/>
          <w:szCs w:val="24"/>
          <w:lang w:val="sq-AL"/>
        </w:rPr>
      </w:pPr>
      <w:r w:rsidRPr="00FA38F9">
        <w:rPr>
          <w:rFonts w:ascii="Garamond" w:hAnsi="Garamond" w:cs="Times New Roman"/>
          <w:sz w:val="24"/>
          <w:szCs w:val="24"/>
          <w:lang w:val="sq-AL"/>
        </w:rPr>
        <w:t>c) gjetjet e kontrollit;</w:t>
      </w:r>
    </w:p>
    <w:p w14:paraId="6FB0E422" w14:textId="600A5FBB" w:rsidR="009E23AF" w:rsidRPr="00FA38F9" w:rsidRDefault="009E23AF" w:rsidP="009E23AF">
      <w:pPr>
        <w:tabs>
          <w:tab w:val="left" w:pos="360"/>
        </w:tabs>
        <w:spacing w:after="0" w:line="240" w:lineRule="auto"/>
        <w:ind w:firstLine="284"/>
        <w:jc w:val="both"/>
        <w:rPr>
          <w:rFonts w:ascii="Garamond" w:hAnsi="Garamond" w:cs="Times New Roman"/>
          <w:sz w:val="24"/>
          <w:szCs w:val="24"/>
          <w:lang w:val="sq-AL"/>
        </w:rPr>
      </w:pPr>
      <w:r w:rsidRPr="00FA38F9">
        <w:rPr>
          <w:rFonts w:ascii="Garamond" w:hAnsi="Garamond" w:cs="Times New Roman"/>
          <w:sz w:val="24"/>
          <w:szCs w:val="24"/>
          <w:lang w:val="sq-AL"/>
        </w:rPr>
        <w:t>d) komentet e drejtuesve përgjegjës të njësisë organizative të kontrolluar, për gjetjet e kontrollit;</w:t>
      </w:r>
    </w:p>
    <w:p w14:paraId="702CD852" w14:textId="7D1FC3AF" w:rsidR="009E23AF" w:rsidRPr="00FA38F9" w:rsidRDefault="009E23AF" w:rsidP="009E23AF">
      <w:pPr>
        <w:tabs>
          <w:tab w:val="left" w:pos="360"/>
        </w:tabs>
        <w:spacing w:after="0" w:line="240" w:lineRule="auto"/>
        <w:ind w:firstLine="284"/>
        <w:jc w:val="both"/>
        <w:rPr>
          <w:rFonts w:ascii="Garamond" w:hAnsi="Garamond" w:cs="Times New Roman"/>
          <w:sz w:val="24"/>
          <w:szCs w:val="24"/>
          <w:lang w:val="sq-AL"/>
        </w:rPr>
      </w:pPr>
      <w:r w:rsidRPr="00FA38F9">
        <w:rPr>
          <w:rFonts w:ascii="Garamond" w:hAnsi="Garamond" w:cs="Times New Roman"/>
          <w:sz w:val="24"/>
          <w:szCs w:val="24"/>
          <w:lang w:val="sq-AL"/>
        </w:rPr>
        <w:t>e) vlerësime për kualifikimin e personelit, mjaftueshmërinë e akteve të brendshme dhe sistemet e vlerësimit të rrezikut, sipas rasteve përkatëse;</w:t>
      </w:r>
    </w:p>
    <w:p w14:paraId="0373B841" w14:textId="759718C4" w:rsidR="009E23AF" w:rsidRPr="00FA38F9" w:rsidRDefault="009E23AF" w:rsidP="009E23AF">
      <w:pPr>
        <w:tabs>
          <w:tab w:val="left" w:pos="360"/>
        </w:tabs>
        <w:spacing w:after="0" w:line="240" w:lineRule="auto"/>
        <w:ind w:firstLine="284"/>
        <w:jc w:val="both"/>
        <w:rPr>
          <w:rFonts w:ascii="Garamond" w:hAnsi="Garamond" w:cs="Times New Roman"/>
          <w:sz w:val="24"/>
          <w:szCs w:val="24"/>
          <w:lang w:val="sq-AL"/>
        </w:rPr>
      </w:pPr>
      <w:r w:rsidRPr="00FA38F9">
        <w:rPr>
          <w:rFonts w:ascii="Garamond" w:hAnsi="Garamond" w:cs="Times New Roman"/>
          <w:sz w:val="24"/>
          <w:szCs w:val="24"/>
          <w:lang w:val="sq-AL"/>
        </w:rPr>
        <w:t xml:space="preserve">f) rekomandime për korrigjimin dhe përmirësimet e gjetjeve, të vërejtura gjatë aktit të kontrollit; si dhe </w:t>
      </w:r>
    </w:p>
    <w:p w14:paraId="09704FD6" w14:textId="0A1A77F2" w:rsidR="009E23AF" w:rsidRPr="00FA38F9" w:rsidRDefault="009E23AF" w:rsidP="009E23AF">
      <w:pPr>
        <w:tabs>
          <w:tab w:val="left" w:pos="360"/>
        </w:tabs>
        <w:spacing w:after="0" w:line="240" w:lineRule="auto"/>
        <w:ind w:firstLine="284"/>
        <w:jc w:val="both"/>
        <w:rPr>
          <w:rFonts w:ascii="Garamond" w:hAnsi="Garamond" w:cs="Times New Roman"/>
          <w:sz w:val="24"/>
          <w:szCs w:val="24"/>
          <w:lang w:val="sq-AL"/>
        </w:rPr>
      </w:pPr>
      <w:r w:rsidRPr="00FA38F9">
        <w:rPr>
          <w:rFonts w:ascii="Garamond" w:hAnsi="Garamond" w:cs="Times New Roman"/>
          <w:sz w:val="24"/>
          <w:szCs w:val="24"/>
          <w:lang w:val="sq-AL"/>
        </w:rPr>
        <w:t>g) nivelin e zbatimit të rekomandimeve të lëna nga kontrollet e mëparshme.</w:t>
      </w:r>
    </w:p>
    <w:p w14:paraId="34B37D64" w14:textId="02A212F6" w:rsidR="009E23AF" w:rsidRPr="00FA38F9" w:rsidRDefault="009E23AF" w:rsidP="009E23AF">
      <w:pPr>
        <w:tabs>
          <w:tab w:val="left" w:pos="540"/>
          <w:tab w:val="left" w:pos="2700"/>
        </w:tabs>
        <w:spacing w:after="0" w:line="240" w:lineRule="auto"/>
        <w:ind w:firstLine="284"/>
        <w:jc w:val="both"/>
        <w:rPr>
          <w:rFonts w:ascii="Garamond" w:hAnsi="Garamond" w:cs="Times New Roman"/>
          <w:sz w:val="24"/>
          <w:szCs w:val="24"/>
          <w:lang w:val="sq-AL"/>
        </w:rPr>
      </w:pPr>
      <w:r w:rsidRPr="00FA38F9">
        <w:rPr>
          <w:rFonts w:ascii="Garamond" w:hAnsi="Garamond" w:cs="Times New Roman"/>
          <w:sz w:val="24"/>
          <w:szCs w:val="24"/>
          <w:lang w:val="sq-AL"/>
        </w:rPr>
        <w:t>9. Punonjësit e funksionit/njësisë së kontrollit të brendshëm kanë:</w:t>
      </w:r>
    </w:p>
    <w:p w14:paraId="64DE2517" w14:textId="7CF08F76" w:rsidR="009E23AF" w:rsidRPr="00FA38F9" w:rsidRDefault="009E23AF" w:rsidP="009E23AF">
      <w:pPr>
        <w:pStyle w:val="ListParagraph"/>
        <w:tabs>
          <w:tab w:val="left" w:pos="720"/>
        </w:tabs>
        <w:spacing w:after="0" w:line="240" w:lineRule="auto"/>
        <w:ind w:left="0" w:firstLine="284"/>
        <w:jc w:val="both"/>
        <w:rPr>
          <w:rFonts w:ascii="Garamond" w:hAnsi="Garamond" w:cs="Times New Roman"/>
          <w:sz w:val="24"/>
          <w:szCs w:val="24"/>
          <w:lang w:val="sq-AL"/>
        </w:rPr>
      </w:pPr>
      <w:r w:rsidRPr="00FA38F9">
        <w:rPr>
          <w:rFonts w:ascii="Garamond" w:hAnsi="Garamond" w:cs="Times New Roman"/>
          <w:sz w:val="24"/>
          <w:szCs w:val="24"/>
          <w:lang w:val="sq-AL"/>
        </w:rPr>
        <w:t>a) reputacion të lartë etik dhe profesional;</w:t>
      </w:r>
    </w:p>
    <w:p w14:paraId="3941D34D" w14:textId="64A2B54E" w:rsidR="009E23AF" w:rsidRPr="00FA38F9" w:rsidRDefault="009E23AF" w:rsidP="009E23AF">
      <w:pPr>
        <w:tabs>
          <w:tab w:val="left" w:pos="720"/>
          <w:tab w:val="left" w:pos="1440"/>
        </w:tabs>
        <w:spacing w:after="0" w:line="240" w:lineRule="auto"/>
        <w:ind w:firstLine="284"/>
        <w:jc w:val="both"/>
        <w:rPr>
          <w:rFonts w:ascii="Garamond" w:hAnsi="Garamond" w:cs="Times New Roman"/>
          <w:sz w:val="24"/>
          <w:szCs w:val="24"/>
          <w:lang w:val="sq-AL"/>
        </w:rPr>
      </w:pPr>
      <w:r w:rsidRPr="00FA38F9">
        <w:rPr>
          <w:rFonts w:ascii="Garamond" w:hAnsi="Garamond" w:cs="Times New Roman"/>
          <w:sz w:val="24"/>
          <w:szCs w:val="24"/>
          <w:lang w:val="sq-AL"/>
        </w:rPr>
        <w:t>b) aftësi profesionale në zbatimin e standardeve ndërkombëtare të kontrollit të brendshëm, të procedurave dhe teknikave të kontrollit në të gjitha fushat e aktivitetit të institucionit të parasë elektronike;</w:t>
      </w:r>
    </w:p>
    <w:p w14:paraId="2D53F2B0" w14:textId="47871BC0" w:rsidR="009E23AF" w:rsidRPr="00FA38F9" w:rsidRDefault="009E23AF" w:rsidP="009E23AF">
      <w:pPr>
        <w:tabs>
          <w:tab w:val="left" w:pos="720"/>
          <w:tab w:val="left" w:pos="1440"/>
        </w:tabs>
        <w:spacing w:after="0" w:line="240" w:lineRule="auto"/>
        <w:ind w:firstLine="284"/>
        <w:jc w:val="both"/>
        <w:rPr>
          <w:rFonts w:ascii="Garamond" w:hAnsi="Garamond"/>
          <w:sz w:val="24"/>
          <w:szCs w:val="24"/>
          <w:lang w:val="sq-AL"/>
        </w:rPr>
      </w:pPr>
      <w:r w:rsidRPr="00FA38F9">
        <w:rPr>
          <w:rFonts w:ascii="Garamond" w:hAnsi="Garamond" w:cs="Times New Roman"/>
          <w:sz w:val="24"/>
          <w:szCs w:val="24"/>
          <w:lang w:val="sq-AL"/>
        </w:rPr>
        <w:t xml:space="preserve">c) njohje dhe/ose përvojë në zbatimin e standardeve të kontabilitetit; </w:t>
      </w:r>
    </w:p>
    <w:p w14:paraId="089208E2" w14:textId="33C589B1" w:rsidR="009E23AF" w:rsidRPr="00FA38F9" w:rsidRDefault="009E23AF" w:rsidP="009E23AF">
      <w:pPr>
        <w:tabs>
          <w:tab w:val="left" w:pos="720"/>
          <w:tab w:val="left" w:pos="1440"/>
        </w:tabs>
        <w:spacing w:after="0" w:line="240" w:lineRule="auto"/>
        <w:ind w:firstLine="284"/>
        <w:jc w:val="both"/>
        <w:rPr>
          <w:rFonts w:ascii="Garamond" w:hAnsi="Garamond" w:cs="Times New Roman"/>
          <w:sz w:val="24"/>
          <w:szCs w:val="24"/>
          <w:lang w:val="sq-AL"/>
        </w:rPr>
      </w:pPr>
      <w:r w:rsidRPr="00FA38F9">
        <w:rPr>
          <w:rFonts w:ascii="Garamond" w:hAnsi="Garamond" w:cs="Times New Roman"/>
          <w:sz w:val="24"/>
          <w:szCs w:val="24"/>
          <w:lang w:val="sq-AL"/>
        </w:rPr>
        <w:t xml:space="preserve">d) njohje të parimeve të administrimit të rrezikut. </w:t>
      </w:r>
    </w:p>
    <w:p w14:paraId="656B6964" w14:textId="039B8ABA" w:rsidR="009E23AF" w:rsidRPr="00FA38F9" w:rsidRDefault="009E23AF" w:rsidP="009E23AF">
      <w:pPr>
        <w:tabs>
          <w:tab w:val="left" w:pos="540"/>
          <w:tab w:val="left" w:pos="2700"/>
        </w:tabs>
        <w:spacing w:after="0" w:line="240" w:lineRule="auto"/>
        <w:ind w:firstLine="284"/>
        <w:jc w:val="both"/>
        <w:rPr>
          <w:rFonts w:ascii="Garamond" w:hAnsi="Garamond" w:cs="Times New Roman"/>
          <w:sz w:val="24"/>
          <w:szCs w:val="24"/>
          <w:lang w:val="sq-AL"/>
        </w:rPr>
      </w:pPr>
      <w:r w:rsidRPr="00FA38F9">
        <w:rPr>
          <w:rFonts w:ascii="Garamond" w:hAnsi="Garamond" w:cs="Times New Roman"/>
          <w:sz w:val="24"/>
          <w:szCs w:val="24"/>
          <w:lang w:val="sq-AL"/>
        </w:rPr>
        <w:t xml:space="preserve">10. Në fund të çdo viti, funksioni/njësia e kontrollit të brendshëm përgatit planin e punës për vitin e ardhshëm, i cili paraqitet për miratim në organet drejtuese të institucionit të parasë elektronike. </w:t>
      </w:r>
    </w:p>
    <w:p w14:paraId="64B7105F" w14:textId="2142E0A4" w:rsidR="009E23AF" w:rsidRPr="00FA38F9" w:rsidRDefault="009E23AF" w:rsidP="009E23AF">
      <w:pPr>
        <w:tabs>
          <w:tab w:val="left" w:pos="540"/>
          <w:tab w:val="left" w:pos="2700"/>
        </w:tabs>
        <w:spacing w:after="0" w:line="240" w:lineRule="auto"/>
        <w:ind w:firstLine="284"/>
        <w:jc w:val="both"/>
        <w:rPr>
          <w:rFonts w:ascii="Garamond" w:hAnsi="Garamond" w:cs="Times New Roman"/>
          <w:sz w:val="24"/>
          <w:szCs w:val="24"/>
          <w:lang w:val="sq-AL"/>
        </w:rPr>
      </w:pPr>
      <w:r w:rsidRPr="00FA38F9">
        <w:rPr>
          <w:rFonts w:ascii="Garamond" w:hAnsi="Garamond" w:cs="Times New Roman"/>
          <w:sz w:val="24"/>
          <w:szCs w:val="24"/>
          <w:lang w:val="sq-AL"/>
        </w:rPr>
        <w:t>11. Funksioni/njësia e kontrollit të brendshëm paraqet një raport vjetor mbi punën e tij/saj tek organet drejtuese të institucionit të parasë elektronike, i cili përmban elementet e mëposhtme:</w:t>
      </w:r>
    </w:p>
    <w:p w14:paraId="5DFBEDB1" w14:textId="214CCFFD" w:rsidR="009E23AF" w:rsidRPr="00FA38F9" w:rsidRDefault="009E23AF" w:rsidP="009E23AF">
      <w:pPr>
        <w:spacing w:after="0" w:line="240" w:lineRule="auto"/>
        <w:ind w:firstLine="284"/>
        <w:jc w:val="both"/>
        <w:rPr>
          <w:rFonts w:ascii="Garamond" w:hAnsi="Garamond" w:cs="Times New Roman"/>
          <w:sz w:val="24"/>
          <w:szCs w:val="24"/>
          <w:lang w:val="sq-AL"/>
        </w:rPr>
      </w:pPr>
      <w:r w:rsidRPr="00FA38F9">
        <w:rPr>
          <w:rFonts w:ascii="Garamond" w:hAnsi="Garamond" w:cs="Times New Roman"/>
          <w:sz w:val="24"/>
          <w:szCs w:val="24"/>
          <w:lang w:val="sq-AL"/>
        </w:rPr>
        <w:t>a) një raport mbi nivelin e zbatimit të planit vjetor të punës së funksionit/njësisë së kontrollit të brendshëm;</w:t>
      </w:r>
    </w:p>
    <w:p w14:paraId="24DA8FB2" w14:textId="4D794A58" w:rsidR="009E23AF" w:rsidRPr="00FA38F9" w:rsidRDefault="009E23AF" w:rsidP="009E23AF">
      <w:pPr>
        <w:spacing w:after="0" w:line="240" w:lineRule="auto"/>
        <w:ind w:firstLine="284"/>
        <w:jc w:val="both"/>
        <w:rPr>
          <w:rFonts w:ascii="Garamond" w:hAnsi="Garamond" w:cs="Times New Roman"/>
          <w:sz w:val="24"/>
          <w:szCs w:val="24"/>
          <w:lang w:val="sq-AL"/>
        </w:rPr>
      </w:pPr>
      <w:r w:rsidRPr="00FA38F9">
        <w:rPr>
          <w:rFonts w:ascii="Garamond" w:hAnsi="Garamond" w:cs="Times New Roman"/>
          <w:sz w:val="24"/>
          <w:szCs w:val="24"/>
          <w:lang w:val="sq-AL"/>
        </w:rPr>
        <w:t>b) një listë të të gjitha aktiviteteve të planifikuara dhe të realizuara nga funksioni/njësia e kontrollit të brendshëm;</w:t>
      </w:r>
    </w:p>
    <w:p w14:paraId="6FC764D2" w14:textId="67BB9B6C" w:rsidR="009E23AF" w:rsidRPr="00FA38F9" w:rsidRDefault="009E23AF" w:rsidP="009E23AF">
      <w:pPr>
        <w:spacing w:after="0" w:line="240" w:lineRule="auto"/>
        <w:ind w:firstLine="284"/>
        <w:jc w:val="both"/>
        <w:rPr>
          <w:rFonts w:ascii="Garamond" w:hAnsi="Garamond" w:cs="Times New Roman"/>
          <w:sz w:val="24"/>
          <w:szCs w:val="24"/>
          <w:lang w:val="sq-AL"/>
        </w:rPr>
      </w:pPr>
      <w:r w:rsidRPr="00FA38F9">
        <w:rPr>
          <w:rFonts w:ascii="Garamond" w:hAnsi="Garamond" w:cs="Times New Roman"/>
          <w:sz w:val="24"/>
          <w:szCs w:val="24"/>
          <w:lang w:val="sq-AL"/>
        </w:rPr>
        <w:t>c) një listë të të gjitha aktiviteteve të realizuara, por të paplanifikuara në planin vjetor të punës së funksionit/njësisë së kontrollit të brendshëm;</w:t>
      </w:r>
    </w:p>
    <w:p w14:paraId="4F73BF3A" w14:textId="5E1D9205" w:rsidR="009E23AF" w:rsidRPr="00FA38F9" w:rsidRDefault="009E23AF" w:rsidP="009E23AF">
      <w:pPr>
        <w:spacing w:after="0" w:line="240" w:lineRule="auto"/>
        <w:ind w:firstLine="284"/>
        <w:jc w:val="both"/>
        <w:rPr>
          <w:rFonts w:ascii="Garamond" w:hAnsi="Garamond" w:cs="Times New Roman"/>
          <w:sz w:val="24"/>
          <w:szCs w:val="24"/>
          <w:lang w:val="sq-AL"/>
        </w:rPr>
      </w:pPr>
      <w:r w:rsidRPr="00FA38F9">
        <w:rPr>
          <w:rFonts w:ascii="Garamond" w:hAnsi="Garamond" w:cs="Times New Roman"/>
          <w:sz w:val="24"/>
          <w:szCs w:val="24"/>
          <w:lang w:val="sq-AL"/>
        </w:rPr>
        <w:t>d) një listë të të gjitha aktiviteteve të planifikuara, por të parealizuara nga funksioni/njësia e kontrollit të brendshëm, shoqëruar me arsyet e mosrealizimit;</w:t>
      </w:r>
    </w:p>
    <w:p w14:paraId="267C067D" w14:textId="1D2CE5EE" w:rsidR="009E23AF" w:rsidRPr="00FA38F9" w:rsidRDefault="009E23AF" w:rsidP="009E23AF">
      <w:pPr>
        <w:spacing w:after="0" w:line="240" w:lineRule="auto"/>
        <w:ind w:firstLine="284"/>
        <w:jc w:val="both"/>
        <w:rPr>
          <w:rFonts w:ascii="Garamond" w:hAnsi="Garamond" w:cs="Times New Roman"/>
          <w:sz w:val="24"/>
          <w:szCs w:val="24"/>
          <w:lang w:val="sq-AL"/>
        </w:rPr>
      </w:pPr>
      <w:r w:rsidRPr="00FA38F9">
        <w:rPr>
          <w:rFonts w:ascii="Garamond" w:hAnsi="Garamond" w:cs="Times New Roman"/>
          <w:sz w:val="24"/>
          <w:szCs w:val="24"/>
          <w:lang w:val="sq-AL"/>
        </w:rPr>
        <w:t>e) një përmbledhje të gjetjeve më të rëndësishme të identifikuara gjatë kontrolleve;</w:t>
      </w:r>
    </w:p>
    <w:p w14:paraId="7F11AAE5" w14:textId="1134E69F" w:rsidR="009E23AF" w:rsidRPr="00FA38F9" w:rsidRDefault="009E23AF" w:rsidP="009E23AF">
      <w:pPr>
        <w:spacing w:after="0" w:line="240" w:lineRule="auto"/>
        <w:ind w:firstLine="284"/>
        <w:jc w:val="both"/>
        <w:rPr>
          <w:rFonts w:ascii="Garamond" w:hAnsi="Garamond" w:cs="Times New Roman"/>
          <w:sz w:val="24"/>
          <w:szCs w:val="24"/>
          <w:lang w:val="sq-AL"/>
        </w:rPr>
      </w:pPr>
      <w:r w:rsidRPr="00FA38F9">
        <w:rPr>
          <w:rFonts w:ascii="Garamond" w:hAnsi="Garamond" w:cs="Times New Roman"/>
          <w:sz w:val="24"/>
          <w:szCs w:val="24"/>
          <w:lang w:val="sq-AL"/>
        </w:rPr>
        <w:t>f) një vlerësim të përgjithshëm të mjaftueshmërisë dhe eficiencës së sistemit të kontrollit të brendshëm, në fushat e mbuluara nga funksioni/njësia e kontrollit të brendshëm;</w:t>
      </w:r>
    </w:p>
    <w:p w14:paraId="63D609F3" w14:textId="1039BA20" w:rsidR="009E23AF" w:rsidRPr="00FA38F9" w:rsidRDefault="009E23AF" w:rsidP="009E23AF">
      <w:pPr>
        <w:spacing w:after="0" w:line="240" w:lineRule="auto"/>
        <w:ind w:firstLine="284"/>
        <w:jc w:val="both"/>
        <w:rPr>
          <w:rFonts w:ascii="Garamond" w:hAnsi="Garamond" w:cs="Times New Roman"/>
          <w:sz w:val="24"/>
          <w:szCs w:val="24"/>
          <w:lang w:val="sq-AL"/>
        </w:rPr>
      </w:pPr>
      <w:r w:rsidRPr="00FA38F9">
        <w:rPr>
          <w:rFonts w:ascii="Garamond" w:hAnsi="Garamond" w:cs="Times New Roman"/>
          <w:sz w:val="24"/>
          <w:szCs w:val="24"/>
          <w:lang w:val="sq-AL"/>
        </w:rPr>
        <w:t>g) një vlerësim të përgjithshëm të mjaftueshmërisë dhe eficiencës së sistemit të administrimit të rrezikut;</w:t>
      </w:r>
    </w:p>
    <w:p w14:paraId="2548ABBC" w14:textId="2BB9DACF" w:rsidR="009E23AF" w:rsidRPr="00FA38F9" w:rsidRDefault="009E23AF" w:rsidP="009E23AF">
      <w:pPr>
        <w:spacing w:after="0" w:line="240" w:lineRule="auto"/>
        <w:ind w:firstLine="284"/>
        <w:jc w:val="both"/>
        <w:rPr>
          <w:rFonts w:ascii="Garamond" w:hAnsi="Garamond" w:cs="Times New Roman"/>
          <w:sz w:val="24"/>
          <w:szCs w:val="24"/>
          <w:lang w:val="sq-AL"/>
        </w:rPr>
      </w:pPr>
      <w:r w:rsidRPr="00FA38F9">
        <w:rPr>
          <w:rFonts w:ascii="Garamond" w:hAnsi="Garamond" w:cs="Times New Roman"/>
          <w:sz w:val="24"/>
          <w:szCs w:val="24"/>
          <w:lang w:val="sq-AL"/>
        </w:rPr>
        <w:t>h) një raport mbi nivelin e zbatimit të rekomandimeve dhe masave korrektuese të përcaktuara në bazë të rekomandimeve, si dhe arsyet e moszbatimit të tyre.</w:t>
      </w:r>
    </w:p>
    <w:p w14:paraId="6FF119D2" w14:textId="77777777" w:rsidR="009E23AF" w:rsidRPr="00FA38F9" w:rsidRDefault="009E23AF" w:rsidP="009E23AF">
      <w:pPr>
        <w:spacing w:after="0" w:line="240" w:lineRule="auto"/>
        <w:ind w:firstLine="284"/>
        <w:jc w:val="center"/>
        <w:rPr>
          <w:rFonts w:ascii="Garamond" w:hAnsi="Garamond" w:cs="Times New Roman"/>
          <w:b/>
          <w:bCs/>
          <w:sz w:val="24"/>
          <w:szCs w:val="24"/>
          <w:lang w:val="sq-AL"/>
        </w:rPr>
      </w:pPr>
    </w:p>
    <w:p w14:paraId="0F7874EB" w14:textId="77777777" w:rsidR="009E23AF" w:rsidRPr="00FA38F9" w:rsidRDefault="009E23AF" w:rsidP="009E23AF">
      <w:pPr>
        <w:spacing w:after="0" w:line="240" w:lineRule="auto"/>
        <w:ind w:firstLine="284"/>
        <w:jc w:val="center"/>
        <w:rPr>
          <w:rFonts w:ascii="Garamond" w:hAnsi="Garamond" w:cs="Times New Roman"/>
          <w:b/>
          <w:bCs/>
          <w:sz w:val="24"/>
          <w:szCs w:val="24"/>
          <w:lang w:val="sq-AL"/>
        </w:rPr>
      </w:pPr>
      <w:r w:rsidRPr="00FA38F9">
        <w:rPr>
          <w:rFonts w:ascii="Garamond" w:hAnsi="Garamond" w:cs="Times New Roman"/>
          <w:b/>
          <w:bCs/>
          <w:sz w:val="24"/>
          <w:szCs w:val="24"/>
          <w:lang w:val="sq-AL"/>
        </w:rPr>
        <w:t>Neni 11</w:t>
      </w:r>
    </w:p>
    <w:p w14:paraId="1B2A16F1" w14:textId="77777777" w:rsidR="009E23AF" w:rsidRPr="00FA38F9" w:rsidRDefault="009E23AF" w:rsidP="009E23AF">
      <w:pPr>
        <w:spacing w:after="0" w:line="240" w:lineRule="auto"/>
        <w:ind w:firstLine="284"/>
        <w:jc w:val="center"/>
        <w:rPr>
          <w:rFonts w:ascii="Garamond" w:hAnsi="Garamond" w:cs="Times New Roman"/>
          <w:bCs/>
          <w:sz w:val="24"/>
          <w:szCs w:val="24"/>
          <w:lang w:val="sq-AL"/>
        </w:rPr>
      </w:pPr>
      <w:r w:rsidRPr="00FA38F9">
        <w:rPr>
          <w:rFonts w:ascii="Garamond" w:hAnsi="Garamond" w:cs="Times New Roman"/>
          <w:bCs/>
          <w:sz w:val="24"/>
          <w:szCs w:val="24"/>
          <w:lang w:val="sq-AL"/>
        </w:rPr>
        <w:t>Funksioni i përputhshmërisë</w:t>
      </w:r>
    </w:p>
    <w:p w14:paraId="1DD336A0" w14:textId="77777777" w:rsidR="009E23AF" w:rsidRPr="00FA38F9" w:rsidRDefault="009E23AF" w:rsidP="009E23AF">
      <w:pPr>
        <w:spacing w:after="0" w:line="240" w:lineRule="auto"/>
        <w:ind w:firstLine="284"/>
        <w:jc w:val="center"/>
        <w:rPr>
          <w:rFonts w:ascii="Garamond" w:hAnsi="Garamond" w:cs="Times New Roman"/>
          <w:b/>
          <w:bCs/>
          <w:sz w:val="24"/>
          <w:szCs w:val="24"/>
          <w:lang w:val="sq-AL"/>
        </w:rPr>
      </w:pPr>
    </w:p>
    <w:p w14:paraId="38BEDE8A" w14:textId="29AC6FB5" w:rsidR="009E23AF" w:rsidRPr="00FA38F9" w:rsidRDefault="009E23AF" w:rsidP="009E23AF">
      <w:pPr>
        <w:tabs>
          <w:tab w:val="left" w:pos="0"/>
        </w:tabs>
        <w:spacing w:after="0" w:line="240" w:lineRule="auto"/>
        <w:ind w:firstLine="284"/>
        <w:jc w:val="both"/>
        <w:rPr>
          <w:rFonts w:ascii="Garamond" w:hAnsi="Garamond" w:cs="Times New Roman"/>
          <w:sz w:val="24"/>
          <w:szCs w:val="24"/>
          <w:lang w:val="sq-AL"/>
        </w:rPr>
      </w:pPr>
      <w:r w:rsidRPr="00FA38F9">
        <w:rPr>
          <w:rFonts w:ascii="Garamond" w:hAnsi="Garamond" w:cs="Times New Roman"/>
          <w:sz w:val="24"/>
          <w:szCs w:val="24"/>
          <w:lang w:val="sq-AL"/>
        </w:rPr>
        <w:t xml:space="preserve">1. Institucionet e parasë elektronike duhet të kenë një drejtues ekzekutiv që kryen funksionin e identifikimit, koordinimit dhe të administrimit të rrezikut të përputhshmërisë. </w:t>
      </w:r>
    </w:p>
    <w:p w14:paraId="0D6C1673" w14:textId="3F17B357" w:rsidR="009E23AF" w:rsidRPr="00FA38F9" w:rsidRDefault="009E23AF" w:rsidP="009E23AF">
      <w:pPr>
        <w:tabs>
          <w:tab w:val="left" w:pos="0"/>
        </w:tabs>
        <w:spacing w:after="0" w:line="240" w:lineRule="auto"/>
        <w:ind w:firstLine="284"/>
        <w:jc w:val="both"/>
        <w:rPr>
          <w:rFonts w:ascii="Garamond" w:hAnsi="Garamond" w:cs="Times New Roman"/>
          <w:sz w:val="24"/>
          <w:szCs w:val="24"/>
          <w:lang w:val="sq-AL"/>
        </w:rPr>
      </w:pPr>
      <w:r w:rsidRPr="00FA38F9">
        <w:rPr>
          <w:rFonts w:ascii="Garamond" w:hAnsi="Garamond" w:cs="Times New Roman"/>
          <w:sz w:val="24"/>
          <w:szCs w:val="24"/>
          <w:lang w:val="sq-AL"/>
        </w:rPr>
        <w:t>2. Struktura/njësia e përputhshmërisë është e pavarur nga linjat e biznesit dhe nga njësitë e brendshme që kontrollon dhe ka autoritetin, reputacionin dhe burimet e mjaftueshme.</w:t>
      </w:r>
    </w:p>
    <w:p w14:paraId="06A5E3BE" w14:textId="5F3F3D00" w:rsidR="009E23AF" w:rsidRPr="00FA38F9" w:rsidRDefault="009E23AF" w:rsidP="009E23AF">
      <w:pPr>
        <w:tabs>
          <w:tab w:val="left" w:pos="0"/>
        </w:tabs>
        <w:spacing w:after="0" w:line="240" w:lineRule="auto"/>
        <w:ind w:firstLine="284"/>
        <w:jc w:val="both"/>
        <w:rPr>
          <w:rFonts w:ascii="Garamond" w:hAnsi="Garamond" w:cs="Times New Roman"/>
          <w:sz w:val="24"/>
          <w:szCs w:val="24"/>
          <w:lang w:val="sq-AL"/>
        </w:rPr>
      </w:pPr>
      <w:r w:rsidRPr="00FA38F9">
        <w:rPr>
          <w:rFonts w:ascii="Garamond" w:hAnsi="Garamond" w:cs="Times New Roman"/>
          <w:sz w:val="24"/>
          <w:szCs w:val="24"/>
          <w:lang w:val="sq-AL"/>
        </w:rPr>
        <w:t>3. Përgjegjësia kryesore e strukturës/njësisë që përmbush funksionin e përputhshmërisë së subjektit është të asistojë organet drejtuese të institucionit të parasë elektronike, në administrimin efektiv të rrezikut të përputhshmërisë.</w:t>
      </w:r>
    </w:p>
    <w:p w14:paraId="251E98B6" w14:textId="55CBA09A" w:rsidR="009E23AF" w:rsidRPr="00FA38F9" w:rsidRDefault="009E23AF" w:rsidP="009E23AF">
      <w:pPr>
        <w:tabs>
          <w:tab w:val="left" w:pos="0"/>
        </w:tabs>
        <w:spacing w:after="0" w:line="240" w:lineRule="auto"/>
        <w:ind w:firstLine="284"/>
        <w:jc w:val="both"/>
        <w:rPr>
          <w:rFonts w:ascii="Garamond" w:hAnsi="Garamond" w:cs="Times New Roman"/>
          <w:sz w:val="24"/>
          <w:szCs w:val="24"/>
          <w:lang w:val="sq-AL"/>
        </w:rPr>
      </w:pPr>
      <w:r w:rsidRPr="00FA38F9">
        <w:rPr>
          <w:rFonts w:ascii="Garamond" w:hAnsi="Garamond" w:cs="Times New Roman"/>
          <w:sz w:val="24"/>
          <w:szCs w:val="24"/>
          <w:lang w:val="sq-AL"/>
        </w:rPr>
        <w:t>4. Struktura/njësia e përputhshmërisë këshillon organet drejtuese të institucionit të parasë elektronike, lidhur me përputhshmërinë me ligjet, rregullat dhe standardet, duke i informuar ato në vazhdimësi mbi zhvillimet në këtë fushë, si dhe në veçanti kryen detyrat e mëposhtme:</w:t>
      </w:r>
    </w:p>
    <w:p w14:paraId="21D549CC" w14:textId="5D1378F3" w:rsidR="009E23AF" w:rsidRPr="00FA38F9" w:rsidRDefault="009E23AF" w:rsidP="009E23AF">
      <w:pPr>
        <w:pStyle w:val="ListParagraph"/>
        <w:spacing w:after="0" w:line="240" w:lineRule="auto"/>
        <w:ind w:left="0" w:firstLine="284"/>
        <w:jc w:val="both"/>
        <w:rPr>
          <w:rFonts w:ascii="Garamond" w:hAnsi="Garamond" w:cs="Times New Roman"/>
          <w:sz w:val="24"/>
          <w:szCs w:val="24"/>
          <w:lang w:val="sq-AL"/>
        </w:rPr>
      </w:pPr>
      <w:r w:rsidRPr="00FA38F9">
        <w:rPr>
          <w:rFonts w:ascii="Garamond" w:hAnsi="Garamond" w:cs="Times New Roman"/>
          <w:lang w:val="sq-AL"/>
        </w:rPr>
        <w:t xml:space="preserve">a) </w:t>
      </w:r>
      <w:r w:rsidRPr="00FA38F9">
        <w:rPr>
          <w:rFonts w:ascii="Garamond" w:hAnsi="Garamond" w:cs="Times New Roman"/>
          <w:sz w:val="24"/>
          <w:szCs w:val="24"/>
          <w:lang w:val="sq-AL"/>
        </w:rPr>
        <w:t>edukimin dhe trajnimin e personelit për çështjet e përputhshmërisë, duke shërbyer edhe si pikë kontakti brenda subjektit për çështje apo pyetje të personelit lidhur me përputhshmërinë;</w:t>
      </w:r>
    </w:p>
    <w:p w14:paraId="0E7CDC1F" w14:textId="4BC19099" w:rsidR="009E23AF" w:rsidRPr="00FA38F9" w:rsidRDefault="009E23AF" w:rsidP="009E23AF">
      <w:pPr>
        <w:spacing w:after="0" w:line="240" w:lineRule="auto"/>
        <w:ind w:firstLine="284"/>
        <w:jc w:val="both"/>
        <w:rPr>
          <w:rFonts w:ascii="Garamond" w:hAnsi="Garamond" w:cs="Times New Roman"/>
          <w:sz w:val="24"/>
          <w:szCs w:val="24"/>
          <w:lang w:val="sq-AL"/>
        </w:rPr>
      </w:pPr>
      <w:r w:rsidRPr="00FA38F9">
        <w:rPr>
          <w:rFonts w:ascii="Garamond" w:hAnsi="Garamond" w:cs="Times New Roman"/>
          <w:lang w:val="sq-AL"/>
        </w:rPr>
        <w:t xml:space="preserve">b) </w:t>
      </w:r>
      <w:r w:rsidRPr="00FA38F9">
        <w:rPr>
          <w:rFonts w:ascii="Garamond" w:hAnsi="Garamond" w:cs="Times New Roman"/>
          <w:sz w:val="24"/>
          <w:szCs w:val="24"/>
          <w:lang w:val="sq-AL"/>
        </w:rPr>
        <w:t>hartimin e udhëzimeve të brendshme për zbatimin e ligjeve, të rregulloreve dhe të standardeve</w:t>
      </w:r>
      <w:r w:rsidRPr="00FA38F9">
        <w:rPr>
          <w:rFonts w:ascii="Garamond" w:hAnsi="Garamond"/>
          <w:sz w:val="24"/>
          <w:szCs w:val="24"/>
          <w:lang w:val="sq-AL"/>
        </w:rPr>
        <w:t>,</w:t>
      </w:r>
      <w:r w:rsidRPr="00FA38F9">
        <w:rPr>
          <w:rFonts w:ascii="Garamond" w:hAnsi="Garamond" w:cs="Times New Roman"/>
          <w:sz w:val="24"/>
          <w:szCs w:val="24"/>
          <w:lang w:val="sq-AL"/>
        </w:rPr>
        <w:t xml:space="preserve"> nëpërmjet politikave dhe procedurave apo dokumenteve të tjera, si manualet e përputhshmërisë, kodet e brendshme të etikës dhe udhëzimet praktike;</w:t>
      </w:r>
    </w:p>
    <w:p w14:paraId="67154FE6" w14:textId="1B9C7D21" w:rsidR="009E23AF" w:rsidRPr="00FA38F9" w:rsidRDefault="009E23AF" w:rsidP="009E23AF">
      <w:pPr>
        <w:spacing w:after="0" w:line="240" w:lineRule="auto"/>
        <w:ind w:firstLine="284"/>
        <w:jc w:val="both"/>
        <w:rPr>
          <w:rFonts w:ascii="Garamond" w:hAnsi="Garamond" w:cs="Times New Roman"/>
          <w:sz w:val="24"/>
          <w:szCs w:val="24"/>
          <w:lang w:val="sq-AL"/>
        </w:rPr>
      </w:pPr>
      <w:r w:rsidRPr="00FA38F9">
        <w:rPr>
          <w:rFonts w:ascii="Garamond" w:hAnsi="Garamond" w:cs="Times New Roman"/>
          <w:lang w:val="sq-AL"/>
        </w:rPr>
        <w:t xml:space="preserve">c) </w:t>
      </w:r>
      <w:r w:rsidRPr="00FA38F9">
        <w:rPr>
          <w:rFonts w:ascii="Garamond" w:hAnsi="Garamond" w:cs="Times New Roman"/>
          <w:sz w:val="24"/>
          <w:szCs w:val="24"/>
          <w:lang w:val="sq-AL"/>
        </w:rPr>
        <w:t>identifikimin, dokumentimin dhe vlerësimin e rreziqeve të përputhshmërisë në veprimtarinë e institucionit të parasë elektronike, duke përfshirë produktet dhe praktikat e reja, tipet e linjave të reja të propozuara të veprimtarisë ose të marrëdhënieve me klientët dhe ndryshimet e rëndësishme në këto marrëdhënie;</w:t>
      </w:r>
    </w:p>
    <w:p w14:paraId="37A72510" w14:textId="0A99A0F9" w:rsidR="009E23AF" w:rsidRPr="00FA38F9" w:rsidRDefault="009E23AF" w:rsidP="009E23AF">
      <w:pPr>
        <w:spacing w:after="0" w:line="240" w:lineRule="auto"/>
        <w:ind w:firstLine="284"/>
        <w:jc w:val="both"/>
        <w:rPr>
          <w:rFonts w:ascii="Garamond" w:hAnsi="Garamond" w:cs="Times New Roman"/>
          <w:sz w:val="24"/>
          <w:szCs w:val="24"/>
          <w:lang w:val="sq-AL"/>
        </w:rPr>
      </w:pPr>
      <w:r w:rsidRPr="00FA38F9">
        <w:rPr>
          <w:rFonts w:ascii="Garamond" w:hAnsi="Garamond" w:cs="Times New Roman"/>
          <w:lang w:val="sq-AL"/>
        </w:rPr>
        <w:t xml:space="preserve">d) </w:t>
      </w:r>
      <w:r w:rsidRPr="00FA38F9">
        <w:rPr>
          <w:rFonts w:ascii="Garamond" w:hAnsi="Garamond" w:cs="Times New Roman"/>
          <w:sz w:val="24"/>
          <w:szCs w:val="24"/>
          <w:lang w:val="sq-AL"/>
        </w:rPr>
        <w:t>vlerësimin e ndikimit të mundshëm të çdo ndryshimi ligjor dhe rregullativ në veprimtarinë e institucionit të parasë elektronike dhe në kuadrin e përputhshmërisë;</w:t>
      </w:r>
    </w:p>
    <w:p w14:paraId="2245AFFB" w14:textId="055027BA" w:rsidR="009E23AF" w:rsidRPr="00FA38F9" w:rsidRDefault="009E23AF" w:rsidP="009E23AF">
      <w:pPr>
        <w:spacing w:after="0" w:line="240" w:lineRule="auto"/>
        <w:ind w:firstLine="284"/>
        <w:jc w:val="both"/>
        <w:rPr>
          <w:rFonts w:ascii="Garamond" w:hAnsi="Garamond" w:cs="Times New Roman"/>
          <w:sz w:val="24"/>
          <w:szCs w:val="24"/>
          <w:lang w:val="sq-AL"/>
        </w:rPr>
      </w:pPr>
      <w:r w:rsidRPr="00FA38F9">
        <w:rPr>
          <w:rFonts w:ascii="Garamond" w:hAnsi="Garamond" w:cs="Times New Roman"/>
          <w:lang w:val="sq-AL"/>
        </w:rPr>
        <w:t xml:space="preserve">e) </w:t>
      </w:r>
      <w:r w:rsidRPr="00FA38F9">
        <w:rPr>
          <w:rFonts w:ascii="Garamond" w:hAnsi="Garamond" w:cs="Times New Roman"/>
          <w:sz w:val="24"/>
          <w:szCs w:val="24"/>
          <w:lang w:val="sq-AL"/>
        </w:rPr>
        <w:t xml:space="preserve">matjen e rrezikut të përputhshmërisë duke përdorur treguesit e performancës (të tillë si rritja e numrit të ankesave të klientëve, parregullsitë në pagesa etj.), me qëllim vlerësimin e këtij rreziku; </w:t>
      </w:r>
    </w:p>
    <w:p w14:paraId="667CE980" w14:textId="6F3830F6" w:rsidR="009E23AF" w:rsidRPr="00FA38F9" w:rsidRDefault="009E23AF" w:rsidP="009E23AF">
      <w:pPr>
        <w:spacing w:after="0" w:line="240" w:lineRule="auto"/>
        <w:ind w:firstLine="284"/>
        <w:jc w:val="both"/>
        <w:rPr>
          <w:rFonts w:ascii="Garamond" w:hAnsi="Garamond" w:cs="Times New Roman"/>
          <w:sz w:val="24"/>
          <w:szCs w:val="24"/>
          <w:lang w:val="sq-AL"/>
        </w:rPr>
      </w:pPr>
      <w:r w:rsidRPr="00FA38F9">
        <w:rPr>
          <w:rFonts w:ascii="Garamond" w:hAnsi="Garamond" w:cs="Times New Roman"/>
          <w:lang w:val="sq-AL"/>
        </w:rPr>
        <w:t xml:space="preserve">f) </w:t>
      </w:r>
      <w:r w:rsidRPr="00FA38F9">
        <w:rPr>
          <w:rFonts w:ascii="Garamond" w:hAnsi="Garamond" w:cs="Times New Roman"/>
          <w:sz w:val="24"/>
          <w:szCs w:val="24"/>
          <w:lang w:val="sq-AL"/>
        </w:rPr>
        <w:t xml:space="preserve">vlerësimin e përshtatshmërisë së procedurave dhe rregulloreve të përputhshmërisë, si dhe vlerësimin e mangësive të identifikuara, duke mundësuar edhe propozime për amendime; </w:t>
      </w:r>
    </w:p>
    <w:p w14:paraId="6116D1FA" w14:textId="0014BD61" w:rsidR="009E23AF" w:rsidRPr="00FA38F9" w:rsidRDefault="009E23AF" w:rsidP="009E23AF">
      <w:pPr>
        <w:spacing w:after="0" w:line="240" w:lineRule="auto"/>
        <w:ind w:firstLine="284"/>
        <w:jc w:val="both"/>
        <w:rPr>
          <w:rFonts w:ascii="Garamond" w:hAnsi="Garamond" w:cs="Times New Roman"/>
          <w:sz w:val="24"/>
          <w:szCs w:val="24"/>
          <w:lang w:val="sq-AL"/>
        </w:rPr>
      </w:pPr>
      <w:r w:rsidRPr="00FA38F9">
        <w:rPr>
          <w:rFonts w:ascii="Garamond" w:hAnsi="Garamond" w:cs="Times New Roman"/>
          <w:lang w:val="sq-AL"/>
        </w:rPr>
        <w:t xml:space="preserve">g) </w:t>
      </w:r>
      <w:r w:rsidRPr="00FA38F9">
        <w:rPr>
          <w:rFonts w:ascii="Garamond" w:hAnsi="Garamond" w:cs="Times New Roman"/>
          <w:sz w:val="24"/>
          <w:szCs w:val="24"/>
          <w:lang w:val="sq-AL"/>
        </w:rPr>
        <w:t>monitorimin, testimin dhe raportimin e rezultateve nga testimi i mjaftueshmërisë së përputhshmërisë, sipas procedurave të sistemit të brendshëm të administrimit të rrezikut, duke evidentuar edhe ndryshimet në profilin e rrezikut të përputhshmërisë, mbështetur në treguesit e performancës, shkeljeve dhe/ose mangësive të identifikuara dhe të masave korrigjuese të ndërmarra;</w:t>
      </w:r>
    </w:p>
    <w:p w14:paraId="43825509" w14:textId="60819DC4" w:rsidR="009E23AF" w:rsidRPr="00FA38F9" w:rsidRDefault="009E23AF" w:rsidP="009E23AF">
      <w:pPr>
        <w:spacing w:after="0" w:line="240" w:lineRule="auto"/>
        <w:ind w:firstLine="284"/>
        <w:jc w:val="both"/>
        <w:rPr>
          <w:rFonts w:ascii="Garamond" w:hAnsi="Garamond" w:cs="Times New Roman"/>
          <w:sz w:val="24"/>
          <w:szCs w:val="24"/>
          <w:lang w:val="sq-AL"/>
        </w:rPr>
      </w:pPr>
      <w:r w:rsidRPr="00FA38F9">
        <w:rPr>
          <w:rFonts w:ascii="Garamond" w:hAnsi="Garamond" w:cs="Times New Roman"/>
          <w:lang w:val="sq-AL"/>
        </w:rPr>
        <w:t xml:space="preserve">h) </w:t>
      </w:r>
      <w:r w:rsidRPr="00FA38F9">
        <w:rPr>
          <w:rFonts w:ascii="Garamond" w:hAnsi="Garamond" w:cs="Times New Roman"/>
          <w:sz w:val="24"/>
          <w:szCs w:val="24"/>
          <w:lang w:val="sq-AL"/>
        </w:rPr>
        <w:t>krijimin e një kulture inkurajuese dhe të përshtatshme për sinjalizimin nga ana e punonjësve të institucionit të parasë elektronike, të mospërputhshmërisë me rregullat, procedurat, operacionet etj. duke siguruar njëkohësisht konfidencialitetin dhe mbrojtjen e këtyre të fundit (punonjësve).</w:t>
      </w:r>
    </w:p>
    <w:p w14:paraId="7A0525B7" w14:textId="5A4E71B9" w:rsidR="009E23AF" w:rsidRPr="00FA38F9" w:rsidRDefault="009E23AF" w:rsidP="009E23AF">
      <w:pPr>
        <w:tabs>
          <w:tab w:val="left" w:pos="0"/>
        </w:tabs>
        <w:spacing w:after="0" w:line="240" w:lineRule="auto"/>
        <w:ind w:firstLine="284"/>
        <w:jc w:val="both"/>
        <w:rPr>
          <w:rFonts w:ascii="Garamond" w:hAnsi="Garamond" w:cs="Times New Roman"/>
          <w:sz w:val="24"/>
          <w:szCs w:val="24"/>
          <w:lang w:val="sq-AL"/>
        </w:rPr>
      </w:pPr>
      <w:r w:rsidRPr="00FA38F9">
        <w:rPr>
          <w:rFonts w:ascii="Garamond" w:hAnsi="Garamond" w:cs="Times New Roman"/>
          <w:sz w:val="24"/>
          <w:szCs w:val="24"/>
          <w:lang w:val="sq-AL"/>
        </w:rPr>
        <w:t xml:space="preserve">5. Struktura/njësia e përputhshmërisë mund të kryejë dhe detyra të tjera të veçanta, në kuadër të përmbushjes së detyrimeve ligjore të subjektit (të tilla si ato të parandalimit të pastrimit të parave etj.), si dhe mban lidhje me Bankën e Shqipërisë dhe/ose autoritete të tjera të mbikëqyrjes së veprimtarisë financiare, audituesin ligjor ose shoqërinë e auditimit etj. </w:t>
      </w:r>
    </w:p>
    <w:p w14:paraId="3284C974" w14:textId="213F7FE7" w:rsidR="009E23AF" w:rsidRPr="00FA38F9" w:rsidRDefault="009E23AF" w:rsidP="009E23AF">
      <w:pPr>
        <w:tabs>
          <w:tab w:val="left" w:pos="0"/>
        </w:tabs>
        <w:spacing w:after="0" w:line="240" w:lineRule="auto"/>
        <w:ind w:firstLine="284"/>
        <w:jc w:val="both"/>
        <w:rPr>
          <w:rFonts w:ascii="Garamond" w:hAnsi="Garamond" w:cs="Times New Roman"/>
          <w:sz w:val="24"/>
          <w:szCs w:val="24"/>
          <w:lang w:val="sq-AL"/>
        </w:rPr>
      </w:pPr>
      <w:r w:rsidRPr="00FA38F9">
        <w:rPr>
          <w:rFonts w:ascii="Garamond" w:hAnsi="Garamond" w:cs="Times New Roman"/>
          <w:sz w:val="24"/>
          <w:szCs w:val="24"/>
          <w:lang w:val="sq-AL"/>
        </w:rPr>
        <w:t xml:space="preserve">6. Struktura/njësia e përputhshmërisë kryen detyrat e përcaktuara në këtë rregullore dhe në aktet rregullative të institucionit të parasë elektronike, mbështetur në një program pune që përcakton aktivitetet e planifikuara, të tilla si zbatimi dhe rishikimi i politikave, procedurave të veçanta të rrezikut të përputhshmërisë, vlerësimet, testet e përputhshmërisë dhe edukimin e trajnimin e personelit për çështje të përputhshmërisë. </w:t>
      </w:r>
    </w:p>
    <w:p w14:paraId="2B31373E" w14:textId="5F831D2E" w:rsidR="009E23AF" w:rsidRPr="00FA38F9" w:rsidRDefault="009E23AF" w:rsidP="009E23AF">
      <w:pPr>
        <w:tabs>
          <w:tab w:val="left" w:pos="0"/>
        </w:tabs>
        <w:spacing w:after="0" w:line="240" w:lineRule="auto"/>
        <w:ind w:firstLine="284"/>
        <w:jc w:val="both"/>
        <w:rPr>
          <w:rFonts w:ascii="Garamond" w:hAnsi="Garamond" w:cs="Times New Roman"/>
          <w:sz w:val="24"/>
          <w:szCs w:val="24"/>
          <w:lang w:val="sq-AL"/>
        </w:rPr>
      </w:pPr>
      <w:r w:rsidRPr="00FA38F9">
        <w:rPr>
          <w:rFonts w:ascii="Garamond" w:hAnsi="Garamond" w:cs="Times New Roman"/>
          <w:sz w:val="24"/>
          <w:szCs w:val="24"/>
          <w:lang w:val="sq-AL"/>
        </w:rPr>
        <w:t>7. Programi i strukturës/njësisë së përputhshmërisë duhet të jetë i bazuar te rreziku dhe duhet të rishikohet në mënyrë të vazhdueshme, me qëllim që të sigurohet që ky program mbulon të gjitha linjat e biznesit/veprimtarisë së subjektit dhe siguron koordinimin midis funksioneve të administrimit të rrezikut.</w:t>
      </w:r>
    </w:p>
    <w:p w14:paraId="1A20FFAC" w14:textId="77777777" w:rsidR="009E23AF" w:rsidRPr="00FA38F9" w:rsidRDefault="009E23AF" w:rsidP="009E23AF">
      <w:pPr>
        <w:tabs>
          <w:tab w:val="center" w:pos="4680"/>
          <w:tab w:val="left" w:pos="5440"/>
        </w:tabs>
        <w:spacing w:after="0" w:line="240" w:lineRule="auto"/>
        <w:ind w:firstLine="284"/>
        <w:jc w:val="center"/>
        <w:rPr>
          <w:rFonts w:ascii="Garamond" w:hAnsi="Garamond" w:cs="Times New Roman"/>
          <w:b/>
          <w:bCs/>
          <w:sz w:val="24"/>
          <w:szCs w:val="24"/>
          <w:lang w:val="sq-AL"/>
        </w:rPr>
      </w:pPr>
    </w:p>
    <w:p w14:paraId="7EFD1B29" w14:textId="77777777" w:rsidR="009E23AF" w:rsidRPr="00FA38F9" w:rsidRDefault="009E23AF" w:rsidP="009E23AF">
      <w:pPr>
        <w:tabs>
          <w:tab w:val="center" w:pos="4680"/>
          <w:tab w:val="left" w:pos="5440"/>
        </w:tabs>
        <w:spacing w:after="0" w:line="240" w:lineRule="auto"/>
        <w:ind w:firstLine="284"/>
        <w:jc w:val="center"/>
        <w:rPr>
          <w:rFonts w:ascii="Garamond" w:hAnsi="Garamond" w:cs="Times New Roman"/>
          <w:bCs/>
          <w:sz w:val="24"/>
          <w:szCs w:val="24"/>
          <w:lang w:val="sq-AL"/>
        </w:rPr>
      </w:pPr>
      <w:r w:rsidRPr="00FA38F9">
        <w:rPr>
          <w:rFonts w:ascii="Garamond" w:hAnsi="Garamond" w:cs="Times New Roman"/>
          <w:bCs/>
          <w:sz w:val="24"/>
          <w:szCs w:val="24"/>
          <w:lang w:val="sq-AL"/>
        </w:rPr>
        <w:t>KREU IV</w:t>
      </w:r>
    </w:p>
    <w:p w14:paraId="4F07DE24" w14:textId="77777777" w:rsidR="009E23AF" w:rsidRPr="00FA38F9" w:rsidRDefault="009E23AF" w:rsidP="009E23AF">
      <w:pPr>
        <w:spacing w:after="0" w:line="240" w:lineRule="auto"/>
        <w:ind w:firstLine="284"/>
        <w:jc w:val="center"/>
        <w:rPr>
          <w:rFonts w:ascii="Garamond" w:hAnsi="Garamond" w:cs="Times New Roman"/>
          <w:bCs/>
          <w:sz w:val="24"/>
          <w:szCs w:val="24"/>
          <w:lang w:val="sq-AL"/>
        </w:rPr>
      </w:pPr>
      <w:r w:rsidRPr="00FA38F9">
        <w:rPr>
          <w:rFonts w:ascii="Garamond" w:hAnsi="Garamond" w:cs="Times New Roman"/>
          <w:bCs/>
          <w:sz w:val="24"/>
          <w:szCs w:val="24"/>
          <w:lang w:val="sq-AL"/>
        </w:rPr>
        <w:t xml:space="preserve">KËRKESAT PËR KAPITAL, MBROJTJA E FONDEVE DHE ADMINISTRIMI I RREZIQEVE </w:t>
      </w:r>
    </w:p>
    <w:p w14:paraId="7BE1FACB" w14:textId="77777777" w:rsidR="009E23AF" w:rsidRPr="00FA38F9" w:rsidRDefault="009E23AF" w:rsidP="009E23AF">
      <w:pPr>
        <w:spacing w:after="0" w:line="240" w:lineRule="auto"/>
        <w:ind w:firstLine="284"/>
        <w:jc w:val="center"/>
        <w:rPr>
          <w:rFonts w:ascii="Garamond" w:hAnsi="Garamond" w:cs="Times New Roman"/>
          <w:sz w:val="24"/>
          <w:szCs w:val="24"/>
          <w:lang w:val="sq-AL"/>
        </w:rPr>
      </w:pPr>
    </w:p>
    <w:p w14:paraId="275F3748" w14:textId="77777777" w:rsidR="009E23AF" w:rsidRPr="00FA38F9" w:rsidRDefault="009E23AF" w:rsidP="009E23AF">
      <w:pPr>
        <w:spacing w:after="0" w:line="240" w:lineRule="auto"/>
        <w:ind w:firstLine="284"/>
        <w:jc w:val="center"/>
        <w:rPr>
          <w:rFonts w:ascii="Garamond" w:hAnsi="Garamond" w:cs="Times New Roman"/>
          <w:sz w:val="24"/>
          <w:szCs w:val="24"/>
          <w:lang w:val="sq-AL"/>
        </w:rPr>
      </w:pPr>
      <w:r w:rsidRPr="00FA38F9">
        <w:rPr>
          <w:rFonts w:ascii="Garamond" w:hAnsi="Garamond" w:cs="Times New Roman"/>
          <w:sz w:val="24"/>
          <w:szCs w:val="24"/>
          <w:lang w:val="sq-AL"/>
        </w:rPr>
        <w:t>NËNKREU I</w:t>
      </w:r>
    </w:p>
    <w:p w14:paraId="0AD8909D" w14:textId="77777777" w:rsidR="009E23AF" w:rsidRPr="00FA38F9" w:rsidRDefault="009E23AF" w:rsidP="009E23AF">
      <w:pPr>
        <w:spacing w:after="0" w:line="240" w:lineRule="auto"/>
        <w:ind w:firstLine="284"/>
        <w:jc w:val="center"/>
        <w:rPr>
          <w:rFonts w:ascii="Garamond" w:hAnsi="Garamond" w:cs="Times New Roman"/>
          <w:sz w:val="24"/>
          <w:szCs w:val="24"/>
          <w:lang w:val="sq-AL"/>
        </w:rPr>
      </w:pPr>
      <w:r w:rsidRPr="00FA38F9">
        <w:rPr>
          <w:rFonts w:ascii="Garamond" w:hAnsi="Garamond" w:cs="Times New Roman"/>
          <w:sz w:val="24"/>
          <w:szCs w:val="24"/>
          <w:lang w:val="sq-AL"/>
        </w:rPr>
        <w:t>MJAFTUESHMËRIA E KAPITALIT</w:t>
      </w:r>
    </w:p>
    <w:p w14:paraId="31308724" w14:textId="77777777" w:rsidR="009E23AF" w:rsidRPr="00FA38F9" w:rsidRDefault="009E23AF" w:rsidP="009E23AF">
      <w:pPr>
        <w:spacing w:after="0" w:line="240" w:lineRule="auto"/>
        <w:ind w:firstLine="284"/>
        <w:jc w:val="center"/>
        <w:rPr>
          <w:rFonts w:ascii="Garamond" w:hAnsi="Garamond" w:cs="Times New Roman"/>
          <w:bCs/>
          <w:sz w:val="24"/>
          <w:szCs w:val="24"/>
          <w:lang w:val="sq-AL"/>
        </w:rPr>
      </w:pPr>
    </w:p>
    <w:p w14:paraId="2DBD3B15" w14:textId="77777777" w:rsidR="009E23AF" w:rsidRPr="00FA38F9" w:rsidRDefault="009E23AF" w:rsidP="009E23AF">
      <w:pPr>
        <w:spacing w:after="0" w:line="240" w:lineRule="auto"/>
        <w:ind w:firstLine="284"/>
        <w:jc w:val="center"/>
        <w:rPr>
          <w:rFonts w:ascii="Garamond" w:hAnsi="Garamond" w:cs="Times New Roman"/>
          <w:bCs/>
          <w:sz w:val="24"/>
          <w:szCs w:val="24"/>
          <w:lang w:val="sq-AL"/>
        </w:rPr>
      </w:pPr>
      <w:r w:rsidRPr="00FA38F9">
        <w:rPr>
          <w:rFonts w:ascii="Garamond" w:hAnsi="Garamond" w:cs="Times New Roman"/>
          <w:bCs/>
          <w:sz w:val="24"/>
          <w:szCs w:val="24"/>
          <w:lang w:val="sq-AL"/>
        </w:rPr>
        <w:t xml:space="preserve">Neni 12 </w:t>
      </w:r>
    </w:p>
    <w:p w14:paraId="4F9067A6" w14:textId="77777777" w:rsidR="009E23AF" w:rsidRPr="00FA38F9" w:rsidRDefault="009E23AF" w:rsidP="009E23AF">
      <w:pPr>
        <w:spacing w:after="0" w:line="240" w:lineRule="auto"/>
        <w:ind w:firstLine="284"/>
        <w:jc w:val="center"/>
        <w:rPr>
          <w:rFonts w:ascii="Garamond" w:hAnsi="Garamond" w:cs="Times New Roman"/>
          <w:b/>
          <w:bCs/>
          <w:sz w:val="24"/>
          <w:szCs w:val="24"/>
          <w:lang w:val="sq-AL"/>
        </w:rPr>
      </w:pPr>
      <w:r w:rsidRPr="00FA38F9">
        <w:rPr>
          <w:rFonts w:ascii="Garamond" w:hAnsi="Garamond" w:cs="Times New Roman"/>
          <w:b/>
          <w:bCs/>
          <w:sz w:val="24"/>
          <w:szCs w:val="24"/>
          <w:lang w:val="sq-AL"/>
        </w:rPr>
        <w:t>Kërkesa të përgjithshme për kapitalin e institucionit të parasë elektronike</w:t>
      </w:r>
    </w:p>
    <w:p w14:paraId="4AE34D2D" w14:textId="77777777" w:rsidR="009E23AF" w:rsidRPr="00FA38F9" w:rsidRDefault="009E23AF" w:rsidP="009E23AF">
      <w:pPr>
        <w:spacing w:after="0" w:line="240" w:lineRule="auto"/>
        <w:ind w:firstLine="284"/>
        <w:jc w:val="center"/>
        <w:rPr>
          <w:rFonts w:ascii="Garamond" w:hAnsi="Garamond" w:cs="Times New Roman"/>
          <w:b/>
          <w:bCs/>
          <w:sz w:val="24"/>
          <w:szCs w:val="24"/>
          <w:lang w:val="sq-AL"/>
        </w:rPr>
      </w:pPr>
    </w:p>
    <w:p w14:paraId="71E52F08" w14:textId="739CD550" w:rsidR="009E23AF" w:rsidRPr="00FA38F9" w:rsidRDefault="009E23AF" w:rsidP="009E23AF">
      <w:pPr>
        <w:pStyle w:val="ListParagraph"/>
        <w:spacing w:after="0" w:line="240" w:lineRule="auto"/>
        <w:ind w:left="0" w:firstLine="284"/>
        <w:jc w:val="both"/>
        <w:rPr>
          <w:rFonts w:ascii="Garamond" w:hAnsi="Garamond" w:cs="Times New Roman"/>
          <w:sz w:val="24"/>
          <w:szCs w:val="24"/>
          <w:lang w:val="sq-AL"/>
        </w:rPr>
      </w:pPr>
      <w:r w:rsidRPr="00FA38F9">
        <w:rPr>
          <w:rFonts w:ascii="Garamond" w:hAnsi="Garamond" w:cs="Times New Roman"/>
          <w:sz w:val="24"/>
          <w:szCs w:val="24"/>
          <w:lang w:val="sq-AL"/>
        </w:rPr>
        <w:t xml:space="preserve">1. Institucioni i parasë elektronike siguron nivele të mjaftueshme të kapitalit, për ushtrimin e veprimtarisë të sigurt dhe të qëndrueshme, si dhe për përmbushjen e detyrimeve të tij gjatë ushtrimit të kësaj veprimtarie. </w:t>
      </w:r>
    </w:p>
    <w:p w14:paraId="004A3D0C" w14:textId="209665A0" w:rsidR="009E23AF" w:rsidRPr="00FA38F9" w:rsidRDefault="009E23AF" w:rsidP="009E23AF">
      <w:pPr>
        <w:pStyle w:val="ListParagraph"/>
        <w:spacing w:after="0" w:line="240" w:lineRule="auto"/>
        <w:ind w:left="0" w:firstLine="284"/>
        <w:jc w:val="both"/>
        <w:rPr>
          <w:rFonts w:ascii="Garamond" w:hAnsi="Garamond" w:cs="Times New Roman"/>
          <w:sz w:val="24"/>
          <w:szCs w:val="24"/>
          <w:lang w:val="sq-AL"/>
        </w:rPr>
      </w:pPr>
      <w:r w:rsidRPr="00FA38F9">
        <w:rPr>
          <w:rFonts w:ascii="Garamond" w:hAnsi="Garamond" w:cs="Times New Roman"/>
          <w:sz w:val="24"/>
          <w:szCs w:val="24"/>
          <w:lang w:val="sq-AL"/>
        </w:rPr>
        <w:t xml:space="preserve">2. Kapitali rregullator i institucionit të parasë elektronike, në çdo kohë, nuk mund të bjerë nën shumën e kapitalit fillestar minimal të përcaktuar sipas kërkesave të parashikuara në rregulloren “Për licencimin e institucioneve të pagesave dhe institucioneve të parasë elektronike, si dhe për regjistrimin e ofruesve të shërbimeve të pagesave”, ose nën shumën e kërkesës për kapital rregullator të llogaritur në përputhje me nenin 14 të kësaj rregulloreje, cilado të jetë më e lartë.  </w:t>
      </w:r>
    </w:p>
    <w:p w14:paraId="3B14A1A5" w14:textId="65CA8916" w:rsidR="009E23AF" w:rsidRPr="00FA38F9" w:rsidRDefault="009E23AF" w:rsidP="009E23AF">
      <w:pPr>
        <w:pStyle w:val="ListParagraph"/>
        <w:spacing w:after="0" w:line="240" w:lineRule="auto"/>
        <w:ind w:left="0" w:firstLine="284"/>
        <w:jc w:val="both"/>
        <w:rPr>
          <w:rFonts w:ascii="Garamond" w:hAnsi="Garamond" w:cs="Times New Roman"/>
          <w:sz w:val="24"/>
          <w:szCs w:val="24"/>
          <w:lang w:val="sq-AL"/>
        </w:rPr>
      </w:pPr>
      <w:r w:rsidRPr="00FA38F9">
        <w:rPr>
          <w:rFonts w:ascii="Garamond" w:hAnsi="Garamond" w:cs="Times New Roman"/>
          <w:sz w:val="24"/>
          <w:szCs w:val="24"/>
          <w:lang w:val="sq-AL"/>
        </w:rPr>
        <w:t>3. Në rast se kapitali rregullator i institucionit të parasë elektronike bie nën kufijtë e përcaktuar në pikën 2 të këtij neni, institucioni raporton menjëherë në Bankën e Shqipërisë, e cila përcakton masat e nevojshme dhe kohën për të rivendosur kapitalin brenda kufijve të mësipërm.</w:t>
      </w:r>
    </w:p>
    <w:p w14:paraId="2189F7D5" w14:textId="01760AC0" w:rsidR="009E23AF" w:rsidRPr="00FA38F9" w:rsidRDefault="009E23AF" w:rsidP="009E23AF">
      <w:pPr>
        <w:pStyle w:val="ListParagraph"/>
        <w:spacing w:after="0" w:line="240" w:lineRule="auto"/>
        <w:ind w:left="0" w:firstLine="284"/>
        <w:jc w:val="both"/>
        <w:rPr>
          <w:rFonts w:ascii="Garamond" w:hAnsi="Garamond"/>
          <w:sz w:val="24"/>
          <w:szCs w:val="24"/>
          <w:lang w:val="sq-AL"/>
        </w:rPr>
      </w:pPr>
      <w:r w:rsidRPr="00FA38F9">
        <w:rPr>
          <w:rFonts w:ascii="Garamond" w:hAnsi="Garamond" w:cs="Times New Roman"/>
          <w:sz w:val="24"/>
          <w:szCs w:val="24"/>
          <w:lang w:val="sq-AL"/>
        </w:rPr>
        <w:t>4. Në rastin kur institucioni i parasë elektronike jep kredi në lidhje me shërbimet e pagesave, shuma e përgjithshme e kredisë së dhënë, nuk cenon në asnjë rast kapitalin rregullator dhe përmbushjen e kërkesave mbikëqyrëse të Bankës së Shqipërisë.</w:t>
      </w:r>
    </w:p>
    <w:p w14:paraId="44F573C8" w14:textId="62E16998" w:rsidR="009E23AF" w:rsidRPr="00FA38F9" w:rsidRDefault="009E23AF" w:rsidP="009E23AF">
      <w:pPr>
        <w:pStyle w:val="ListParagraph"/>
        <w:spacing w:after="0" w:line="240" w:lineRule="auto"/>
        <w:ind w:left="0" w:firstLine="284"/>
        <w:jc w:val="both"/>
        <w:rPr>
          <w:rFonts w:ascii="Garamond" w:hAnsi="Garamond" w:cs="Times New Roman"/>
          <w:sz w:val="24"/>
          <w:szCs w:val="24"/>
          <w:lang w:val="sq-AL"/>
        </w:rPr>
      </w:pPr>
      <w:r w:rsidRPr="00FA38F9">
        <w:rPr>
          <w:rFonts w:ascii="Garamond" w:hAnsi="Garamond" w:cs="Times New Roman"/>
          <w:sz w:val="24"/>
          <w:szCs w:val="24"/>
          <w:lang w:val="sq-AL"/>
        </w:rPr>
        <w:t xml:space="preserve">5. Banka e Shqipërisë, bazuar në vlerësimin e proceseve të administrimit të rrezikut, të të dhënave mbi rrezikun e humbjeve dhe të mekanizmave të kontrollit të brendshëm të institucionit të parasë elektronike, mund të kërkojë në çdo rast nivele shtesë kapitali, deri në 20% (njëzet për qind) më të larta se kërkesa për kapital rregullator e llogaritur sipas përcaktimeve në nenin 14 të kësaj rregulloreje.  </w:t>
      </w:r>
    </w:p>
    <w:p w14:paraId="17678B7D" w14:textId="77777777" w:rsidR="009E23AF" w:rsidRPr="00FA38F9" w:rsidRDefault="009E23AF" w:rsidP="009E23AF">
      <w:pPr>
        <w:spacing w:after="0" w:line="240" w:lineRule="auto"/>
        <w:ind w:firstLine="284"/>
        <w:jc w:val="center"/>
        <w:rPr>
          <w:rFonts w:ascii="Garamond" w:hAnsi="Garamond" w:cs="Times New Roman"/>
          <w:b/>
          <w:bCs/>
          <w:sz w:val="24"/>
          <w:szCs w:val="24"/>
          <w:lang w:val="sq-AL"/>
        </w:rPr>
      </w:pPr>
    </w:p>
    <w:p w14:paraId="7A5EE6FD" w14:textId="77777777" w:rsidR="009E23AF" w:rsidRPr="00FA38F9" w:rsidRDefault="009E23AF" w:rsidP="009E23AF">
      <w:pPr>
        <w:spacing w:after="0" w:line="240" w:lineRule="auto"/>
        <w:ind w:firstLine="284"/>
        <w:jc w:val="center"/>
        <w:rPr>
          <w:rFonts w:ascii="Garamond" w:hAnsi="Garamond" w:cs="Times New Roman"/>
          <w:bCs/>
          <w:sz w:val="24"/>
          <w:szCs w:val="24"/>
          <w:lang w:val="sq-AL"/>
        </w:rPr>
      </w:pPr>
      <w:r w:rsidRPr="00FA38F9">
        <w:rPr>
          <w:rFonts w:ascii="Garamond" w:hAnsi="Garamond" w:cs="Times New Roman"/>
          <w:bCs/>
          <w:sz w:val="24"/>
          <w:szCs w:val="24"/>
          <w:lang w:val="sq-AL"/>
        </w:rPr>
        <w:t xml:space="preserve">Neni 13 </w:t>
      </w:r>
    </w:p>
    <w:p w14:paraId="25D07B09" w14:textId="77777777" w:rsidR="009E23AF" w:rsidRPr="00FA38F9" w:rsidRDefault="009E23AF" w:rsidP="009E23AF">
      <w:pPr>
        <w:spacing w:after="0" w:line="240" w:lineRule="auto"/>
        <w:ind w:firstLine="284"/>
        <w:jc w:val="center"/>
        <w:rPr>
          <w:rFonts w:ascii="Garamond" w:hAnsi="Garamond" w:cs="Times New Roman"/>
          <w:b/>
          <w:bCs/>
          <w:sz w:val="24"/>
          <w:szCs w:val="24"/>
          <w:lang w:val="sq-AL"/>
        </w:rPr>
      </w:pPr>
      <w:r w:rsidRPr="00FA38F9">
        <w:rPr>
          <w:rFonts w:ascii="Garamond" w:hAnsi="Garamond" w:cs="Times New Roman"/>
          <w:b/>
          <w:bCs/>
          <w:sz w:val="24"/>
          <w:szCs w:val="24"/>
          <w:lang w:val="sq-AL"/>
        </w:rPr>
        <w:t>Elementet përbërëse të kapitalit rregullator të institucionit të parasë elektronike</w:t>
      </w:r>
    </w:p>
    <w:p w14:paraId="0D1481E8" w14:textId="77777777" w:rsidR="009E23AF" w:rsidRPr="00FA38F9" w:rsidRDefault="009E23AF" w:rsidP="009E23AF">
      <w:pPr>
        <w:spacing w:after="0" w:line="240" w:lineRule="auto"/>
        <w:ind w:firstLine="284"/>
        <w:jc w:val="center"/>
        <w:rPr>
          <w:rFonts w:ascii="Garamond" w:hAnsi="Garamond" w:cs="Times New Roman"/>
          <w:b/>
          <w:bCs/>
          <w:sz w:val="24"/>
          <w:szCs w:val="24"/>
          <w:lang w:val="sq-AL"/>
        </w:rPr>
      </w:pPr>
    </w:p>
    <w:p w14:paraId="4A0CDD50" w14:textId="28650C9F" w:rsidR="009E23AF" w:rsidRPr="00FA38F9" w:rsidRDefault="009E23AF" w:rsidP="009E23AF">
      <w:pPr>
        <w:pStyle w:val="ListParagraph"/>
        <w:tabs>
          <w:tab w:val="center" w:pos="4680"/>
          <w:tab w:val="left" w:pos="5440"/>
        </w:tabs>
        <w:spacing w:after="0" w:line="240" w:lineRule="auto"/>
        <w:ind w:left="0" w:firstLine="284"/>
        <w:jc w:val="both"/>
        <w:rPr>
          <w:rFonts w:ascii="Garamond" w:hAnsi="Garamond" w:cs="Times New Roman"/>
          <w:sz w:val="24"/>
          <w:szCs w:val="24"/>
          <w:lang w:val="sq-AL"/>
        </w:rPr>
      </w:pPr>
      <w:r w:rsidRPr="00FA38F9">
        <w:rPr>
          <w:rFonts w:ascii="Garamond" w:hAnsi="Garamond" w:cs="Times New Roman"/>
          <w:sz w:val="24"/>
          <w:szCs w:val="24"/>
          <w:lang w:val="sq-AL"/>
        </w:rPr>
        <w:t>1. Institucionet e parasë elektronike llogaritin kapitalin rregullator të tyre si shumë të kapitalit të nivelit të parë dhe kapitalit të nivelit të dytë. Kapitali i nivelit të parë është shuma e kapitalit bazë të nivelit të parë dhe kapitalit shtesë të nivelit të parë.</w:t>
      </w:r>
    </w:p>
    <w:p w14:paraId="6A93261E" w14:textId="2A29DABA" w:rsidR="009E23AF" w:rsidRPr="00FA38F9" w:rsidRDefault="009E23AF" w:rsidP="009E23AF">
      <w:pPr>
        <w:pStyle w:val="ListParagraph"/>
        <w:tabs>
          <w:tab w:val="center" w:pos="4680"/>
          <w:tab w:val="left" w:pos="5440"/>
        </w:tabs>
        <w:spacing w:after="0" w:line="240" w:lineRule="auto"/>
        <w:ind w:left="0" w:firstLine="284"/>
        <w:jc w:val="both"/>
        <w:rPr>
          <w:rFonts w:ascii="Garamond" w:hAnsi="Garamond" w:cs="Times New Roman"/>
          <w:sz w:val="24"/>
          <w:szCs w:val="24"/>
          <w:lang w:val="sq-AL"/>
        </w:rPr>
      </w:pPr>
      <w:r w:rsidRPr="00FA38F9">
        <w:rPr>
          <w:rFonts w:ascii="Garamond" w:hAnsi="Garamond" w:cs="Times New Roman"/>
          <w:sz w:val="24"/>
          <w:szCs w:val="24"/>
          <w:lang w:val="sq-AL"/>
        </w:rPr>
        <w:t>2. Institucionet e parasë elektronike përfshijnë në llogaritjen e kapitalit rregullator:</w:t>
      </w:r>
    </w:p>
    <w:p w14:paraId="2A2A47DB" w14:textId="4248D9B8" w:rsidR="009E23AF" w:rsidRPr="00FA38F9" w:rsidRDefault="009E23AF" w:rsidP="009E23AF">
      <w:pPr>
        <w:pStyle w:val="ListParagraph"/>
        <w:tabs>
          <w:tab w:val="center" w:pos="4680"/>
          <w:tab w:val="left" w:pos="5440"/>
        </w:tabs>
        <w:spacing w:after="0" w:line="240" w:lineRule="auto"/>
        <w:ind w:left="0" w:firstLine="284"/>
        <w:jc w:val="both"/>
        <w:rPr>
          <w:rFonts w:ascii="Garamond" w:hAnsi="Garamond" w:cs="Times New Roman"/>
          <w:sz w:val="24"/>
          <w:szCs w:val="24"/>
          <w:lang w:val="sq-AL"/>
        </w:rPr>
      </w:pPr>
      <w:r w:rsidRPr="00FA38F9">
        <w:rPr>
          <w:rFonts w:ascii="Garamond" w:hAnsi="Garamond" w:cs="Times New Roman"/>
          <w:sz w:val="24"/>
          <w:szCs w:val="24"/>
          <w:lang w:val="sq-AL"/>
        </w:rPr>
        <w:t>a) zërat e kapitalit bazë të nivelit të parë të parashikuar në nenin 6 të rregullores “Për kapitalin rregullator të bankës”, pas aplikimit të filtrave prudencialë të parashikuar në nënkreun II</w:t>
      </w:r>
      <w:r w:rsidR="0099451C">
        <w:rPr>
          <w:rFonts w:ascii="Garamond" w:hAnsi="Garamond" w:cs="Times New Roman"/>
          <w:sz w:val="24"/>
          <w:szCs w:val="24"/>
          <w:lang w:val="sq-AL"/>
        </w:rPr>
        <w:t>,</w:t>
      </w:r>
      <w:r w:rsidRPr="00FA38F9">
        <w:rPr>
          <w:rFonts w:ascii="Garamond" w:hAnsi="Garamond" w:cs="Times New Roman"/>
          <w:sz w:val="24"/>
          <w:szCs w:val="24"/>
          <w:lang w:val="sq-AL"/>
        </w:rPr>
        <w:t xml:space="preserve"> të kreut II</w:t>
      </w:r>
      <w:r w:rsidR="0099451C">
        <w:rPr>
          <w:rFonts w:ascii="Garamond" w:hAnsi="Garamond" w:cs="Times New Roman"/>
          <w:sz w:val="24"/>
          <w:szCs w:val="24"/>
          <w:lang w:val="sq-AL"/>
        </w:rPr>
        <w:t>,</w:t>
      </w:r>
      <w:r w:rsidRPr="00FA38F9">
        <w:rPr>
          <w:rFonts w:ascii="Garamond" w:hAnsi="Garamond" w:cs="Times New Roman"/>
          <w:sz w:val="24"/>
          <w:szCs w:val="24"/>
          <w:lang w:val="sq-AL"/>
        </w:rPr>
        <w:t xml:space="preserve"> të asaj rregulloreje, si dhe zbritjeve dhe përjashtimeve kufi të parashikuar në nenin 11, pika 1, shkronjat “a” deri në “i” dhe në nenin 20 të </w:t>
      </w:r>
      <w:r w:rsidR="0099451C">
        <w:rPr>
          <w:rFonts w:ascii="Garamond" w:hAnsi="Garamond" w:cs="Times New Roman"/>
          <w:sz w:val="24"/>
          <w:szCs w:val="24"/>
          <w:lang w:val="sq-AL"/>
        </w:rPr>
        <w:t>s</w:t>
      </w:r>
      <w:r w:rsidRPr="00FA38F9">
        <w:rPr>
          <w:rFonts w:ascii="Garamond" w:hAnsi="Garamond" w:cs="Times New Roman"/>
          <w:sz w:val="24"/>
          <w:szCs w:val="24"/>
          <w:lang w:val="sq-AL"/>
        </w:rPr>
        <w:t>ë njëjtës rregullore. Për zbritjet e parashikuara dhe përjashtimet kufi të parashikuara në nenet 11 dhe 20 rregullores “Për kapitalin rregullator të bankës”, institucionet e parasë elektronike zbatojnë kërkesat e parashikuara në nenet 12</w:t>
      </w:r>
      <w:r w:rsidR="0099451C">
        <w:rPr>
          <w:rFonts w:ascii="Garamond" w:hAnsi="Garamond" w:cs="Times New Roman"/>
          <w:sz w:val="24"/>
          <w:szCs w:val="24"/>
          <w:lang w:val="sq-AL"/>
        </w:rPr>
        <w:t>–</w:t>
      </w:r>
      <w:r w:rsidRPr="00FA38F9">
        <w:rPr>
          <w:rFonts w:ascii="Garamond" w:hAnsi="Garamond" w:cs="Times New Roman"/>
          <w:sz w:val="24"/>
          <w:szCs w:val="24"/>
          <w:lang w:val="sq-AL"/>
        </w:rPr>
        <w:t>13 dhe 15</w:t>
      </w:r>
      <w:r w:rsidR="0099451C">
        <w:rPr>
          <w:rFonts w:ascii="Garamond" w:hAnsi="Garamond" w:cs="Times New Roman"/>
          <w:sz w:val="24"/>
          <w:szCs w:val="24"/>
          <w:lang w:val="sq-AL"/>
        </w:rPr>
        <w:t>–</w:t>
      </w:r>
      <w:r w:rsidRPr="00FA38F9">
        <w:rPr>
          <w:rFonts w:ascii="Garamond" w:hAnsi="Garamond" w:cs="Times New Roman"/>
          <w:sz w:val="24"/>
          <w:szCs w:val="24"/>
          <w:lang w:val="sq-AL"/>
        </w:rPr>
        <w:t>20 të asaj rregulloreje;</w:t>
      </w:r>
    </w:p>
    <w:p w14:paraId="3313792C" w14:textId="354DF0D7" w:rsidR="009E23AF" w:rsidRPr="00FA38F9" w:rsidRDefault="009E23AF" w:rsidP="009E23AF">
      <w:pPr>
        <w:pStyle w:val="ListParagraph"/>
        <w:tabs>
          <w:tab w:val="center" w:pos="4680"/>
          <w:tab w:val="left" w:pos="5440"/>
        </w:tabs>
        <w:spacing w:after="0" w:line="240" w:lineRule="auto"/>
        <w:ind w:left="0" w:firstLine="284"/>
        <w:jc w:val="both"/>
        <w:rPr>
          <w:rFonts w:ascii="Garamond" w:hAnsi="Garamond"/>
          <w:sz w:val="24"/>
          <w:szCs w:val="24"/>
          <w:lang w:val="sq-AL"/>
        </w:rPr>
      </w:pPr>
      <w:r w:rsidRPr="00FA38F9">
        <w:rPr>
          <w:rFonts w:ascii="Garamond" w:hAnsi="Garamond" w:cs="Times New Roman"/>
          <w:sz w:val="24"/>
          <w:szCs w:val="24"/>
          <w:lang w:val="sq-AL"/>
        </w:rPr>
        <w:t xml:space="preserve">b) zërat e kapitalit shtesë të nivelit të parë të parashikuar në nenin 21 të rregullores “Për kapitalin rregullator të bankës”, pas aplikimit të zbritjeve të parashikuara në nenin 25 të </w:t>
      </w:r>
      <w:r w:rsidR="0099451C">
        <w:rPr>
          <w:rFonts w:ascii="Garamond" w:hAnsi="Garamond" w:cs="Times New Roman"/>
          <w:sz w:val="24"/>
          <w:szCs w:val="24"/>
          <w:lang w:val="sq-AL"/>
        </w:rPr>
        <w:t>s</w:t>
      </w:r>
      <w:r w:rsidRPr="00FA38F9">
        <w:rPr>
          <w:rFonts w:ascii="Garamond" w:hAnsi="Garamond" w:cs="Times New Roman"/>
          <w:sz w:val="24"/>
          <w:szCs w:val="24"/>
          <w:lang w:val="sq-AL"/>
        </w:rPr>
        <w:t>ë njëjtës rregulloreje. Për zërat e kapitalit shtesë të nivelit të parë dhe zbritjet nga kapitali shtesë i nivelit të parë, institucionet e parasë elektronike zbatojnë kërkesat e parashikuara në nenet 22</w:t>
      </w:r>
      <w:r w:rsidR="0099451C">
        <w:rPr>
          <w:rFonts w:ascii="Garamond" w:hAnsi="Garamond" w:cs="Times New Roman"/>
          <w:sz w:val="24"/>
          <w:szCs w:val="24"/>
          <w:lang w:val="sq-AL"/>
        </w:rPr>
        <w:t>–</w:t>
      </w:r>
      <w:r w:rsidRPr="00FA38F9">
        <w:rPr>
          <w:rFonts w:ascii="Garamond" w:hAnsi="Garamond" w:cs="Times New Roman"/>
          <w:sz w:val="24"/>
          <w:szCs w:val="24"/>
          <w:lang w:val="sq-AL"/>
        </w:rPr>
        <w:t>24</w:t>
      </w:r>
      <w:r w:rsidR="0099451C">
        <w:rPr>
          <w:rFonts w:ascii="Garamond" w:hAnsi="Garamond" w:cs="Times New Roman"/>
          <w:sz w:val="24"/>
          <w:szCs w:val="24"/>
          <w:lang w:val="sq-AL"/>
        </w:rPr>
        <w:t xml:space="preserve"> </w:t>
      </w:r>
      <w:r w:rsidRPr="00FA38F9">
        <w:rPr>
          <w:rFonts w:ascii="Garamond" w:hAnsi="Garamond" w:cs="Times New Roman"/>
          <w:sz w:val="24"/>
          <w:szCs w:val="24"/>
          <w:lang w:val="sq-AL"/>
        </w:rPr>
        <w:t>dhe 26</w:t>
      </w:r>
      <w:r w:rsidR="0099451C">
        <w:rPr>
          <w:rFonts w:ascii="Garamond" w:hAnsi="Garamond" w:cs="Times New Roman"/>
          <w:sz w:val="24"/>
          <w:szCs w:val="24"/>
          <w:lang w:val="sq-AL"/>
        </w:rPr>
        <w:t>–</w:t>
      </w:r>
      <w:r w:rsidRPr="00FA38F9">
        <w:rPr>
          <w:rFonts w:ascii="Garamond" w:hAnsi="Garamond" w:cs="Times New Roman"/>
          <w:sz w:val="24"/>
          <w:szCs w:val="24"/>
          <w:lang w:val="sq-AL"/>
        </w:rPr>
        <w:t>29 të rregullores “Për kapitalin rregullator të bankës”;</w:t>
      </w:r>
    </w:p>
    <w:p w14:paraId="0D1C53F2" w14:textId="3B5479D9" w:rsidR="009E23AF" w:rsidRPr="00FA38F9" w:rsidRDefault="009E23AF" w:rsidP="009E23AF">
      <w:pPr>
        <w:pStyle w:val="ListParagraph"/>
        <w:tabs>
          <w:tab w:val="center" w:pos="4680"/>
          <w:tab w:val="left" w:pos="5440"/>
        </w:tabs>
        <w:spacing w:after="0" w:line="240" w:lineRule="auto"/>
        <w:ind w:left="0" w:firstLine="284"/>
        <w:jc w:val="both"/>
        <w:rPr>
          <w:rFonts w:ascii="Garamond" w:hAnsi="Garamond"/>
          <w:sz w:val="24"/>
          <w:szCs w:val="24"/>
          <w:lang w:val="sq-AL"/>
        </w:rPr>
      </w:pPr>
      <w:r w:rsidRPr="00FA38F9">
        <w:rPr>
          <w:rFonts w:ascii="Garamond" w:hAnsi="Garamond" w:cs="Times New Roman"/>
          <w:sz w:val="24"/>
          <w:szCs w:val="24"/>
          <w:lang w:val="sq-AL"/>
        </w:rPr>
        <w:t>c) zërat e kapitalit të nivelit të dytë të parashikuar në nenin 30 të rregullores “Për kapitalin rregullator të bankës”, pas aplikimit të zbritjeve të parashikuara në nenin 33</w:t>
      </w:r>
      <w:r w:rsidR="003A1991">
        <w:rPr>
          <w:rFonts w:ascii="Garamond" w:hAnsi="Garamond" w:cs="Times New Roman"/>
          <w:sz w:val="24"/>
          <w:szCs w:val="24"/>
          <w:lang w:val="sq-AL"/>
        </w:rPr>
        <w:t>,</w:t>
      </w:r>
      <w:r w:rsidRPr="00FA38F9">
        <w:rPr>
          <w:rFonts w:ascii="Garamond" w:hAnsi="Garamond" w:cs="Times New Roman"/>
          <w:sz w:val="24"/>
          <w:szCs w:val="24"/>
          <w:lang w:val="sq-AL"/>
        </w:rPr>
        <w:t xml:space="preserve"> të </w:t>
      </w:r>
      <w:r w:rsidR="003A1991">
        <w:rPr>
          <w:rFonts w:ascii="Garamond" w:hAnsi="Garamond" w:cs="Times New Roman"/>
          <w:sz w:val="24"/>
          <w:szCs w:val="24"/>
          <w:lang w:val="sq-AL"/>
        </w:rPr>
        <w:t>s</w:t>
      </w:r>
      <w:r w:rsidRPr="00FA38F9">
        <w:rPr>
          <w:rFonts w:ascii="Garamond" w:hAnsi="Garamond" w:cs="Times New Roman"/>
          <w:sz w:val="24"/>
          <w:szCs w:val="24"/>
          <w:lang w:val="sq-AL"/>
        </w:rPr>
        <w:t>ë njëjtës rregulloreje. Për zërat e kapitalit të nivelit të dytë dhe zbritjet nga kapitali i nivelit të dytë, institucionet e parasë elektronike zbatojnë kërkesat e parashikuara në nenet 31</w:t>
      </w:r>
      <w:r w:rsidR="003A1991">
        <w:rPr>
          <w:rFonts w:ascii="Garamond" w:hAnsi="Garamond" w:cs="Times New Roman"/>
          <w:sz w:val="24"/>
          <w:szCs w:val="24"/>
          <w:lang w:val="sq-AL"/>
        </w:rPr>
        <w:t>–</w:t>
      </w:r>
      <w:r w:rsidRPr="00FA38F9">
        <w:rPr>
          <w:rFonts w:ascii="Garamond" w:hAnsi="Garamond" w:cs="Times New Roman"/>
          <w:sz w:val="24"/>
          <w:szCs w:val="24"/>
          <w:lang w:val="sq-AL"/>
        </w:rPr>
        <w:t>32 dhe 34</w:t>
      </w:r>
      <w:r w:rsidR="003A1991">
        <w:rPr>
          <w:rFonts w:ascii="Garamond" w:hAnsi="Garamond" w:cs="Times New Roman"/>
          <w:sz w:val="24"/>
          <w:szCs w:val="24"/>
          <w:lang w:val="sq-AL"/>
        </w:rPr>
        <w:t>–</w:t>
      </w:r>
      <w:r w:rsidRPr="00FA38F9">
        <w:rPr>
          <w:rFonts w:ascii="Garamond" w:hAnsi="Garamond" w:cs="Times New Roman"/>
          <w:sz w:val="24"/>
          <w:szCs w:val="24"/>
          <w:lang w:val="sq-AL"/>
        </w:rPr>
        <w:t>37 të rregullores “Për kapitalin rregullator të bankës”.</w:t>
      </w:r>
    </w:p>
    <w:p w14:paraId="12CD1EEB" w14:textId="29A95405" w:rsidR="009E23AF" w:rsidRPr="00FA38F9" w:rsidRDefault="009E23AF" w:rsidP="009E23AF">
      <w:pPr>
        <w:pStyle w:val="ListParagraph"/>
        <w:tabs>
          <w:tab w:val="center" w:pos="4680"/>
          <w:tab w:val="left" w:pos="5440"/>
        </w:tabs>
        <w:spacing w:after="0" w:line="240" w:lineRule="auto"/>
        <w:ind w:left="0" w:firstLine="284"/>
        <w:jc w:val="both"/>
        <w:rPr>
          <w:rFonts w:ascii="Garamond" w:hAnsi="Garamond" w:cs="Times New Roman"/>
          <w:sz w:val="24"/>
          <w:szCs w:val="24"/>
          <w:lang w:val="sq-AL"/>
        </w:rPr>
      </w:pPr>
      <w:r w:rsidRPr="00FA38F9">
        <w:rPr>
          <w:rFonts w:ascii="Garamond" w:hAnsi="Garamond" w:cs="Times New Roman"/>
          <w:sz w:val="24"/>
          <w:szCs w:val="24"/>
          <w:lang w:val="sq-AL"/>
        </w:rPr>
        <w:t>3. Institucionet e parasë elektronike, për qëllime të llogaritjes së kapitalit rregullator, sigurojnë respektimin e kufijve të mëposhtëm:</w:t>
      </w:r>
    </w:p>
    <w:p w14:paraId="6227D318" w14:textId="571FDA95" w:rsidR="009E23AF" w:rsidRPr="00FA38F9" w:rsidRDefault="009E23AF" w:rsidP="009E23AF">
      <w:pPr>
        <w:pStyle w:val="ListParagraph"/>
        <w:tabs>
          <w:tab w:val="left" w:pos="720"/>
          <w:tab w:val="left" w:pos="1080"/>
          <w:tab w:val="center" w:pos="4680"/>
          <w:tab w:val="left" w:pos="5440"/>
        </w:tabs>
        <w:spacing w:after="0" w:line="240" w:lineRule="auto"/>
        <w:ind w:left="0" w:firstLine="284"/>
        <w:jc w:val="both"/>
        <w:rPr>
          <w:rFonts w:ascii="Garamond" w:hAnsi="Garamond" w:cs="Times New Roman"/>
          <w:sz w:val="24"/>
          <w:szCs w:val="24"/>
          <w:lang w:val="sq-AL"/>
        </w:rPr>
      </w:pPr>
      <w:r w:rsidRPr="00FA38F9">
        <w:rPr>
          <w:rFonts w:ascii="Garamond" w:hAnsi="Garamond" w:cs="Times New Roman"/>
          <w:sz w:val="24"/>
          <w:szCs w:val="24"/>
          <w:lang w:val="sq-AL"/>
        </w:rPr>
        <w:t xml:space="preserve">a) të paktën 75% (shtatëdhjetë e pesë për qind) e kapitalit të nivelit të parë është në formën e kapitalit bazë të nivelit të parë; dhe </w:t>
      </w:r>
    </w:p>
    <w:p w14:paraId="2CDA22A0" w14:textId="45785247" w:rsidR="009E23AF" w:rsidRPr="00FA38F9" w:rsidRDefault="009E23AF" w:rsidP="009E23AF">
      <w:pPr>
        <w:pStyle w:val="ListParagraph"/>
        <w:tabs>
          <w:tab w:val="left" w:pos="720"/>
          <w:tab w:val="left" w:pos="1080"/>
          <w:tab w:val="center" w:pos="4680"/>
          <w:tab w:val="left" w:pos="5440"/>
        </w:tabs>
        <w:spacing w:after="0" w:line="240" w:lineRule="auto"/>
        <w:ind w:left="0" w:firstLine="284"/>
        <w:jc w:val="both"/>
        <w:rPr>
          <w:rFonts w:ascii="Garamond" w:hAnsi="Garamond"/>
          <w:sz w:val="24"/>
          <w:szCs w:val="24"/>
          <w:lang w:val="sq-AL"/>
        </w:rPr>
      </w:pPr>
      <w:r w:rsidRPr="00FA38F9">
        <w:rPr>
          <w:rFonts w:ascii="Garamond" w:hAnsi="Garamond" w:cs="Times New Roman"/>
          <w:sz w:val="24"/>
          <w:szCs w:val="24"/>
          <w:lang w:val="sq-AL"/>
        </w:rPr>
        <w:t>b) kapitali i nivelit të dytë përbën jo më shumë se 33</w:t>
      </w:r>
      <w:r w:rsidRPr="00FA38F9">
        <w:rPr>
          <w:rFonts w:ascii="Garamond" w:hAnsi="Garamond"/>
          <w:sz w:val="24"/>
          <w:szCs w:val="24"/>
          <w:lang w:val="sq-AL"/>
        </w:rPr>
        <w:t>.</w:t>
      </w:r>
      <w:r w:rsidRPr="00FA38F9">
        <w:rPr>
          <w:rFonts w:ascii="Garamond" w:hAnsi="Garamond" w:cs="Times New Roman"/>
          <w:sz w:val="24"/>
          <w:szCs w:val="24"/>
          <w:lang w:val="sq-AL"/>
        </w:rPr>
        <w:t xml:space="preserve">3% (tridhjetë e tre presje tre për qind) të kapitalit të nivelit të parë. </w:t>
      </w:r>
    </w:p>
    <w:p w14:paraId="476F24F9" w14:textId="7D7760EF" w:rsidR="009E23AF" w:rsidRPr="00FA38F9" w:rsidRDefault="009E23AF" w:rsidP="009E23AF">
      <w:pPr>
        <w:pStyle w:val="ListParagraph"/>
        <w:tabs>
          <w:tab w:val="center" w:pos="4680"/>
          <w:tab w:val="left" w:pos="5440"/>
        </w:tabs>
        <w:spacing w:after="0" w:line="240" w:lineRule="auto"/>
        <w:ind w:left="0" w:firstLine="284"/>
        <w:jc w:val="both"/>
        <w:rPr>
          <w:rFonts w:ascii="Garamond" w:hAnsi="Garamond" w:cs="Times New Roman"/>
          <w:sz w:val="24"/>
          <w:szCs w:val="24"/>
          <w:lang w:val="sq-AL"/>
        </w:rPr>
      </w:pPr>
      <w:r w:rsidRPr="00FA38F9">
        <w:rPr>
          <w:rFonts w:ascii="Garamond" w:hAnsi="Garamond" w:cs="Times New Roman"/>
          <w:sz w:val="24"/>
          <w:szCs w:val="24"/>
          <w:lang w:val="sq-AL"/>
        </w:rPr>
        <w:t>4. Institucionet e parasë elektronike nuk përfshijnë në llogaritjen e kapitalit rregullator</w:t>
      </w:r>
      <w:r w:rsidRPr="00FA38F9">
        <w:rPr>
          <w:rFonts w:ascii="Garamond" w:hAnsi="Garamond"/>
          <w:sz w:val="24"/>
          <w:szCs w:val="24"/>
          <w:lang w:val="sq-AL"/>
        </w:rPr>
        <w:t>,</w:t>
      </w:r>
      <w:r w:rsidRPr="00FA38F9">
        <w:rPr>
          <w:rFonts w:ascii="Garamond" w:hAnsi="Garamond" w:cs="Times New Roman"/>
          <w:sz w:val="24"/>
          <w:szCs w:val="24"/>
          <w:lang w:val="sq-AL"/>
        </w:rPr>
        <w:t xml:space="preserve"> zërat që janë pjesë e kapitalit rregullator të një subjekti tjetër</w:t>
      </w:r>
      <w:r w:rsidRPr="00FA38F9">
        <w:rPr>
          <w:rFonts w:ascii="Garamond" w:hAnsi="Garamond"/>
          <w:sz w:val="24"/>
          <w:szCs w:val="24"/>
          <w:lang w:val="sq-AL"/>
        </w:rPr>
        <w:t>,</w:t>
      </w:r>
      <w:r w:rsidRPr="00FA38F9">
        <w:rPr>
          <w:rFonts w:ascii="Garamond" w:hAnsi="Garamond" w:cs="Times New Roman"/>
          <w:sz w:val="24"/>
          <w:szCs w:val="24"/>
          <w:lang w:val="sq-AL"/>
        </w:rPr>
        <w:t xml:space="preserve"> i cili është pjesë e të njëjtit grup financiar/bankar ku bën pjesë institucioni i parasë elektronike.</w:t>
      </w:r>
    </w:p>
    <w:p w14:paraId="74924211" w14:textId="66C84A7D" w:rsidR="009E23AF" w:rsidRPr="00FA38F9" w:rsidRDefault="009E23AF" w:rsidP="009E23AF">
      <w:pPr>
        <w:pStyle w:val="ListParagraph"/>
        <w:tabs>
          <w:tab w:val="center" w:pos="4680"/>
          <w:tab w:val="left" w:pos="5440"/>
        </w:tabs>
        <w:spacing w:after="0" w:line="240" w:lineRule="auto"/>
        <w:ind w:left="0" w:firstLine="284"/>
        <w:jc w:val="both"/>
        <w:rPr>
          <w:rFonts w:ascii="Garamond" w:hAnsi="Garamond"/>
          <w:sz w:val="24"/>
          <w:szCs w:val="24"/>
          <w:lang w:val="sq-AL"/>
        </w:rPr>
      </w:pPr>
      <w:r w:rsidRPr="00FA38F9">
        <w:rPr>
          <w:rFonts w:ascii="Garamond" w:hAnsi="Garamond" w:cs="Times New Roman"/>
          <w:sz w:val="24"/>
          <w:szCs w:val="24"/>
          <w:lang w:val="sq-AL"/>
        </w:rPr>
        <w:t>5. Institucioni i parasë elektronike që ushtron edhe veprimtari të tjera tregtare, të ndryshme nga emetimi i parasë elektronike, siç parashikohet në nenin 6, pika 1, shkronja “e”, të kësaj rregulloreje</w:t>
      </w:r>
      <w:r w:rsidRPr="00FA38F9">
        <w:rPr>
          <w:rFonts w:ascii="Garamond" w:hAnsi="Garamond"/>
          <w:sz w:val="24"/>
          <w:szCs w:val="24"/>
          <w:lang w:val="sq-AL"/>
        </w:rPr>
        <w:t>,</w:t>
      </w:r>
      <w:r w:rsidRPr="00FA38F9">
        <w:rPr>
          <w:rFonts w:ascii="Garamond" w:hAnsi="Garamond" w:cs="Times New Roman"/>
          <w:sz w:val="24"/>
          <w:szCs w:val="24"/>
          <w:lang w:val="sq-AL"/>
        </w:rPr>
        <w:t xml:space="preserve"> nuk përfshin ato zëra kapitali që përdoren për veprimtaritë e tjera në llogaritjen e kapitalit rregullator</w:t>
      </w:r>
      <w:r w:rsidRPr="00FA38F9">
        <w:rPr>
          <w:rFonts w:ascii="Garamond" w:hAnsi="Garamond"/>
          <w:sz w:val="24"/>
          <w:szCs w:val="24"/>
          <w:lang w:val="sq-AL"/>
        </w:rPr>
        <w:t>.</w:t>
      </w:r>
    </w:p>
    <w:p w14:paraId="2CDE99DE" w14:textId="77777777" w:rsidR="009E23AF" w:rsidRPr="00FA38F9" w:rsidRDefault="009E23AF" w:rsidP="009E23AF">
      <w:pPr>
        <w:pStyle w:val="ListParagraph"/>
        <w:tabs>
          <w:tab w:val="center" w:pos="4680"/>
          <w:tab w:val="left" w:pos="5440"/>
        </w:tabs>
        <w:spacing w:after="0" w:line="240" w:lineRule="auto"/>
        <w:ind w:left="0" w:firstLine="284"/>
        <w:jc w:val="both"/>
        <w:rPr>
          <w:rFonts w:ascii="Garamond" w:hAnsi="Garamond"/>
          <w:sz w:val="24"/>
          <w:szCs w:val="24"/>
          <w:lang w:val="sq-AL"/>
        </w:rPr>
      </w:pPr>
    </w:p>
    <w:p w14:paraId="29FD89E7" w14:textId="77777777" w:rsidR="009E23AF" w:rsidRPr="00FA38F9" w:rsidRDefault="009E23AF" w:rsidP="009E23AF">
      <w:pPr>
        <w:pStyle w:val="ListParagraph"/>
        <w:tabs>
          <w:tab w:val="center" w:pos="4680"/>
          <w:tab w:val="left" w:pos="5440"/>
        </w:tabs>
        <w:spacing w:after="0" w:line="240" w:lineRule="auto"/>
        <w:ind w:left="0" w:firstLine="284"/>
        <w:jc w:val="center"/>
        <w:rPr>
          <w:rFonts w:ascii="Garamond" w:hAnsi="Garamond"/>
          <w:sz w:val="24"/>
          <w:szCs w:val="24"/>
          <w:lang w:val="sq-AL"/>
        </w:rPr>
      </w:pPr>
      <w:r w:rsidRPr="00FA38F9">
        <w:rPr>
          <w:rFonts w:ascii="Garamond" w:hAnsi="Garamond" w:cs="Times New Roman"/>
          <w:sz w:val="24"/>
          <w:szCs w:val="24"/>
          <w:lang w:val="sq-AL"/>
        </w:rPr>
        <w:t>NËNKREU II</w:t>
      </w:r>
    </w:p>
    <w:p w14:paraId="7EA039E8" w14:textId="77777777" w:rsidR="009E23AF" w:rsidRPr="00FA38F9" w:rsidRDefault="009E23AF" w:rsidP="009E23AF">
      <w:pPr>
        <w:pStyle w:val="ListParagraph"/>
        <w:tabs>
          <w:tab w:val="center" w:pos="4680"/>
          <w:tab w:val="left" w:pos="5440"/>
        </w:tabs>
        <w:spacing w:after="0" w:line="240" w:lineRule="auto"/>
        <w:ind w:left="0" w:firstLine="284"/>
        <w:jc w:val="center"/>
        <w:rPr>
          <w:rFonts w:ascii="Garamond" w:hAnsi="Garamond"/>
          <w:sz w:val="24"/>
          <w:szCs w:val="24"/>
          <w:lang w:val="sq-AL"/>
        </w:rPr>
      </w:pPr>
      <w:r w:rsidRPr="00FA38F9">
        <w:rPr>
          <w:rFonts w:ascii="Garamond" w:hAnsi="Garamond" w:cs="Times New Roman"/>
          <w:sz w:val="24"/>
          <w:szCs w:val="24"/>
          <w:lang w:val="sq-AL"/>
        </w:rPr>
        <w:t>LLOGARITJA E KËRKESËS PËR KAPITAL RREGULLATOR</w:t>
      </w:r>
    </w:p>
    <w:p w14:paraId="63DA7510" w14:textId="77777777" w:rsidR="009E23AF" w:rsidRPr="00FA38F9" w:rsidRDefault="009E23AF" w:rsidP="009E23AF">
      <w:pPr>
        <w:spacing w:after="0" w:line="240" w:lineRule="auto"/>
        <w:ind w:firstLine="284"/>
        <w:jc w:val="center"/>
        <w:rPr>
          <w:rFonts w:ascii="Garamond" w:hAnsi="Garamond" w:cs="Times New Roman"/>
          <w:bCs/>
          <w:sz w:val="24"/>
          <w:szCs w:val="24"/>
          <w:lang w:val="sq-AL"/>
        </w:rPr>
      </w:pPr>
    </w:p>
    <w:p w14:paraId="4EC9C359" w14:textId="77777777" w:rsidR="009E23AF" w:rsidRPr="00FA38F9" w:rsidRDefault="009E23AF" w:rsidP="009E23AF">
      <w:pPr>
        <w:spacing w:after="0" w:line="240" w:lineRule="auto"/>
        <w:ind w:firstLine="284"/>
        <w:jc w:val="center"/>
        <w:rPr>
          <w:rFonts w:ascii="Garamond" w:hAnsi="Garamond" w:cs="Times New Roman"/>
          <w:bCs/>
          <w:sz w:val="24"/>
          <w:szCs w:val="24"/>
          <w:lang w:val="sq-AL"/>
        </w:rPr>
      </w:pPr>
      <w:r w:rsidRPr="00FA38F9">
        <w:rPr>
          <w:rFonts w:ascii="Garamond" w:hAnsi="Garamond" w:cs="Times New Roman"/>
          <w:bCs/>
          <w:sz w:val="24"/>
          <w:szCs w:val="24"/>
          <w:lang w:val="sq-AL"/>
        </w:rPr>
        <w:t>Neni 14</w:t>
      </w:r>
    </w:p>
    <w:p w14:paraId="2D5813AF" w14:textId="77777777" w:rsidR="009E23AF" w:rsidRPr="00FA38F9" w:rsidRDefault="009E23AF" w:rsidP="009E23AF">
      <w:pPr>
        <w:spacing w:after="0" w:line="240" w:lineRule="auto"/>
        <w:ind w:firstLine="284"/>
        <w:jc w:val="center"/>
        <w:rPr>
          <w:rFonts w:ascii="Garamond" w:hAnsi="Garamond" w:cs="Times New Roman"/>
          <w:b/>
          <w:bCs/>
          <w:sz w:val="24"/>
          <w:szCs w:val="24"/>
          <w:lang w:val="sq-AL"/>
        </w:rPr>
      </w:pPr>
      <w:r w:rsidRPr="00FA38F9">
        <w:rPr>
          <w:rFonts w:ascii="Garamond" w:hAnsi="Garamond" w:cs="Times New Roman"/>
          <w:b/>
          <w:bCs/>
          <w:sz w:val="24"/>
          <w:szCs w:val="24"/>
          <w:lang w:val="sq-AL"/>
        </w:rPr>
        <w:t xml:space="preserve">Metoda e llogaritjes së kërkesës për kapital rregullator të institucionit të parasë elektronike </w:t>
      </w:r>
    </w:p>
    <w:p w14:paraId="72C1A82C" w14:textId="77777777" w:rsidR="009E23AF" w:rsidRPr="00FA38F9" w:rsidRDefault="009E23AF" w:rsidP="009E23AF">
      <w:pPr>
        <w:spacing w:after="0" w:line="240" w:lineRule="auto"/>
        <w:ind w:firstLine="284"/>
        <w:jc w:val="center"/>
        <w:rPr>
          <w:rFonts w:ascii="Garamond" w:hAnsi="Garamond" w:cs="Times New Roman"/>
          <w:b/>
          <w:bCs/>
          <w:sz w:val="24"/>
          <w:szCs w:val="24"/>
          <w:lang w:val="sq-AL"/>
        </w:rPr>
      </w:pPr>
    </w:p>
    <w:p w14:paraId="26F7FF10" w14:textId="741DE1FF" w:rsidR="009E23AF" w:rsidRPr="00FA38F9" w:rsidRDefault="009E23AF" w:rsidP="009E23AF">
      <w:pPr>
        <w:pStyle w:val="ListParagraph"/>
        <w:tabs>
          <w:tab w:val="left" w:pos="360"/>
        </w:tabs>
        <w:spacing w:after="0" w:line="240" w:lineRule="auto"/>
        <w:ind w:left="0" w:firstLine="284"/>
        <w:jc w:val="both"/>
        <w:rPr>
          <w:rFonts w:ascii="Garamond" w:hAnsi="Garamond" w:cs="Times New Roman"/>
          <w:sz w:val="24"/>
          <w:szCs w:val="24"/>
          <w:lang w:val="sq-AL"/>
        </w:rPr>
      </w:pPr>
      <w:r w:rsidRPr="00FA38F9">
        <w:rPr>
          <w:rFonts w:ascii="Garamond" w:hAnsi="Garamond" w:cs="Times New Roman"/>
          <w:sz w:val="24"/>
          <w:szCs w:val="24"/>
          <w:lang w:val="sq-AL"/>
        </w:rPr>
        <w:t xml:space="preserve">1. Institucioni i parasë elektronike llogarit kërkesën për kapital rregullator, të detyrueshëm për t’u mbajtur në çdo kohë prej tij, sipas rregullave të parashikuara në këtë nen. </w:t>
      </w:r>
    </w:p>
    <w:p w14:paraId="1300BE2A" w14:textId="315865AD" w:rsidR="009E23AF" w:rsidRPr="00FA38F9" w:rsidRDefault="009E23AF" w:rsidP="009E23AF">
      <w:pPr>
        <w:pStyle w:val="ListParagraph"/>
        <w:tabs>
          <w:tab w:val="left" w:pos="360"/>
        </w:tabs>
        <w:spacing w:after="0" w:line="240" w:lineRule="auto"/>
        <w:ind w:left="0" w:firstLine="284"/>
        <w:jc w:val="both"/>
        <w:rPr>
          <w:rFonts w:ascii="Garamond" w:hAnsi="Garamond" w:cs="Times New Roman"/>
          <w:sz w:val="24"/>
          <w:szCs w:val="24"/>
          <w:lang w:val="sq-AL"/>
        </w:rPr>
      </w:pPr>
      <w:r w:rsidRPr="00FA38F9">
        <w:rPr>
          <w:rFonts w:ascii="Garamond" w:hAnsi="Garamond" w:cs="Times New Roman"/>
          <w:sz w:val="24"/>
          <w:szCs w:val="24"/>
          <w:lang w:val="sq-AL"/>
        </w:rPr>
        <w:t xml:space="preserve">2. Nëse institucioni i parasë elektronike ushtron vetëm veprimtarinë e emetimit të parasë elektronike, kërkesa për kapital rregullator do të jetë në çdo kohë të paktën sa 2% (dy për qind) e tepricës mesatare të parasë elektronike. </w:t>
      </w:r>
    </w:p>
    <w:p w14:paraId="1E8C1153" w14:textId="15A20C39" w:rsidR="009E23AF" w:rsidRPr="00FA38F9" w:rsidRDefault="009E23AF" w:rsidP="009E23AF">
      <w:pPr>
        <w:pStyle w:val="ListParagraph"/>
        <w:tabs>
          <w:tab w:val="left" w:pos="360"/>
        </w:tabs>
        <w:spacing w:after="0" w:line="240" w:lineRule="auto"/>
        <w:ind w:left="0" w:firstLine="284"/>
        <w:jc w:val="both"/>
        <w:rPr>
          <w:rFonts w:ascii="Garamond" w:hAnsi="Garamond" w:cs="Times New Roman"/>
          <w:sz w:val="24"/>
          <w:szCs w:val="24"/>
          <w:lang w:val="sq-AL"/>
        </w:rPr>
      </w:pPr>
      <w:r w:rsidRPr="00FA38F9">
        <w:rPr>
          <w:rFonts w:ascii="Garamond" w:hAnsi="Garamond" w:cs="Times New Roman"/>
          <w:sz w:val="24"/>
          <w:szCs w:val="24"/>
          <w:lang w:val="sq-AL"/>
        </w:rPr>
        <w:t>3. Në rastin kur institucioni i parasë elektronike që ushtron vetëm veprimtarinë e emetimit të parasë elektronike, në datën e llogaritjes së kërkesës për kapital, nuk ka mbushur gjashtë muaj në ushtrimin e aktivitetit të tij, e llogarit kërkesën për kapital mbi bazën e parashikimit të tepricës së parasë elektronike, siç parashikohet në planin e biznesit, të paraqitur në procesin e aplikimit për marrjen e licencës, duke reflektuar edhe rishikimet e propozuara nga Banka e Shqipërisë në planin e biznesit (nëse është e aplikueshme).</w:t>
      </w:r>
    </w:p>
    <w:p w14:paraId="7E815C3D" w14:textId="2FEB02A6" w:rsidR="009E23AF" w:rsidRPr="00FA38F9" w:rsidRDefault="009E23AF" w:rsidP="009E23AF">
      <w:pPr>
        <w:pStyle w:val="ListParagraph"/>
        <w:tabs>
          <w:tab w:val="left" w:pos="360"/>
        </w:tabs>
        <w:spacing w:after="0" w:line="240" w:lineRule="auto"/>
        <w:ind w:left="0" w:firstLine="284"/>
        <w:jc w:val="both"/>
        <w:rPr>
          <w:rFonts w:ascii="Garamond" w:hAnsi="Garamond" w:cs="Times New Roman"/>
          <w:sz w:val="24"/>
          <w:szCs w:val="24"/>
          <w:lang w:val="sq-AL"/>
        </w:rPr>
      </w:pPr>
      <w:r w:rsidRPr="00FA38F9">
        <w:rPr>
          <w:rFonts w:ascii="Garamond" w:hAnsi="Garamond" w:cs="Times New Roman"/>
          <w:sz w:val="24"/>
          <w:szCs w:val="24"/>
          <w:lang w:val="sq-AL"/>
        </w:rPr>
        <w:t xml:space="preserve">4. Nëse institucioni i parasë elektronike ofron edhe shërbime të pagesave që nuk lidhen me emetimin e parasë elektronike, kërkesa për kapital rregullator, referuar veprimtarisë së shërbimeve të pagesave, llogaritet sipas rregullave të mëposhtme: </w:t>
      </w:r>
    </w:p>
    <w:p w14:paraId="43BC8E1D" w14:textId="2BAFCBAA" w:rsidR="009E23AF" w:rsidRPr="00FA38F9" w:rsidRDefault="009E23AF" w:rsidP="009E23AF">
      <w:pPr>
        <w:pStyle w:val="ListParagraph"/>
        <w:tabs>
          <w:tab w:val="center" w:pos="4680"/>
          <w:tab w:val="left" w:pos="5440"/>
        </w:tabs>
        <w:spacing w:after="0" w:line="240" w:lineRule="auto"/>
        <w:ind w:left="0" w:firstLine="284"/>
        <w:jc w:val="both"/>
        <w:rPr>
          <w:rFonts w:ascii="Garamond" w:hAnsi="Garamond" w:cs="Times New Roman"/>
          <w:sz w:val="24"/>
          <w:szCs w:val="24"/>
          <w:lang w:val="sq-AL"/>
        </w:rPr>
      </w:pPr>
      <w:r w:rsidRPr="00FA38F9">
        <w:rPr>
          <w:rFonts w:ascii="Garamond" w:hAnsi="Garamond" w:cs="Times New Roman"/>
          <w:sz w:val="24"/>
          <w:szCs w:val="24"/>
          <w:lang w:val="sq-AL"/>
        </w:rPr>
        <w:t>a) kërkesa për kapital rregullator e institucionit të parasë elektronike duhet të jetë të paktën sa shuma e elementeve të mëposhtme, e shumëzuar me faktorin e përshkallëzuar (</w:t>
      </w:r>
      <w:r w:rsidRPr="00FA38F9">
        <w:rPr>
          <w:rFonts w:ascii="Garamond" w:hAnsi="Garamond" w:cs="Times New Roman"/>
          <w:i/>
          <w:iCs/>
          <w:sz w:val="24"/>
          <w:szCs w:val="24"/>
          <w:lang w:val="sq-AL"/>
        </w:rPr>
        <w:t>scaling factor</w:t>
      </w:r>
      <w:r w:rsidRPr="00FA38F9">
        <w:rPr>
          <w:rFonts w:ascii="Garamond" w:hAnsi="Garamond" w:cs="Times New Roman"/>
          <w:sz w:val="24"/>
          <w:szCs w:val="24"/>
          <w:lang w:val="sq-AL"/>
        </w:rPr>
        <w:t xml:space="preserve">) </w:t>
      </w:r>
      <w:r w:rsidRPr="00FA38F9">
        <w:rPr>
          <w:rFonts w:ascii="Garamond" w:hAnsi="Garamond" w:cs="Times New Roman"/>
          <w:b/>
          <w:bCs/>
          <w:i/>
          <w:iCs/>
          <w:sz w:val="24"/>
          <w:szCs w:val="24"/>
          <w:lang w:val="sq-AL"/>
        </w:rPr>
        <w:t>k</w:t>
      </w:r>
      <w:r w:rsidRPr="00FA38F9">
        <w:rPr>
          <w:rFonts w:ascii="Garamond" w:hAnsi="Garamond" w:cs="Times New Roman"/>
          <w:b/>
          <w:bCs/>
          <w:sz w:val="24"/>
          <w:szCs w:val="24"/>
          <w:lang w:val="sq-AL"/>
        </w:rPr>
        <w:t xml:space="preserve"> </w:t>
      </w:r>
      <w:r w:rsidRPr="00FA38F9">
        <w:rPr>
          <w:rFonts w:ascii="Garamond" w:hAnsi="Garamond" w:cs="Times New Roman"/>
          <w:sz w:val="24"/>
          <w:szCs w:val="24"/>
          <w:lang w:val="sq-AL"/>
        </w:rPr>
        <w:t xml:space="preserve">të përcaktuar në shkronjën “b” të kësaj pike: </w:t>
      </w:r>
    </w:p>
    <w:p w14:paraId="33A4D56A" w14:textId="2F6D559D" w:rsidR="009E23AF" w:rsidRPr="00FA38F9" w:rsidRDefault="009E23AF" w:rsidP="009E23AF">
      <w:pPr>
        <w:pStyle w:val="ListParagraph"/>
        <w:tabs>
          <w:tab w:val="center" w:pos="4680"/>
          <w:tab w:val="left" w:pos="5440"/>
        </w:tabs>
        <w:spacing w:after="0" w:line="240" w:lineRule="auto"/>
        <w:ind w:left="0" w:firstLine="284"/>
        <w:jc w:val="both"/>
        <w:rPr>
          <w:rFonts w:ascii="Garamond" w:hAnsi="Garamond" w:cs="Times New Roman"/>
          <w:sz w:val="24"/>
          <w:szCs w:val="24"/>
          <w:lang w:val="sq-AL"/>
        </w:rPr>
      </w:pPr>
      <w:r w:rsidRPr="00FA38F9">
        <w:rPr>
          <w:rFonts w:ascii="Garamond" w:hAnsi="Garamond" w:cs="Times New Roman"/>
          <w:sz w:val="24"/>
          <w:szCs w:val="24"/>
          <w:lang w:val="sq-AL"/>
        </w:rPr>
        <w:t xml:space="preserve">i. 4,0% (katër për qind) e pjesës së VP deri në vlerën ekuivalente në lekë të shumës 5 milionë euro, </w:t>
      </w:r>
      <w:r w:rsidRPr="00FA38F9">
        <w:rPr>
          <w:rFonts w:ascii="Garamond" w:hAnsi="Garamond" w:cs="Times New Roman"/>
          <w:i/>
          <w:iCs/>
          <w:sz w:val="24"/>
          <w:szCs w:val="24"/>
          <w:lang w:val="sq-AL"/>
        </w:rPr>
        <w:t>plus</w:t>
      </w:r>
    </w:p>
    <w:p w14:paraId="559C060B" w14:textId="3C49AB0A" w:rsidR="009E23AF" w:rsidRPr="00FA38F9" w:rsidRDefault="009E23AF" w:rsidP="009E23AF">
      <w:pPr>
        <w:pStyle w:val="ListParagraph"/>
        <w:tabs>
          <w:tab w:val="center" w:pos="4680"/>
          <w:tab w:val="left" w:pos="5440"/>
        </w:tabs>
        <w:spacing w:after="0" w:line="240" w:lineRule="auto"/>
        <w:ind w:left="0" w:firstLine="284"/>
        <w:jc w:val="both"/>
        <w:rPr>
          <w:rFonts w:ascii="Garamond" w:hAnsi="Garamond" w:cs="Times New Roman"/>
          <w:sz w:val="24"/>
          <w:szCs w:val="24"/>
          <w:lang w:val="sq-AL"/>
        </w:rPr>
      </w:pPr>
      <w:r w:rsidRPr="00FA38F9">
        <w:rPr>
          <w:rFonts w:ascii="Garamond" w:hAnsi="Garamond" w:cs="Times New Roman"/>
          <w:sz w:val="24"/>
          <w:szCs w:val="24"/>
          <w:lang w:val="sq-AL"/>
        </w:rPr>
        <w:t xml:space="preserve">ii. 2,5% (dy presje pesë për qind) e pjesës së VP mbi vlerën ekuivalente në lekë të shumës 5 milionë euro deri në 10 milionë euro, </w:t>
      </w:r>
      <w:r w:rsidRPr="00FA38F9">
        <w:rPr>
          <w:rFonts w:ascii="Garamond" w:hAnsi="Garamond" w:cs="Times New Roman"/>
          <w:i/>
          <w:iCs/>
          <w:sz w:val="24"/>
          <w:szCs w:val="24"/>
          <w:lang w:val="sq-AL"/>
        </w:rPr>
        <w:t>plus</w:t>
      </w:r>
    </w:p>
    <w:p w14:paraId="5DA0B939" w14:textId="5F50E3BD" w:rsidR="009E23AF" w:rsidRPr="00FA38F9" w:rsidRDefault="009E23AF" w:rsidP="009E23AF">
      <w:pPr>
        <w:pStyle w:val="ListParagraph"/>
        <w:tabs>
          <w:tab w:val="center" w:pos="4680"/>
          <w:tab w:val="left" w:pos="5440"/>
        </w:tabs>
        <w:spacing w:after="0" w:line="240" w:lineRule="auto"/>
        <w:ind w:left="0" w:firstLine="284"/>
        <w:jc w:val="both"/>
        <w:rPr>
          <w:rFonts w:ascii="Garamond" w:hAnsi="Garamond" w:cs="Times New Roman"/>
          <w:sz w:val="24"/>
          <w:szCs w:val="24"/>
          <w:lang w:val="sq-AL"/>
        </w:rPr>
      </w:pPr>
      <w:r w:rsidRPr="00FA38F9">
        <w:rPr>
          <w:rFonts w:ascii="Garamond" w:hAnsi="Garamond" w:cs="Times New Roman"/>
          <w:sz w:val="24"/>
          <w:szCs w:val="24"/>
          <w:lang w:val="sq-AL"/>
        </w:rPr>
        <w:t xml:space="preserve">iii. 1% (një për qind) të pjesës së VP mbi vlerën ekuivalente në lekë të shumës 10 milionë euro deri në 100 milionë euro, </w:t>
      </w:r>
      <w:r w:rsidRPr="00FA38F9">
        <w:rPr>
          <w:rFonts w:ascii="Garamond" w:hAnsi="Garamond" w:cs="Times New Roman"/>
          <w:i/>
          <w:iCs/>
          <w:sz w:val="24"/>
          <w:szCs w:val="24"/>
          <w:lang w:val="sq-AL"/>
        </w:rPr>
        <w:t>plus</w:t>
      </w:r>
    </w:p>
    <w:p w14:paraId="79EEA8C1" w14:textId="033A1A35" w:rsidR="009E23AF" w:rsidRPr="00FA38F9" w:rsidRDefault="009E23AF" w:rsidP="009E23AF">
      <w:pPr>
        <w:pStyle w:val="ListParagraph"/>
        <w:tabs>
          <w:tab w:val="center" w:pos="4680"/>
          <w:tab w:val="left" w:pos="5440"/>
        </w:tabs>
        <w:spacing w:after="0" w:line="240" w:lineRule="auto"/>
        <w:ind w:left="0" w:firstLine="284"/>
        <w:jc w:val="both"/>
        <w:rPr>
          <w:rFonts w:ascii="Garamond" w:hAnsi="Garamond" w:cs="Times New Roman"/>
          <w:sz w:val="24"/>
          <w:szCs w:val="24"/>
          <w:lang w:val="sq-AL"/>
        </w:rPr>
      </w:pPr>
      <w:r w:rsidRPr="00FA38F9">
        <w:rPr>
          <w:rFonts w:ascii="Garamond" w:hAnsi="Garamond" w:cs="Times New Roman"/>
          <w:sz w:val="24"/>
          <w:szCs w:val="24"/>
          <w:lang w:val="sq-AL"/>
        </w:rPr>
        <w:t xml:space="preserve">iv. 0,5% (zero presje pesë për qind) të pjesës së VP mbi vlerën ekuivalente në lekë të shumës 100 milionë euro deri në 250 milionë euro, </w:t>
      </w:r>
      <w:r w:rsidRPr="00FA38F9">
        <w:rPr>
          <w:rFonts w:ascii="Garamond" w:hAnsi="Garamond" w:cs="Times New Roman"/>
          <w:i/>
          <w:iCs/>
          <w:sz w:val="24"/>
          <w:szCs w:val="24"/>
          <w:lang w:val="sq-AL"/>
        </w:rPr>
        <w:t>plus</w:t>
      </w:r>
    </w:p>
    <w:p w14:paraId="53CCE747" w14:textId="55639A85" w:rsidR="009E23AF" w:rsidRPr="00FA38F9" w:rsidRDefault="009E23AF" w:rsidP="009E23AF">
      <w:pPr>
        <w:pStyle w:val="ListParagraph"/>
        <w:tabs>
          <w:tab w:val="center" w:pos="4680"/>
          <w:tab w:val="left" w:pos="5440"/>
        </w:tabs>
        <w:spacing w:after="0" w:line="240" w:lineRule="auto"/>
        <w:ind w:left="0" w:firstLine="284"/>
        <w:jc w:val="both"/>
        <w:rPr>
          <w:rFonts w:ascii="Garamond" w:hAnsi="Garamond" w:cs="Times New Roman"/>
          <w:sz w:val="24"/>
          <w:szCs w:val="24"/>
          <w:lang w:val="sq-AL"/>
        </w:rPr>
      </w:pPr>
      <w:r w:rsidRPr="00FA38F9">
        <w:rPr>
          <w:rFonts w:ascii="Garamond" w:hAnsi="Garamond" w:cs="Times New Roman"/>
          <w:sz w:val="24"/>
          <w:szCs w:val="24"/>
          <w:lang w:val="sq-AL"/>
        </w:rPr>
        <w:t xml:space="preserve">v. 0,25% (zero presje njëzet e pesë për qind) të pjesës së VP mbi vlerën ekuivalente në lekë të shumës 250 milionë euro, </w:t>
      </w:r>
    </w:p>
    <w:p w14:paraId="5BB6145E" w14:textId="77777777" w:rsidR="009E23AF" w:rsidRPr="00FA38F9" w:rsidRDefault="009E23AF" w:rsidP="009E23AF">
      <w:pPr>
        <w:tabs>
          <w:tab w:val="center" w:pos="4680"/>
          <w:tab w:val="left" w:pos="5440"/>
        </w:tabs>
        <w:spacing w:after="0" w:line="240" w:lineRule="auto"/>
        <w:ind w:firstLine="284"/>
        <w:jc w:val="both"/>
        <w:rPr>
          <w:rFonts w:ascii="Garamond" w:hAnsi="Garamond" w:cs="Times New Roman"/>
          <w:sz w:val="24"/>
          <w:szCs w:val="24"/>
          <w:lang w:val="sq-AL"/>
        </w:rPr>
      </w:pPr>
      <w:r w:rsidRPr="00FA38F9">
        <w:rPr>
          <w:rFonts w:ascii="Garamond" w:hAnsi="Garamond" w:cs="Times New Roman"/>
          <w:sz w:val="24"/>
          <w:szCs w:val="24"/>
          <w:lang w:val="sq-AL"/>
        </w:rPr>
        <w:t xml:space="preserve">ku, </w:t>
      </w:r>
      <w:r w:rsidRPr="00FA38F9">
        <w:rPr>
          <w:rFonts w:ascii="Garamond" w:hAnsi="Garamond" w:cs="Times New Roman"/>
          <w:b/>
          <w:bCs/>
          <w:i/>
          <w:iCs/>
          <w:sz w:val="24"/>
          <w:szCs w:val="24"/>
          <w:lang w:val="sq-AL"/>
        </w:rPr>
        <w:t xml:space="preserve">VP </w:t>
      </w:r>
      <w:r w:rsidRPr="00FA38F9">
        <w:rPr>
          <w:rFonts w:ascii="Garamond" w:hAnsi="Garamond" w:cs="Times New Roman"/>
          <w:sz w:val="24"/>
          <w:szCs w:val="24"/>
          <w:lang w:val="sq-AL"/>
        </w:rPr>
        <w:t>është vëllimi i pagesave, i cili përfaqëson 1/12 e shumës totale të transaksioneve të pagesave të ekzekutuara nga institucioni i parasë elektronike në vitin e mëparshëm;</w:t>
      </w:r>
    </w:p>
    <w:p w14:paraId="73382FCA" w14:textId="516B55D8" w:rsidR="009E23AF" w:rsidRPr="00FA38F9" w:rsidRDefault="009E23AF" w:rsidP="009E23AF">
      <w:pPr>
        <w:pStyle w:val="ListParagraph"/>
        <w:tabs>
          <w:tab w:val="center" w:pos="4680"/>
          <w:tab w:val="left" w:pos="5440"/>
        </w:tabs>
        <w:spacing w:after="0" w:line="240" w:lineRule="auto"/>
        <w:ind w:left="0" w:firstLine="284"/>
        <w:jc w:val="both"/>
        <w:rPr>
          <w:rFonts w:ascii="Garamond" w:hAnsi="Garamond" w:cs="Times New Roman"/>
          <w:sz w:val="24"/>
          <w:szCs w:val="24"/>
          <w:lang w:val="sq-AL"/>
        </w:rPr>
      </w:pPr>
      <w:r w:rsidRPr="00FA38F9">
        <w:rPr>
          <w:rFonts w:ascii="Garamond" w:hAnsi="Garamond" w:cs="Times New Roman"/>
          <w:sz w:val="24"/>
          <w:szCs w:val="24"/>
          <w:lang w:val="sq-AL"/>
        </w:rPr>
        <w:t xml:space="preserve">b) faktori i përshkallëzuar </w:t>
      </w:r>
      <w:r w:rsidRPr="00FA38F9">
        <w:rPr>
          <w:rFonts w:ascii="Garamond" w:hAnsi="Garamond" w:cs="Times New Roman"/>
          <w:b/>
          <w:bCs/>
          <w:i/>
          <w:iCs/>
          <w:sz w:val="24"/>
          <w:szCs w:val="24"/>
          <w:lang w:val="sq-AL"/>
        </w:rPr>
        <w:t>k</w:t>
      </w:r>
      <w:r w:rsidRPr="00FA38F9">
        <w:rPr>
          <w:rFonts w:ascii="Garamond" w:hAnsi="Garamond" w:cs="Times New Roman"/>
          <w:sz w:val="24"/>
          <w:szCs w:val="24"/>
          <w:lang w:val="sq-AL"/>
        </w:rPr>
        <w:t xml:space="preserve"> i parashikuar në shkronjën “a” të kësaj pike është:</w:t>
      </w:r>
    </w:p>
    <w:p w14:paraId="4D8E49D3" w14:textId="47AE93EE" w:rsidR="009E23AF" w:rsidRPr="00FA38F9" w:rsidRDefault="009E23AF" w:rsidP="009E23AF">
      <w:pPr>
        <w:pStyle w:val="ListParagraph"/>
        <w:tabs>
          <w:tab w:val="center" w:pos="4680"/>
          <w:tab w:val="left" w:pos="5440"/>
        </w:tabs>
        <w:spacing w:after="0" w:line="240" w:lineRule="auto"/>
        <w:ind w:left="0" w:firstLine="284"/>
        <w:jc w:val="both"/>
        <w:rPr>
          <w:rFonts w:ascii="Garamond" w:hAnsi="Garamond" w:cs="Times New Roman"/>
          <w:sz w:val="24"/>
          <w:szCs w:val="24"/>
          <w:lang w:val="sq-AL"/>
        </w:rPr>
      </w:pPr>
      <w:r w:rsidRPr="00FA38F9">
        <w:rPr>
          <w:rFonts w:ascii="Garamond" w:hAnsi="Garamond" w:cs="Times New Roman"/>
          <w:b/>
          <w:bCs/>
          <w:sz w:val="24"/>
          <w:szCs w:val="24"/>
          <w:lang w:val="sq-AL"/>
        </w:rPr>
        <w:t>i. 0,5</w:t>
      </w:r>
      <w:r w:rsidRPr="00FA38F9">
        <w:rPr>
          <w:rFonts w:ascii="Garamond" w:hAnsi="Garamond" w:cs="Times New Roman"/>
          <w:sz w:val="24"/>
          <w:szCs w:val="24"/>
          <w:lang w:val="sq-AL"/>
        </w:rPr>
        <w:t xml:space="preserve"> kur institucioni i parasë elektronike ofron vetëm shërbimin e pagesave të parashikuar në pikën 6 të aneksit 1 të ligjit “Për shërbimet e pagesave”,</w:t>
      </w:r>
    </w:p>
    <w:p w14:paraId="66B2FDCA" w14:textId="07C050F3" w:rsidR="009E23AF" w:rsidRPr="00FA38F9" w:rsidRDefault="009E23AF" w:rsidP="009E23AF">
      <w:pPr>
        <w:pStyle w:val="ListParagraph"/>
        <w:tabs>
          <w:tab w:val="center" w:pos="4680"/>
          <w:tab w:val="left" w:pos="5440"/>
        </w:tabs>
        <w:spacing w:after="0" w:line="240" w:lineRule="auto"/>
        <w:ind w:left="0" w:firstLine="284"/>
        <w:jc w:val="both"/>
        <w:rPr>
          <w:rFonts w:ascii="Garamond" w:hAnsi="Garamond" w:cs="Times New Roman"/>
          <w:sz w:val="24"/>
          <w:szCs w:val="24"/>
          <w:lang w:val="sq-AL"/>
        </w:rPr>
      </w:pPr>
      <w:r w:rsidRPr="00FA38F9">
        <w:rPr>
          <w:rFonts w:ascii="Garamond" w:hAnsi="Garamond" w:cs="Times New Roman"/>
          <w:b/>
          <w:bCs/>
          <w:sz w:val="24"/>
          <w:szCs w:val="24"/>
          <w:lang w:val="sq-AL"/>
        </w:rPr>
        <w:t>ii. 1</w:t>
      </w:r>
      <w:r w:rsidRPr="00FA38F9">
        <w:rPr>
          <w:rFonts w:ascii="Garamond" w:hAnsi="Garamond" w:cs="Times New Roman"/>
          <w:sz w:val="24"/>
          <w:szCs w:val="24"/>
          <w:lang w:val="sq-AL"/>
        </w:rPr>
        <w:t xml:space="preserve"> kur institucioni i parasë elektronike ofron shërbimet e pagesave të parashikuara në pikat 1-5 të aneksit 1 të ligjit “Për shërbimet e pagesave”.</w:t>
      </w:r>
    </w:p>
    <w:p w14:paraId="7BBF1BED" w14:textId="06F97B51" w:rsidR="009E23AF" w:rsidRPr="00FA38F9" w:rsidRDefault="009E23AF" w:rsidP="009E23AF">
      <w:pPr>
        <w:pStyle w:val="ListParagraph"/>
        <w:tabs>
          <w:tab w:val="left" w:pos="360"/>
        </w:tabs>
        <w:spacing w:after="0" w:line="240" w:lineRule="auto"/>
        <w:ind w:left="0" w:firstLine="284"/>
        <w:jc w:val="both"/>
        <w:rPr>
          <w:rFonts w:ascii="Garamond" w:hAnsi="Garamond" w:cs="Times New Roman"/>
          <w:sz w:val="24"/>
          <w:szCs w:val="24"/>
          <w:lang w:val="sq-AL"/>
        </w:rPr>
      </w:pPr>
      <w:r w:rsidRPr="00FA38F9">
        <w:rPr>
          <w:rFonts w:ascii="Garamond" w:hAnsi="Garamond" w:cs="Times New Roman"/>
          <w:sz w:val="24"/>
          <w:szCs w:val="24"/>
          <w:lang w:val="sq-AL"/>
        </w:rPr>
        <w:t xml:space="preserve">5. Përjashtohen nga kërkesat për kapitalin rregullator të parashikuar në pikën 4 të këtij neni, institucionet e parasë elektronike që përveç emetimit të parasë elektronike ofrojnë vetëm shërbimet e pagesave sipas pikës 7 ose 8, ose të dyja njëkohësisht, sipas aneksit 1 të ligjit “Për shërbimet e pagesave”. </w:t>
      </w:r>
    </w:p>
    <w:p w14:paraId="6D9F425D" w14:textId="1039D126" w:rsidR="009E23AF" w:rsidRPr="00FA38F9" w:rsidRDefault="009E23AF" w:rsidP="009E23AF">
      <w:pPr>
        <w:pStyle w:val="ListParagraph"/>
        <w:tabs>
          <w:tab w:val="left" w:pos="360"/>
        </w:tabs>
        <w:spacing w:after="0" w:line="240" w:lineRule="auto"/>
        <w:ind w:left="0" w:firstLine="284"/>
        <w:jc w:val="both"/>
        <w:rPr>
          <w:rFonts w:ascii="Garamond" w:hAnsi="Garamond" w:cs="Times New Roman"/>
          <w:sz w:val="24"/>
          <w:szCs w:val="24"/>
          <w:lang w:val="sq-AL"/>
        </w:rPr>
      </w:pPr>
      <w:r w:rsidRPr="00FA38F9">
        <w:rPr>
          <w:rFonts w:ascii="Garamond" w:hAnsi="Garamond" w:cs="Times New Roman"/>
          <w:sz w:val="24"/>
          <w:szCs w:val="24"/>
          <w:lang w:val="sq-AL"/>
        </w:rPr>
        <w:t>6. Në rastin kur institucioni i parasë elektronike që ushtron edhe shërbime të pagesave (përveç emetimit të parasë elektronike), në datën e llogaritjes së kërkesës për kapital rregullator nuk ka mbushur një vit të plotë në ushtrimin e aktivitetit të tij, vëllimi i pagesave i parashikuar në pikën 4 të këtij neni, do të llogaritet bazuar në të dhënat e parashikuara në planin e biznesit të paraqitur në procesin e aplikimit për marrjen e licencës, duke reflektuar edhe rishikimet e propozuara nga Banka e Shqipërisë në planin e biznesit (nëse është e aplikueshme).</w:t>
      </w:r>
    </w:p>
    <w:p w14:paraId="11C1DFF3" w14:textId="05F53729" w:rsidR="009E23AF" w:rsidRPr="00FA38F9" w:rsidRDefault="009E23AF" w:rsidP="009E23AF">
      <w:pPr>
        <w:pStyle w:val="ListParagraph"/>
        <w:tabs>
          <w:tab w:val="left" w:pos="360"/>
        </w:tabs>
        <w:spacing w:after="0" w:line="240" w:lineRule="auto"/>
        <w:ind w:left="0" w:firstLine="284"/>
        <w:jc w:val="both"/>
        <w:rPr>
          <w:rFonts w:ascii="Garamond" w:hAnsi="Garamond" w:cs="Times New Roman"/>
          <w:sz w:val="24"/>
          <w:szCs w:val="24"/>
          <w:lang w:val="sq-AL"/>
        </w:rPr>
      </w:pPr>
      <w:r w:rsidRPr="00FA38F9">
        <w:rPr>
          <w:rFonts w:ascii="Garamond" w:hAnsi="Garamond" w:cs="Times New Roman"/>
          <w:sz w:val="24"/>
          <w:szCs w:val="24"/>
          <w:lang w:val="sq-AL"/>
        </w:rPr>
        <w:t>7. Në rastin kur institucioni i parasë elektronike ushtron edhe shërbime të pagesave (përveç emetimit të parasë elektronike) ose një apo disa nga veprimtaritë e parashikuara në shkronjat “b” deri në “e” të pikës 1 të nenit 6 të kësaj rregulloreje dhe teprica e parasë elektronike nuk njihet paraprakisht, institucioni i parasë elektronike mund të llogaritë kërkesën për kapital mbi bazën e një pjese përfaqësuese që supozohet se do të përdoret për emetimin e parasë elektronike, me kusht që kjo pjesë përfaqësuese të mund të vlerësohet, në mënyrë të arsyeshme, bazuar në të dhënat historike të pranuara nga Banka e Shqipërisë.</w:t>
      </w:r>
    </w:p>
    <w:p w14:paraId="55B931FC" w14:textId="7F5A1BD5" w:rsidR="009E23AF" w:rsidRPr="00FA38F9" w:rsidRDefault="009E23AF" w:rsidP="009E23AF">
      <w:pPr>
        <w:pStyle w:val="ListParagraph"/>
        <w:tabs>
          <w:tab w:val="left" w:pos="360"/>
        </w:tabs>
        <w:spacing w:after="0" w:line="240" w:lineRule="auto"/>
        <w:ind w:left="0" w:firstLine="284"/>
        <w:jc w:val="both"/>
        <w:rPr>
          <w:rFonts w:ascii="Garamond" w:hAnsi="Garamond" w:cs="Times New Roman"/>
          <w:sz w:val="24"/>
          <w:szCs w:val="24"/>
          <w:lang w:val="sq-AL"/>
        </w:rPr>
      </w:pPr>
      <w:r w:rsidRPr="00FA38F9">
        <w:rPr>
          <w:rFonts w:ascii="Garamond" w:hAnsi="Garamond" w:cs="Times New Roman"/>
          <w:sz w:val="24"/>
          <w:szCs w:val="24"/>
          <w:lang w:val="sq-AL"/>
        </w:rPr>
        <w:t xml:space="preserve">8. Institucionet e parasë elektronike që japin kredi në përputhje me kërkesat e nenit 19, pikat 4 dhe 6 të ligjit “Për shërbimet e pagesave”, llogarisin një kërkesë për kapital për rrezikun e kredisë, të paktën sa 6% (gjashtë për qind) e tepricës së kredive të disbursuara, duke përjashtuar transaksionet e pagesave të kryera me karta krediti. </w:t>
      </w:r>
    </w:p>
    <w:p w14:paraId="3CBF800A" w14:textId="4DA2FC46" w:rsidR="009E23AF" w:rsidRPr="00FA38F9" w:rsidRDefault="009E23AF" w:rsidP="009E23AF">
      <w:pPr>
        <w:pStyle w:val="ListParagraph"/>
        <w:tabs>
          <w:tab w:val="left" w:pos="360"/>
        </w:tabs>
        <w:spacing w:after="0" w:line="240" w:lineRule="auto"/>
        <w:ind w:left="0" w:firstLine="284"/>
        <w:jc w:val="both"/>
        <w:rPr>
          <w:rFonts w:ascii="Garamond" w:hAnsi="Garamond" w:cs="Times New Roman"/>
          <w:sz w:val="24"/>
          <w:szCs w:val="24"/>
          <w:lang w:val="sq-AL"/>
        </w:rPr>
      </w:pPr>
      <w:r w:rsidRPr="00FA38F9">
        <w:rPr>
          <w:rFonts w:ascii="Garamond" w:hAnsi="Garamond" w:cs="Times New Roman"/>
          <w:sz w:val="24"/>
          <w:szCs w:val="24"/>
          <w:lang w:val="sq-AL"/>
        </w:rPr>
        <w:t>9. Institucionet e parasë elektronike mbajnë në çdo kohë një nivel kapitali të paktën sa shuma e kërkesës për kapital për emetimin e parasë elektronike, të kërkesës për kapital për shërbimet e pagesave (aty ku është e zbatueshme), si dhe të kërkesës për kapital për rrezikun e kredisë (aty ku është e zbatueshme).</w:t>
      </w:r>
    </w:p>
    <w:p w14:paraId="2604B602" w14:textId="77777777" w:rsidR="009E23AF" w:rsidRPr="00FA38F9" w:rsidRDefault="009E23AF" w:rsidP="009E23AF">
      <w:pPr>
        <w:pStyle w:val="ListParagraph"/>
        <w:tabs>
          <w:tab w:val="center" w:pos="4680"/>
          <w:tab w:val="left" w:pos="5440"/>
        </w:tabs>
        <w:spacing w:after="0" w:line="240" w:lineRule="auto"/>
        <w:ind w:left="0" w:firstLine="284"/>
        <w:jc w:val="center"/>
        <w:rPr>
          <w:rFonts w:ascii="Garamond" w:hAnsi="Garamond"/>
          <w:sz w:val="24"/>
          <w:szCs w:val="24"/>
          <w:lang w:val="sq-AL"/>
        </w:rPr>
      </w:pPr>
    </w:p>
    <w:p w14:paraId="1DC73223" w14:textId="77777777" w:rsidR="009E23AF" w:rsidRPr="000D3EDC" w:rsidRDefault="009E23AF" w:rsidP="009E23AF">
      <w:pPr>
        <w:pStyle w:val="ListParagraph"/>
        <w:tabs>
          <w:tab w:val="center" w:pos="4680"/>
          <w:tab w:val="left" w:pos="5440"/>
        </w:tabs>
        <w:spacing w:after="0" w:line="240" w:lineRule="auto"/>
        <w:ind w:left="0" w:firstLine="284"/>
        <w:jc w:val="center"/>
        <w:rPr>
          <w:rFonts w:ascii="Garamond" w:hAnsi="Garamond"/>
          <w:sz w:val="24"/>
          <w:szCs w:val="24"/>
          <w:lang w:val="sq-AL"/>
        </w:rPr>
      </w:pPr>
      <w:r w:rsidRPr="000D3EDC">
        <w:rPr>
          <w:rFonts w:ascii="Garamond" w:hAnsi="Garamond" w:cs="Times New Roman"/>
          <w:sz w:val="24"/>
          <w:szCs w:val="24"/>
          <w:lang w:val="sq-AL"/>
        </w:rPr>
        <w:t>NËNKREU III</w:t>
      </w:r>
    </w:p>
    <w:p w14:paraId="7DDB2029" w14:textId="77777777" w:rsidR="009E23AF" w:rsidRPr="000D3EDC" w:rsidRDefault="009E23AF" w:rsidP="009E23AF">
      <w:pPr>
        <w:pStyle w:val="ListParagraph"/>
        <w:tabs>
          <w:tab w:val="center" w:pos="4680"/>
          <w:tab w:val="left" w:pos="5440"/>
        </w:tabs>
        <w:spacing w:after="0" w:line="240" w:lineRule="auto"/>
        <w:ind w:left="0" w:firstLine="284"/>
        <w:jc w:val="center"/>
        <w:rPr>
          <w:rFonts w:ascii="Garamond" w:hAnsi="Garamond" w:cs="Times New Roman"/>
          <w:sz w:val="24"/>
          <w:szCs w:val="24"/>
          <w:lang w:val="sq-AL"/>
        </w:rPr>
      </w:pPr>
      <w:r w:rsidRPr="000D3EDC">
        <w:rPr>
          <w:rFonts w:ascii="Garamond" w:hAnsi="Garamond" w:cs="Times New Roman"/>
          <w:sz w:val="24"/>
          <w:szCs w:val="24"/>
          <w:lang w:val="sq-AL"/>
        </w:rPr>
        <w:t>MBROJTJA E FONDEVE</w:t>
      </w:r>
    </w:p>
    <w:p w14:paraId="5A6DAE9E" w14:textId="77777777" w:rsidR="009E23AF" w:rsidRPr="00FA38F9" w:rsidRDefault="009E23AF" w:rsidP="009E23AF">
      <w:pPr>
        <w:spacing w:after="0" w:line="240" w:lineRule="auto"/>
        <w:ind w:firstLine="284"/>
        <w:jc w:val="center"/>
        <w:rPr>
          <w:rFonts w:ascii="Garamond" w:hAnsi="Garamond" w:cs="Times New Roman"/>
          <w:b/>
          <w:bCs/>
          <w:sz w:val="24"/>
          <w:szCs w:val="24"/>
          <w:lang w:val="sq-AL"/>
        </w:rPr>
      </w:pPr>
    </w:p>
    <w:p w14:paraId="3CD0C8A1" w14:textId="77777777" w:rsidR="009E23AF" w:rsidRPr="000D3EDC" w:rsidRDefault="009E23AF" w:rsidP="009E23AF">
      <w:pPr>
        <w:spacing w:after="0" w:line="240" w:lineRule="auto"/>
        <w:ind w:firstLine="284"/>
        <w:jc w:val="center"/>
        <w:rPr>
          <w:rFonts w:ascii="Garamond" w:hAnsi="Garamond" w:cs="Times New Roman"/>
          <w:bCs/>
          <w:sz w:val="24"/>
          <w:szCs w:val="24"/>
          <w:lang w:val="sq-AL"/>
        </w:rPr>
      </w:pPr>
      <w:r w:rsidRPr="000D3EDC">
        <w:rPr>
          <w:rFonts w:ascii="Garamond" w:hAnsi="Garamond" w:cs="Times New Roman"/>
          <w:bCs/>
          <w:sz w:val="24"/>
          <w:szCs w:val="24"/>
          <w:lang w:val="sq-AL"/>
        </w:rPr>
        <w:t>Neni 15</w:t>
      </w:r>
    </w:p>
    <w:p w14:paraId="30AD8B2D" w14:textId="77777777" w:rsidR="009E23AF" w:rsidRPr="00FA38F9" w:rsidRDefault="009E23AF" w:rsidP="009E23AF">
      <w:pPr>
        <w:spacing w:after="0" w:line="240" w:lineRule="auto"/>
        <w:ind w:firstLine="284"/>
        <w:jc w:val="center"/>
        <w:rPr>
          <w:rFonts w:ascii="Garamond" w:hAnsi="Garamond" w:cs="Times New Roman"/>
          <w:b/>
          <w:bCs/>
          <w:sz w:val="24"/>
          <w:szCs w:val="24"/>
          <w:lang w:val="sq-AL"/>
        </w:rPr>
      </w:pPr>
      <w:r w:rsidRPr="00FA38F9">
        <w:rPr>
          <w:rFonts w:ascii="Garamond" w:hAnsi="Garamond" w:cs="Times New Roman"/>
          <w:b/>
          <w:bCs/>
          <w:sz w:val="24"/>
          <w:szCs w:val="24"/>
          <w:lang w:val="sq-AL"/>
        </w:rPr>
        <w:t>Mbrojtja e fondeve të klientëve të institucioneve të parasë elektronike</w:t>
      </w:r>
    </w:p>
    <w:p w14:paraId="0A5D879D" w14:textId="77777777" w:rsidR="009E23AF" w:rsidRPr="00FA38F9" w:rsidRDefault="009E23AF" w:rsidP="009E23AF">
      <w:pPr>
        <w:spacing w:after="0" w:line="240" w:lineRule="auto"/>
        <w:ind w:firstLine="284"/>
        <w:jc w:val="center"/>
        <w:rPr>
          <w:rFonts w:ascii="Garamond" w:hAnsi="Garamond" w:cs="Times New Roman"/>
          <w:b/>
          <w:bCs/>
          <w:sz w:val="24"/>
          <w:szCs w:val="24"/>
          <w:lang w:val="sq-AL"/>
        </w:rPr>
      </w:pPr>
    </w:p>
    <w:p w14:paraId="0CC10A27" w14:textId="71AE3F1C" w:rsidR="009E23AF" w:rsidRPr="00FA38F9" w:rsidRDefault="009E23AF" w:rsidP="009E23AF">
      <w:pPr>
        <w:pStyle w:val="ListParagraph"/>
        <w:spacing w:after="0" w:line="240" w:lineRule="auto"/>
        <w:ind w:left="0" w:firstLine="284"/>
        <w:jc w:val="both"/>
        <w:rPr>
          <w:rFonts w:ascii="Garamond" w:hAnsi="Garamond" w:cs="Times New Roman"/>
          <w:b/>
          <w:bCs/>
          <w:sz w:val="24"/>
          <w:szCs w:val="24"/>
          <w:lang w:val="sq-AL"/>
        </w:rPr>
      </w:pPr>
      <w:r w:rsidRPr="00FA38F9">
        <w:rPr>
          <w:rFonts w:ascii="Garamond" w:hAnsi="Garamond" w:cs="Times New Roman"/>
          <w:lang w:val="sq-AL"/>
        </w:rPr>
        <w:t xml:space="preserve">1. </w:t>
      </w:r>
      <w:r w:rsidRPr="00FA38F9">
        <w:rPr>
          <w:rFonts w:ascii="Garamond" w:hAnsi="Garamond" w:cs="Times New Roman"/>
          <w:sz w:val="24"/>
          <w:szCs w:val="24"/>
          <w:lang w:val="sq-AL"/>
        </w:rPr>
        <w:t>Institucioni i parasë elektronike mbron të gjitha fondet e pranuara në këmbim të emetimit të parasë elektronike në vlerën e tepricës së parasë elektronike, në përputhje me kërkesat e nenit 12</w:t>
      </w:r>
      <w:r w:rsidR="0020557A">
        <w:rPr>
          <w:rFonts w:ascii="Garamond" w:hAnsi="Garamond" w:cs="Times New Roman"/>
          <w:sz w:val="24"/>
          <w:szCs w:val="24"/>
          <w:lang w:val="sq-AL"/>
        </w:rPr>
        <w:t>,</w:t>
      </w:r>
      <w:r w:rsidRPr="00FA38F9">
        <w:rPr>
          <w:rFonts w:ascii="Garamond" w:hAnsi="Garamond" w:cs="Times New Roman"/>
          <w:sz w:val="24"/>
          <w:szCs w:val="24"/>
          <w:lang w:val="sq-AL"/>
        </w:rPr>
        <w:t xml:space="preserve"> të ligjit “Për shërbimet e pagesave”, dhe në njërën nga format e mëposhtme:</w:t>
      </w:r>
    </w:p>
    <w:p w14:paraId="64AF349C" w14:textId="0D021CF7" w:rsidR="009E23AF" w:rsidRPr="00FA38F9" w:rsidRDefault="009E23AF" w:rsidP="009E23AF">
      <w:pPr>
        <w:pStyle w:val="ListParagraph"/>
        <w:tabs>
          <w:tab w:val="left" w:pos="720"/>
        </w:tabs>
        <w:spacing w:after="0" w:line="240" w:lineRule="auto"/>
        <w:ind w:left="0" w:firstLine="284"/>
        <w:jc w:val="both"/>
        <w:rPr>
          <w:rFonts w:ascii="Garamond" w:hAnsi="Garamond" w:cs="Times New Roman"/>
          <w:b/>
          <w:bCs/>
          <w:sz w:val="24"/>
          <w:szCs w:val="24"/>
          <w:lang w:val="sq-AL"/>
        </w:rPr>
      </w:pPr>
      <w:r w:rsidRPr="00FA38F9">
        <w:rPr>
          <w:rFonts w:ascii="Garamond" w:hAnsi="Garamond" w:cs="Times New Roman"/>
          <w:sz w:val="24"/>
          <w:szCs w:val="24"/>
          <w:lang w:val="sq-AL"/>
        </w:rPr>
        <w:t xml:space="preserve">a) fondet e mbajtësve të parasë elektronike nuk duhet të bashkohen në asnjë rast me fondet e vetë institucionit të parasë elektronike apo të ndonjë personi fizik apo juridik, të ndryshëm nga mbajtësit e parasë elektronike në emër të të cilëve janë mbajtur fondet dhe ato do të vendosen (depozitohen) në një llogari të veçantë në bankë, ose do të investohen në aktive të sigurta, me rrezik të ulët e likuide, siç përcaktohet në pikën 5 të këtij neni; </w:t>
      </w:r>
    </w:p>
    <w:p w14:paraId="30823896" w14:textId="055A88AC" w:rsidR="009E23AF" w:rsidRPr="00FA38F9" w:rsidRDefault="009E23AF" w:rsidP="009E23AF">
      <w:pPr>
        <w:pStyle w:val="ListParagraph"/>
        <w:tabs>
          <w:tab w:val="left" w:pos="720"/>
        </w:tabs>
        <w:spacing w:after="0" w:line="240" w:lineRule="auto"/>
        <w:ind w:left="0" w:firstLine="284"/>
        <w:jc w:val="both"/>
        <w:rPr>
          <w:rFonts w:ascii="Garamond" w:hAnsi="Garamond" w:cs="Times New Roman"/>
          <w:sz w:val="24"/>
          <w:szCs w:val="24"/>
          <w:lang w:val="sq-AL"/>
        </w:rPr>
      </w:pPr>
      <w:r w:rsidRPr="00FA38F9">
        <w:rPr>
          <w:rFonts w:ascii="Garamond" w:hAnsi="Garamond" w:cs="Times New Roman"/>
          <w:sz w:val="24"/>
          <w:szCs w:val="24"/>
          <w:lang w:val="sq-AL"/>
        </w:rPr>
        <w:t xml:space="preserve">b) fondet e mbajtësve të parasë elektronike do të mbulohen nëpërmjet një police sigurimi ose ndonjë garancie tjetër të njëjtë me të nga një shoqëri sigurimi ose nga një bankë, e cila nuk i përket të njëjtit grup bankar/financiar të institucionit të parasë elektronike, për një shumë të barasvlershme me atë që do të ishte veçuar në mungesë të policës së sigurimit ose të garancisë tjetër. </w:t>
      </w:r>
    </w:p>
    <w:p w14:paraId="0EC1AC42" w14:textId="77777777" w:rsidR="009E23AF" w:rsidRPr="00FA38F9" w:rsidRDefault="009E23AF" w:rsidP="009E23AF">
      <w:pPr>
        <w:pStyle w:val="ListParagraph"/>
        <w:spacing w:after="0" w:line="240" w:lineRule="auto"/>
        <w:ind w:left="0" w:firstLine="284"/>
        <w:jc w:val="both"/>
        <w:rPr>
          <w:rFonts w:ascii="Garamond" w:hAnsi="Garamond" w:cs="Times New Roman"/>
          <w:sz w:val="24"/>
          <w:szCs w:val="24"/>
          <w:lang w:val="sq-AL"/>
        </w:rPr>
      </w:pPr>
      <w:r w:rsidRPr="00FA38F9">
        <w:rPr>
          <w:rFonts w:ascii="Garamond" w:hAnsi="Garamond" w:cs="Times New Roman"/>
          <w:sz w:val="24"/>
          <w:szCs w:val="24"/>
          <w:lang w:val="sq-AL"/>
        </w:rPr>
        <w:t xml:space="preserve">Për qëllime të kësaj pike, vlera e tepricës së parasë elektronike llogaritet në fund të çdo dite pune. </w:t>
      </w:r>
    </w:p>
    <w:p w14:paraId="36FA2AAE" w14:textId="31F75C85" w:rsidR="009E23AF" w:rsidRPr="00FA38F9" w:rsidRDefault="009E23AF" w:rsidP="009E23AF">
      <w:pPr>
        <w:pStyle w:val="ListParagraph"/>
        <w:spacing w:after="0" w:line="240" w:lineRule="auto"/>
        <w:ind w:left="0" w:firstLine="284"/>
        <w:jc w:val="both"/>
        <w:rPr>
          <w:rFonts w:ascii="Garamond" w:hAnsi="Garamond" w:cs="Times New Roman"/>
          <w:sz w:val="24"/>
          <w:szCs w:val="24"/>
          <w:lang w:val="sq-AL"/>
        </w:rPr>
      </w:pPr>
      <w:r w:rsidRPr="00FA38F9">
        <w:rPr>
          <w:rFonts w:ascii="Garamond" w:hAnsi="Garamond" w:cs="Times New Roman"/>
          <w:lang w:val="sq-AL"/>
        </w:rPr>
        <w:t xml:space="preserve">2. </w:t>
      </w:r>
      <w:r w:rsidRPr="00FA38F9">
        <w:rPr>
          <w:rFonts w:ascii="Garamond" w:hAnsi="Garamond" w:cs="Times New Roman"/>
          <w:sz w:val="24"/>
          <w:szCs w:val="24"/>
          <w:lang w:val="sq-AL"/>
        </w:rPr>
        <w:t xml:space="preserve">Fondet e parashikuara në pikën 1 të këtij neni, të marra në formën e pagesës me instrument pagese (jo pagesë në </w:t>
      </w:r>
      <w:r w:rsidRPr="00FA38F9">
        <w:rPr>
          <w:rFonts w:ascii="Garamond" w:hAnsi="Garamond" w:cs="Times New Roman"/>
          <w:i/>
          <w:iCs/>
          <w:sz w:val="24"/>
          <w:szCs w:val="24"/>
          <w:lang w:val="sq-AL"/>
        </w:rPr>
        <w:t>cash</w:t>
      </w:r>
      <w:r w:rsidRPr="00FA38F9">
        <w:rPr>
          <w:rFonts w:ascii="Garamond" w:hAnsi="Garamond" w:cs="Times New Roman"/>
          <w:sz w:val="24"/>
          <w:szCs w:val="24"/>
          <w:lang w:val="sq-AL"/>
        </w:rPr>
        <w:t>) nuk është e nevojshme të mbrohen (sigurohen), derisa ato të kreditohen në llogarinë e pagesave të institucionit të parasë elektronike ose derisa të vihen në dispozicion të institucionit të parasë elektronike, në përputhje me kërkesat për kohën e ekzekutimit të përcaktuara në ligjin “Për shërbimet e pagesave”, aty ku është e aplikueshme. Në çdo rast, këto fonde do të mbrohen (sigurohen), jo më vonë se 5 (pesë) ditë pune pas emetimit të parasë elektronike.</w:t>
      </w:r>
    </w:p>
    <w:p w14:paraId="364432B9" w14:textId="52642D7A" w:rsidR="009E23AF" w:rsidRPr="00FA38F9" w:rsidRDefault="009E23AF" w:rsidP="009E23AF">
      <w:pPr>
        <w:pStyle w:val="ListParagraph"/>
        <w:tabs>
          <w:tab w:val="left" w:pos="900"/>
          <w:tab w:val="left" w:pos="1820"/>
          <w:tab w:val="left" w:pos="2740"/>
          <w:tab w:val="left" w:pos="3660"/>
          <w:tab w:val="left" w:pos="4580"/>
          <w:tab w:val="left" w:pos="5480"/>
          <w:tab w:val="left" w:pos="6400"/>
          <w:tab w:val="left" w:pos="7320"/>
          <w:tab w:val="left" w:pos="8240"/>
          <w:tab w:val="left" w:pos="9160"/>
          <w:tab w:val="left" w:pos="10060"/>
          <w:tab w:val="left" w:pos="10980"/>
          <w:tab w:val="left" w:pos="11900"/>
          <w:tab w:val="left" w:pos="12820"/>
          <w:tab w:val="left" w:pos="13740"/>
          <w:tab w:val="left" w:pos="14640"/>
        </w:tabs>
        <w:spacing w:after="0" w:line="240" w:lineRule="auto"/>
        <w:ind w:left="0" w:firstLine="284"/>
        <w:jc w:val="both"/>
        <w:rPr>
          <w:rFonts w:ascii="Garamond" w:hAnsi="Garamond" w:cs="Times New Roman"/>
          <w:sz w:val="24"/>
          <w:szCs w:val="24"/>
          <w:lang w:val="sq-AL"/>
        </w:rPr>
      </w:pPr>
      <w:r w:rsidRPr="00FA38F9">
        <w:rPr>
          <w:rFonts w:ascii="Garamond" w:hAnsi="Garamond" w:cs="Times New Roman"/>
          <w:lang w:val="sq-AL"/>
        </w:rPr>
        <w:t xml:space="preserve">3. </w:t>
      </w:r>
      <w:r w:rsidRPr="00FA38F9">
        <w:rPr>
          <w:rFonts w:ascii="Garamond" w:hAnsi="Garamond" w:cs="Times New Roman"/>
          <w:sz w:val="24"/>
          <w:szCs w:val="24"/>
          <w:lang w:val="sq-AL"/>
        </w:rPr>
        <w:t>Institucioni i parasë elektronike që ofron edhe shërbime të pagesave që nuk lidhen me emetimin e parasë elektronike, mbron (siguron) në mënyrë të veçuar nga fondet e pranuara në këmbim të emetimit të parasë elektronike, edhe fondet e përdoruesve të shërbimeve të pagesave, siç parashikohet në nenin 12 të ligjit “Për shërbimet e pagesave” dhe në pikën 1 të këtij neni. Në rastin e përdorimit të policës së sigurimit ose garancisë, institucioni i parasë elektronike duhet të sigurohet që ato mbulojnë të dy grupet e fondeve.</w:t>
      </w:r>
    </w:p>
    <w:p w14:paraId="715AB10E" w14:textId="4FA48AAA" w:rsidR="009E23AF" w:rsidRPr="00FA38F9" w:rsidRDefault="009E23AF" w:rsidP="009E23AF">
      <w:pPr>
        <w:pStyle w:val="ListParagraph"/>
        <w:spacing w:after="0" w:line="240" w:lineRule="auto"/>
        <w:ind w:left="0" w:firstLine="284"/>
        <w:jc w:val="both"/>
        <w:rPr>
          <w:rFonts w:ascii="Garamond" w:hAnsi="Garamond" w:cs="Times New Roman"/>
          <w:sz w:val="24"/>
          <w:szCs w:val="24"/>
          <w:lang w:val="sq-AL"/>
        </w:rPr>
      </w:pPr>
      <w:r w:rsidRPr="00FA38F9">
        <w:rPr>
          <w:rFonts w:ascii="Garamond" w:hAnsi="Garamond" w:cs="Times New Roman"/>
          <w:lang w:val="sq-AL"/>
        </w:rPr>
        <w:t xml:space="preserve">4. </w:t>
      </w:r>
      <w:r w:rsidRPr="00FA38F9">
        <w:rPr>
          <w:rFonts w:ascii="Garamond" w:hAnsi="Garamond" w:cs="Times New Roman"/>
          <w:sz w:val="24"/>
          <w:szCs w:val="24"/>
          <w:lang w:val="sq-AL"/>
        </w:rPr>
        <w:t>Polica e sigurimit ose garancia duhet të jetë e pagueshme, në rast se institucioni i parasë elektronike nuk është në gjendje të përmbushë detyrimet e tij financiare ndaj mbajtësve të parasë elektronike dhe përdoruesve të shërbimeve të pagesave, sipas shkaqeve/ngjarjeve (</w:t>
      </w:r>
      <w:r w:rsidRPr="00FA38F9">
        <w:rPr>
          <w:rFonts w:ascii="Garamond" w:hAnsi="Garamond" w:cs="Times New Roman"/>
          <w:i/>
          <w:iCs/>
          <w:sz w:val="24"/>
          <w:szCs w:val="24"/>
          <w:lang w:val="sq-AL"/>
        </w:rPr>
        <w:t>triggers</w:t>
      </w:r>
      <w:r w:rsidRPr="00FA38F9">
        <w:rPr>
          <w:rFonts w:ascii="Garamond" w:hAnsi="Garamond" w:cs="Times New Roman"/>
          <w:sz w:val="24"/>
          <w:szCs w:val="24"/>
          <w:lang w:val="sq-AL"/>
        </w:rPr>
        <w:t>) që aktivizojnë zbatimin e tyre dhe të cilat janë të përcaktuara përkatësisht, në kontratën e sigurimit ose në kontratën e garancisë. Polica e sigurimit ose garancia nuk ka ndonjë klauzolë mbi franshizën, pjesën e zbritshme (</w:t>
      </w:r>
      <w:r w:rsidRPr="00FA38F9">
        <w:rPr>
          <w:rFonts w:ascii="Garamond" w:hAnsi="Garamond" w:cs="Times New Roman"/>
          <w:i/>
          <w:iCs/>
          <w:sz w:val="24"/>
          <w:szCs w:val="24"/>
          <w:lang w:val="sq-AL"/>
        </w:rPr>
        <w:t>deductible</w:t>
      </w:r>
      <w:r w:rsidRPr="00FA38F9">
        <w:rPr>
          <w:rFonts w:ascii="Garamond" w:hAnsi="Garamond" w:cs="Times New Roman"/>
          <w:sz w:val="24"/>
          <w:szCs w:val="24"/>
          <w:lang w:val="sq-AL"/>
        </w:rPr>
        <w:t>) ose shumën minimale (</w:t>
      </w:r>
      <w:r w:rsidRPr="00FA38F9">
        <w:rPr>
          <w:rFonts w:ascii="Garamond" w:hAnsi="Garamond" w:cs="Times New Roman"/>
          <w:i/>
          <w:iCs/>
          <w:sz w:val="24"/>
          <w:szCs w:val="24"/>
          <w:lang w:val="sq-AL"/>
        </w:rPr>
        <w:t>threshold</w:t>
      </w:r>
      <w:r w:rsidRPr="00FA38F9">
        <w:rPr>
          <w:rFonts w:ascii="Garamond" w:hAnsi="Garamond" w:cs="Times New Roman"/>
          <w:sz w:val="24"/>
          <w:szCs w:val="24"/>
          <w:lang w:val="sq-AL"/>
        </w:rPr>
        <w:t>) që mund të cenojë disbursimin e pagesave te përfituesit ose ndonjë ofrues tjetër i shërbimeve të pagesave.</w:t>
      </w:r>
    </w:p>
    <w:p w14:paraId="3F475BB9" w14:textId="2428D594" w:rsidR="009E23AF" w:rsidRPr="00FA38F9" w:rsidRDefault="009E23AF" w:rsidP="009E23AF">
      <w:pPr>
        <w:pStyle w:val="ListParagraph"/>
        <w:spacing w:after="0" w:line="240" w:lineRule="auto"/>
        <w:ind w:left="0" w:firstLine="284"/>
        <w:jc w:val="both"/>
        <w:rPr>
          <w:rFonts w:ascii="Garamond" w:hAnsi="Garamond" w:cs="Times New Roman"/>
          <w:sz w:val="24"/>
          <w:szCs w:val="24"/>
          <w:lang w:val="sq-AL"/>
        </w:rPr>
      </w:pPr>
      <w:r w:rsidRPr="00FA38F9">
        <w:rPr>
          <w:rFonts w:ascii="Garamond" w:hAnsi="Garamond" w:cs="Times New Roman"/>
          <w:lang w:val="sq-AL"/>
        </w:rPr>
        <w:t xml:space="preserve">5. </w:t>
      </w:r>
      <w:r w:rsidRPr="00FA38F9">
        <w:rPr>
          <w:rFonts w:ascii="Garamond" w:hAnsi="Garamond" w:cs="Times New Roman"/>
          <w:sz w:val="24"/>
          <w:szCs w:val="24"/>
          <w:lang w:val="sq-AL"/>
        </w:rPr>
        <w:t>Për qëllime të zbatimit të shkronjës “a” të pikës 1 të këtij neni, “aktive të sigurta, me rrezik të ulët e likuide” të një institucioni të parasë elektronike, do të konsiderohen:</w:t>
      </w:r>
    </w:p>
    <w:p w14:paraId="2F96A8F1" w14:textId="1B917281" w:rsidR="009E23AF" w:rsidRPr="00FA38F9" w:rsidRDefault="009E23AF" w:rsidP="009E23AF">
      <w:pPr>
        <w:pStyle w:val="ListParagraph"/>
        <w:tabs>
          <w:tab w:val="left" w:pos="2880"/>
        </w:tabs>
        <w:spacing w:after="0" w:line="240" w:lineRule="auto"/>
        <w:ind w:left="0" w:firstLine="284"/>
        <w:jc w:val="both"/>
        <w:rPr>
          <w:rFonts w:ascii="Garamond" w:hAnsi="Garamond" w:cs="Times New Roman"/>
          <w:sz w:val="24"/>
          <w:szCs w:val="24"/>
          <w:lang w:val="sq-AL"/>
        </w:rPr>
      </w:pPr>
      <w:r w:rsidRPr="00FA38F9">
        <w:rPr>
          <w:rFonts w:ascii="Garamond" w:hAnsi="Garamond" w:cs="Times New Roman"/>
          <w:sz w:val="24"/>
          <w:szCs w:val="24"/>
          <w:lang w:val="sq-AL"/>
        </w:rPr>
        <w:t>a) titujt e borxhit të emetuar ose të garantuar nga qeveria shqiptare, qeveritë qendrore dhe bankat qendrore, nga organizatat ndërkombëtare, nga bankat shumëpalëshe të zhvillimit, ose nga qeveritë rajonale ose autoritetet lokale, të cilëve u caktohet shkalla e cilësisë së kredisë “1”, ose që ponderohen me peshën e rrezikut 0% (zero për qind), në përputhje me rregulloren “Për raportin e mjaftueshmërisë së kapitalit”;</w:t>
      </w:r>
    </w:p>
    <w:p w14:paraId="41DBEC22" w14:textId="4D3D6EC6" w:rsidR="009E23AF" w:rsidRPr="00FA38F9" w:rsidRDefault="009E23AF" w:rsidP="009E23AF">
      <w:pPr>
        <w:pStyle w:val="ListParagraph"/>
        <w:tabs>
          <w:tab w:val="left" w:pos="2880"/>
        </w:tabs>
        <w:spacing w:after="0" w:line="240" w:lineRule="auto"/>
        <w:ind w:left="0" w:firstLine="284"/>
        <w:jc w:val="both"/>
        <w:rPr>
          <w:rFonts w:ascii="Garamond" w:hAnsi="Garamond" w:cs="Times New Roman"/>
          <w:sz w:val="24"/>
          <w:szCs w:val="24"/>
          <w:lang w:val="sq-AL"/>
        </w:rPr>
      </w:pPr>
      <w:r w:rsidRPr="00FA38F9">
        <w:rPr>
          <w:rFonts w:ascii="Garamond" w:hAnsi="Garamond" w:cs="Times New Roman"/>
          <w:sz w:val="24"/>
          <w:szCs w:val="24"/>
          <w:lang w:val="sq-AL"/>
        </w:rPr>
        <w:t>b) titujt e borxhit të emetuar ose të garantuar nga qeveria shqiptare, qeveritë qendrore dhe bankat qendrore, nga organizatat ndërkombëtare, nga bankat shumëpalëshe të zhvillimit, ose nga qeveritë rajonale ose autoritetet lokale, të cilëve u caktohet shkalla e cilësisë së kredisë “2” ose “3”, në përputhje me rregulloren “Për raportin e mjaftueshmërisë së kapitalit”;</w:t>
      </w:r>
    </w:p>
    <w:p w14:paraId="2CFEB23D" w14:textId="5C80F294" w:rsidR="009E23AF" w:rsidRPr="00FA38F9" w:rsidRDefault="009E23AF" w:rsidP="009E23AF">
      <w:pPr>
        <w:pStyle w:val="ListParagraph"/>
        <w:tabs>
          <w:tab w:val="left" w:pos="2880"/>
        </w:tabs>
        <w:spacing w:after="0" w:line="240" w:lineRule="auto"/>
        <w:ind w:left="0" w:firstLine="284"/>
        <w:jc w:val="both"/>
        <w:rPr>
          <w:rFonts w:ascii="Garamond" w:hAnsi="Garamond" w:cs="Times New Roman"/>
          <w:sz w:val="24"/>
          <w:szCs w:val="24"/>
          <w:lang w:val="sq-AL"/>
        </w:rPr>
      </w:pPr>
      <w:r w:rsidRPr="00FA38F9">
        <w:rPr>
          <w:rFonts w:ascii="Garamond" w:hAnsi="Garamond" w:cs="Times New Roman"/>
          <w:sz w:val="24"/>
          <w:szCs w:val="24"/>
          <w:lang w:val="sq-AL"/>
        </w:rPr>
        <w:t xml:space="preserve">c) titujt e borxhit të emetuar nga institucionet e mbikëqyrura, të cilave u caktohet shkalla e cilësisë së kredisë “1” ose “2”, ose titujt e borxhit të emetuar nga institucionet e mbikëqyrura, të cilëve u caktohet shkalla e cilësisë së kredisë “3”, por që trajtohen sipas kërkesave të nenit 17/2, pika 3, të rregullores “Për raportin e mjaftueshmërisë së kapitalit”; </w:t>
      </w:r>
    </w:p>
    <w:p w14:paraId="4208987D" w14:textId="0F9B2D46" w:rsidR="009E23AF" w:rsidRPr="00FA38F9" w:rsidRDefault="009E23AF" w:rsidP="009E23AF">
      <w:pPr>
        <w:pStyle w:val="ListParagraph"/>
        <w:tabs>
          <w:tab w:val="left" w:pos="2880"/>
        </w:tabs>
        <w:spacing w:after="0" w:line="240" w:lineRule="auto"/>
        <w:ind w:left="0" w:firstLine="284"/>
        <w:jc w:val="both"/>
        <w:rPr>
          <w:rFonts w:ascii="Garamond" w:hAnsi="Garamond" w:cs="Times New Roman"/>
          <w:sz w:val="24"/>
          <w:szCs w:val="24"/>
          <w:lang w:val="sq-AL"/>
        </w:rPr>
      </w:pPr>
      <w:r w:rsidRPr="00FA38F9">
        <w:rPr>
          <w:rFonts w:ascii="Garamond" w:hAnsi="Garamond" w:cs="Times New Roman"/>
          <w:sz w:val="24"/>
          <w:szCs w:val="24"/>
          <w:lang w:val="sq-AL"/>
        </w:rPr>
        <w:t>d) titujt e borxhit të emetuar nga shoqëritë tregtare, të cilëve u caktohet shkalla e cilësisë së kredisë “1” ose “2”, në përputhje me rregulloren “Për raportin e mjaftueshmërisë së kapitalit”;</w:t>
      </w:r>
    </w:p>
    <w:p w14:paraId="5ECED471" w14:textId="45F3F02A" w:rsidR="009E23AF" w:rsidRPr="00FA38F9" w:rsidRDefault="009E23AF" w:rsidP="009E23AF">
      <w:pPr>
        <w:pStyle w:val="ListParagraph"/>
        <w:tabs>
          <w:tab w:val="left" w:pos="2880"/>
        </w:tabs>
        <w:spacing w:after="0" w:line="240" w:lineRule="auto"/>
        <w:ind w:left="0" w:firstLine="284"/>
        <w:jc w:val="both"/>
        <w:rPr>
          <w:rFonts w:ascii="Garamond" w:hAnsi="Garamond" w:cs="Times New Roman"/>
          <w:sz w:val="24"/>
          <w:szCs w:val="24"/>
          <w:lang w:val="sq-AL"/>
        </w:rPr>
      </w:pPr>
      <w:r w:rsidRPr="00FA38F9">
        <w:rPr>
          <w:rFonts w:ascii="Garamond" w:hAnsi="Garamond" w:cs="Times New Roman"/>
          <w:sz w:val="24"/>
          <w:szCs w:val="24"/>
          <w:lang w:val="sq-AL"/>
        </w:rPr>
        <w:t>e) kuotat në sipërmarrjet e investimeve kolektive në tituj të transferueshëm (SIKTT), të cilat investojnë vetëm në aktivet e përmendura në shkronjat “a” deri në “d” të kësaj pike.</w:t>
      </w:r>
    </w:p>
    <w:p w14:paraId="3FB8D582" w14:textId="77777777" w:rsidR="009E23AF" w:rsidRPr="00FA38F9" w:rsidRDefault="009E23AF" w:rsidP="009E23AF">
      <w:pPr>
        <w:spacing w:after="0" w:line="240" w:lineRule="auto"/>
        <w:ind w:firstLine="284"/>
        <w:jc w:val="center"/>
        <w:rPr>
          <w:rFonts w:ascii="Garamond" w:hAnsi="Garamond" w:cs="Times New Roman"/>
          <w:b/>
          <w:bCs/>
          <w:sz w:val="24"/>
          <w:szCs w:val="24"/>
          <w:lang w:val="sq-AL"/>
        </w:rPr>
      </w:pPr>
    </w:p>
    <w:p w14:paraId="30E3A9A1" w14:textId="77777777" w:rsidR="009E23AF" w:rsidRPr="00967507" w:rsidRDefault="009E23AF" w:rsidP="009E23AF">
      <w:pPr>
        <w:spacing w:after="0" w:line="240" w:lineRule="auto"/>
        <w:ind w:firstLine="284"/>
        <w:jc w:val="center"/>
        <w:rPr>
          <w:rFonts w:ascii="Garamond" w:hAnsi="Garamond" w:cs="Times New Roman"/>
          <w:bCs/>
          <w:sz w:val="24"/>
          <w:szCs w:val="24"/>
          <w:lang w:val="sq-AL"/>
        </w:rPr>
      </w:pPr>
      <w:r w:rsidRPr="00967507">
        <w:rPr>
          <w:rFonts w:ascii="Garamond" w:hAnsi="Garamond" w:cs="Times New Roman"/>
          <w:bCs/>
          <w:sz w:val="24"/>
          <w:szCs w:val="24"/>
          <w:lang w:val="sq-AL"/>
        </w:rPr>
        <w:t>Neni 16</w:t>
      </w:r>
    </w:p>
    <w:p w14:paraId="28EF5151" w14:textId="77777777" w:rsidR="009E23AF" w:rsidRPr="00967507" w:rsidRDefault="009E23AF" w:rsidP="009E23AF">
      <w:pPr>
        <w:spacing w:after="0" w:line="240" w:lineRule="auto"/>
        <w:ind w:firstLine="284"/>
        <w:jc w:val="center"/>
        <w:rPr>
          <w:rFonts w:ascii="Garamond" w:hAnsi="Garamond" w:cs="Times New Roman"/>
          <w:b/>
          <w:bCs/>
          <w:sz w:val="24"/>
          <w:szCs w:val="24"/>
          <w:lang w:val="sq-AL"/>
        </w:rPr>
      </w:pPr>
      <w:r w:rsidRPr="00967507">
        <w:rPr>
          <w:rFonts w:ascii="Garamond" w:hAnsi="Garamond" w:cs="Times New Roman"/>
          <w:b/>
          <w:bCs/>
          <w:sz w:val="24"/>
          <w:szCs w:val="24"/>
          <w:lang w:val="sq-AL"/>
        </w:rPr>
        <w:t>Diversifikimi i mbrojtjes së fondeve</w:t>
      </w:r>
    </w:p>
    <w:p w14:paraId="41284D9A" w14:textId="77777777" w:rsidR="009E23AF" w:rsidRPr="00FA38F9" w:rsidRDefault="009E23AF" w:rsidP="009E23AF">
      <w:pPr>
        <w:spacing w:after="0" w:line="240" w:lineRule="auto"/>
        <w:ind w:firstLine="284"/>
        <w:jc w:val="center"/>
        <w:rPr>
          <w:rFonts w:ascii="Garamond" w:hAnsi="Garamond" w:cs="Times New Roman"/>
          <w:b/>
          <w:bCs/>
          <w:sz w:val="24"/>
          <w:szCs w:val="24"/>
          <w:lang w:val="sq-AL"/>
        </w:rPr>
      </w:pPr>
    </w:p>
    <w:p w14:paraId="000F6360" w14:textId="5AF5CBE0" w:rsidR="009E23AF" w:rsidRPr="00FA38F9" w:rsidRDefault="009E23AF" w:rsidP="009E23AF">
      <w:pPr>
        <w:pStyle w:val="ListParagraph"/>
        <w:spacing w:after="0" w:line="240" w:lineRule="auto"/>
        <w:ind w:left="0" w:firstLine="284"/>
        <w:jc w:val="both"/>
        <w:rPr>
          <w:rFonts w:ascii="Garamond" w:hAnsi="Garamond" w:cs="Times New Roman"/>
          <w:sz w:val="24"/>
          <w:szCs w:val="24"/>
          <w:lang w:val="sq-AL"/>
        </w:rPr>
      </w:pPr>
      <w:r w:rsidRPr="00FA38F9">
        <w:rPr>
          <w:rFonts w:ascii="Garamond" w:hAnsi="Garamond" w:cs="Times New Roman"/>
          <w:lang w:val="sq-AL"/>
        </w:rPr>
        <w:t xml:space="preserve">1. </w:t>
      </w:r>
      <w:r w:rsidRPr="00FA38F9">
        <w:rPr>
          <w:rFonts w:ascii="Garamond" w:hAnsi="Garamond" w:cs="Times New Roman"/>
          <w:sz w:val="24"/>
          <w:szCs w:val="24"/>
          <w:lang w:val="sq-AL"/>
        </w:rPr>
        <w:t>Institucionet e parasë elektronike që i mbrojnë fondet e pranuara në këmbim të emetimit të parasë elektronike, në format e parashikuara në shkronjën “a” të pikës 1 të nenit 15 të kësaj rregulloreje, ose fondet e përdoruesve të shërbimeve të pagesave, siç parashikohet në shkronjën “a” të pikës 1 të nenit 12 të ligjit “Për shërbimet e pagesave”, investojnë fondet e klientëve në mënyrë të diversifikuar, në kundërparti të ndryshme.</w:t>
      </w:r>
    </w:p>
    <w:p w14:paraId="69641045" w14:textId="39A32421" w:rsidR="009E23AF" w:rsidRPr="00FA38F9" w:rsidRDefault="009E23AF" w:rsidP="009E23AF">
      <w:pPr>
        <w:pStyle w:val="ListParagraph"/>
        <w:spacing w:after="0" w:line="240" w:lineRule="auto"/>
        <w:ind w:left="0" w:firstLine="284"/>
        <w:jc w:val="both"/>
        <w:rPr>
          <w:rFonts w:ascii="Garamond" w:hAnsi="Garamond" w:cs="Times New Roman"/>
          <w:sz w:val="24"/>
          <w:szCs w:val="24"/>
          <w:lang w:val="sq-AL"/>
        </w:rPr>
      </w:pPr>
      <w:r w:rsidRPr="00FA38F9">
        <w:rPr>
          <w:rFonts w:ascii="Garamond" w:hAnsi="Garamond" w:cs="Times New Roman"/>
          <w:lang w:val="sq-AL"/>
        </w:rPr>
        <w:t xml:space="preserve">2. </w:t>
      </w:r>
      <w:r w:rsidRPr="00FA38F9">
        <w:rPr>
          <w:rFonts w:ascii="Garamond" w:hAnsi="Garamond" w:cs="Times New Roman"/>
          <w:sz w:val="24"/>
          <w:szCs w:val="24"/>
          <w:lang w:val="sq-AL"/>
        </w:rPr>
        <w:t>Institucioni i parasë elektronike, në vendimmarrjen e tij për format e mbrojtjes së fondeve sipas parashikimeve në nenin 15 të kësaj rregulloreje, mund të marrë në konsideratë edhe elementet e mëposhtme:</w:t>
      </w:r>
    </w:p>
    <w:p w14:paraId="3ED12253" w14:textId="24734E0D" w:rsidR="009E23AF" w:rsidRPr="00FA38F9" w:rsidRDefault="009E23AF" w:rsidP="009E23AF">
      <w:pPr>
        <w:pStyle w:val="ListParagraph"/>
        <w:spacing w:after="0" w:line="240" w:lineRule="auto"/>
        <w:ind w:left="0" w:firstLine="284"/>
        <w:jc w:val="both"/>
        <w:rPr>
          <w:rFonts w:ascii="Garamond" w:hAnsi="Garamond" w:cs="Times New Roman"/>
          <w:sz w:val="24"/>
          <w:szCs w:val="24"/>
          <w:lang w:val="sq-AL"/>
        </w:rPr>
      </w:pPr>
      <w:r w:rsidRPr="00FA38F9">
        <w:rPr>
          <w:rFonts w:ascii="Garamond" w:hAnsi="Garamond" w:cs="Times New Roman"/>
          <w:sz w:val="24"/>
          <w:szCs w:val="24"/>
          <w:lang w:val="sq-AL"/>
        </w:rPr>
        <w:t>a) nivelin e kapitalit të bankës dhe/ose shoqërisë së sigurimit, i cili duhet të jetë në proporcion me shumën e fondeve që do të vendoset në llogari ose që do të garantohet apo sigurohet;</w:t>
      </w:r>
    </w:p>
    <w:p w14:paraId="781EA9E8" w14:textId="0F006CFE" w:rsidR="009E23AF" w:rsidRPr="00FA38F9" w:rsidRDefault="009E23AF" w:rsidP="009E23AF">
      <w:pPr>
        <w:pStyle w:val="ListParagraph"/>
        <w:spacing w:after="0" w:line="240" w:lineRule="auto"/>
        <w:ind w:left="0" w:firstLine="284"/>
        <w:jc w:val="both"/>
        <w:rPr>
          <w:rFonts w:ascii="Garamond" w:hAnsi="Garamond" w:cs="Times New Roman"/>
          <w:sz w:val="24"/>
          <w:szCs w:val="24"/>
          <w:lang w:val="sq-AL"/>
        </w:rPr>
      </w:pPr>
      <w:r w:rsidRPr="00FA38F9">
        <w:rPr>
          <w:rFonts w:ascii="Garamond" w:hAnsi="Garamond" w:cs="Times New Roman"/>
          <w:sz w:val="24"/>
          <w:szCs w:val="24"/>
          <w:lang w:val="sq-AL"/>
        </w:rPr>
        <w:t xml:space="preserve">b) nivelin e ekspozimit ndaj rrezikut që shoqëron aktivitetin e kredidhënies apo investimeve të bankës dhe/ose shoqërisë së sigurimeve. </w:t>
      </w:r>
    </w:p>
    <w:p w14:paraId="4B692EBA" w14:textId="32C52198" w:rsidR="009E23AF" w:rsidRPr="00FA38F9" w:rsidRDefault="009E23AF" w:rsidP="009E23AF">
      <w:pPr>
        <w:pStyle w:val="ListParagraph"/>
        <w:spacing w:after="0" w:line="240" w:lineRule="auto"/>
        <w:ind w:left="0" w:firstLine="284"/>
        <w:jc w:val="both"/>
        <w:rPr>
          <w:rFonts w:ascii="Garamond" w:hAnsi="Garamond" w:cs="Times New Roman"/>
          <w:sz w:val="24"/>
          <w:szCs w:val="24"/>
          <w:lang w:val="sq-AL"/>
        </w:rPr>
      </w:pPr>
      <w:r w:rsidRPr="00FA38F9">
        <w:rPr>
          <w:rFonts w:ascii="Garamond" w:hAnsi="Garamond" w:cs="Times New Roman"/>
          <w:lang w:val="sq-AL"/>
        </w:rPr>
        <w:t xml:space="preserve">3. </w:t>
      </w:r>
      <w:r w:rsidRPr="00FA38F9">
        <w:rPr>
          <w:rFonts w:ascii="Garamond" w:hAnsi="Garamond" w:cs="Times New Roman"/>
          <w:sz w:val="24"/>
          <w:szCs w:val="24"/>
          <w:lang w:val="sq-AL"/>
        </w:rPr>
        <w:t xml:space="preserve">Institucioni i parasë elektronike dokumenton vendimmarrjen e tij sipas parashikimeve në pikën 2 të këtij neni. </w:t>
      </w:r>
    </w:p>
    <w:p w14:paraId="1D3282BE" w14:textId="77777777" w:rsidR="009E23AF" w:rsidRPr="00FA38F9" w:rsidRDefault="009E23AF" w:rsidP="009E23AF">
      <w:pPr>
        <w:pStyle w:val="ListParagraph"/>
        <w:spacing w:after="0" w:line="240" w:lineRule="auto"/>
        <w:ind w:left="0" w:firstLine="284"/>
        <w:jc w:val="both"/>
        <w:rPr>
          <w:rFonts w:ascii="Garamond" w:hAnsi="Garamond" w:cs="Times New Roman"/>
          <w:sz w:val="24"/>
          <w:szCs w:val="24"/>
          <w:lang w:val="sq-AL"/>
        </w:rPr>
      </w:pPr>
    </w:p>
    <w:p w14:paraId="35CE7F74" w14:textId="77777777" w:rsidR="009E23AF" w:rsidRPr="00FA38F9" w:rsidRDefault="009E23AF" w:rsidP="009E23AF">
      <w:pPr>
        <w:pStyle w:val="ListParagraph"/>
        <w:tabs>
          <w:tab w:val="center" w:pos="4680"/>
          <w:tab w:val="left" w:pos="5440"/>
        </w:tabs>
        <w:spacing w:after="0" w:line="240" w:lineRule="auto"/>
        <w:ind w:left="0" w:firstLine="284"/>
        <w:jc w:val="center"/>
        <w:rPr>
          <w:rFonts w:ascii="Garamond" w:hAnsi="Garamond" w:cs="Times New Roman"/>
          <w:sz w:val="24"/>
          <w:szCs w:val="24"/>
          <w:lang w:val="sq-AL"/>
        </w:rPr>
      </w:pPr>
      <w:r w:rsidRPr="00FA38F9">
        <w:rPr>
          <w:rFonts w:ascii="Garamond" w:hAnsi="Garamond" w:cs="Times New Roman"/>
          <w:sz w:val="24"/>
          <w:szCs w:val="24"/>
          <w:lang w:val="sq-AL"/>
        </w:rPr>
        <w:t>NËNKREU IV</w:t>
      </w:r>
    </w:p>
    <w:p w14:paraId="4DFC431B" w14:textId="77777777" w:rsidR="009E23AF" w:rsidRPr="00FA38F9" w:rsidRDefault="009E23AF" w:rsidP="009E23AF">
      <w:pPr>
        <w:pStyle w:val="ListParagraph"/>
        <w:tabs>
          <w:tab w:val="center" w:pos="4680"/>
          <w:tab w:val="left" w:pos="5440"/>
        </w:tabs>
        <w:spacing w:after="0" w:line="240" w:lineRule="auto"/>
        <w:ind w:left="0" w:firstLine="284"/>
        <w:jc w:val="center"/>
        <w:rPr>
          <w:rFonts w:ascii="Garamond" w:hAnsi="Garamond" w:cs="Times New Roman"/>
          <w:sz w:val="24"/>
          <w:szCs w:val="24"/>
          <w:lang w:val="sq-AL"/>
        </w:rPr>
      </w:pPr>
      <w:r w:rsidRPr="00FA38F9">
        <w:rPr>
          <w:rFonts w:ascii="Garamond" w:hAnsi="Garamond" w:cs="Times New Roman"/>
          <w:sz w:val="24"/>
          <w:szCs w:val="24"/>
          <w:lang w:val="sq-AL"/>
        </w:rPr>
        <w:t xml:space="preserve">EKSPOZIMET NDAJ RREZIKUT DHE KUFIZIMET </w:t>
      </w:r>
    </w:p>
    <w:p w14:paraId="61A744F7" w14:textId="77777777" w:rsidR="009E23AF" w:rsidRPr="00FA38F9" w:rsidRDefault="009E23AF" w:rsidP="009E23AF">
      <w:pPr>
        <w:spacing w:after="0" w:line="240" w:lineRule="auto"/>
        <w:ind w:firstLine="284"/>
        <w:jc w:val="center"/>
        <w:rPr>
          <w:rFonts w:ascii="Garamond" w:hAnsi="Garamond" w:cs="Times New Roman"/>
          <w:bCs/>
          <w:sz w:val="24"/>
          <w:szCs w:val="24"/>
          <w:lang w:val="sq-AL"/>
        </w:rPr>
      </w:pPr>
    </w:p>
    <w:p w14:paraId="690D8F9F" w14:textId="77777777" w:rsidR="009E23AF" w:rsidRPr="00FA38F9" w:rsidRDefault="009E23AF" w:rsidP="009E23AF">
      <w:pPr>
        <w:spacing w:after="0" w:line="240" w:lineRule="auto"/>
        <w:ind w:firstLine="284"/>
        <w:jc w:val="center"/>
        <w:rPr>
          <w:rFonts w:ascii="Garamond" w:hAnsi="Garamond" w:cs="Times New Roman"/>
          <w:bCs/>
          <w:sz w:val="24"/>
          <w:szCs w:val="24"/>
          <w:lang w:val="sq-AL"/>
        </w:rPr>
      </w:pPr>
      <w:r w:rsidRPr="00FA38F9">
        <w:rPr>
          <w:rFonts w:ascii="Garamond" w:hAnsi="Garamond" w:cs="Times New Roman"/>
          <w:bCs/>
          <w:sz w:val="24"/>
          <w:szCs w:val="24"/>
          <w:lang w:val="sq-AL"/>
        </w:rPr>
        <w:t>Neni 17</w:t>
      </w:r>
    </w:p>
    <w:p w14:paraId="484BA313" w14:textId="77777777" w:rsidR="009E23AF" w:rsidRPr="00FA38F9" w:rsidRDefault="009E23AF" w:rsidP="009E23AF">
      <w:pPr>
        <w:spacing w:after="0" w:line="240" w:lineRule="auto"/>
        <w:ind w:firstLine="284"/>
        <w:jc w:val="center"/>
        <w:rPr>
          <w:rFonts w:ascii="Garamond" w:hAnsi="Garamond" w:cs="Times New Roman"/>
          <w:b/>
          <w:bCs/>
          <w:sz w:val="24"/>
          <w:szCs w:val="24"/>
          <w:lang w:val="sq-AL"/>
        </w:rPr>
      </w:pPr>
      <w:r w:rsidRPr="00FA38F9">
        <w:rPr>
          <w:rFonts w:ascii="Garamond" w:hAnsi="Garamond" w:cs="Times New Roman"/>
          <w:b/>
          <w:bCs/>
          <w:sz w:val="24"/>
          <w:szCs w:val="24"/>
          <w:lang w:val="sq-AL"/>
        </w:rPr>
        <w:t>Normat e lejueshme për pozicionet e hapura valutore</w:t>
      </w:r>
    </w:p>
    <w:p w14:paraId="4235F64B" w14:textId="77777777" w:rsidR="009E23AF" w:rsidRPr="00FA38F9" w:rsidRDefault="009E23AF" w:rsidP="009E23AF">
      <w:pPr>
        <w:spacing w:after="0" w:line="240" w:lineRule="auto"/>
        <w:ind w:firstLine="284"/>
        <w:jc w:val="center"/>
        <w:rPr>
          <w:rFonts w:ascii="Garamond" w:hAnsi="Garamond" w:cs="Times New Roman"/>
          <w:b/>
          <w:bCs/>
          <w:sz w:val="24"/>
          <w:szCs w:val="24"/>
          <w:lang w:val="sq-AL"/>
        </w:rPr>
      </w:pPr>
    </w:p>
    <w:p w14:paraId="18BBE15A" w14:textId="42616148" w:rsidR="009E23AF" w:rsidRPr="00FA38F9" w:rsidRDefault="009E23AF" w:rsidP="009E23AF">
      <w:pPr>
        <w:pStyle w:val="ListParagraph"/>
        <w:spacing w:after="0" w:line="240" w:lineRule="auto"/>
        <w:ind w:left="0" w:firstLine="284"/>
        <w:jc w:val="both"/>
        <w:rPr>
          <w:rFonts w:ascii="Garamond" w:hAnsi="Garamond" w:cs="Times New Roman"/>
          <w:sz w:val="24"/>
          <w:szCs w:val="24"/>
          <w:lang w:val="sq-AL"/>
        </w:rPr>
      </w:pPr>
      <w:r w:rsidRPr="00FA38F9">
        <w:rPr>
          <w:rFonts w:ascii="Garamond" w:hAnsi="Garamond" w:cs="Times New Roman"/>
          <w:lang w:val="sq-AL"/>
        </w:rPr>
        <w:t xml:space="preserve">1. </w:t>
      </w:r>
      <w:r w:rsidRPr="00FA38F9">
        <w:rPr>
          <w:rFonts w:ascii="Garamond" w:hAnsi="Garamond" w:cs="Times New Roman"/>
          <w:sz w:val="24"/>
          <w:szCs w:val="24"/>
          <w:lang w:val="sq-AL"/>
        </w:rPr>
        <w:t>Pozicioni i hapur valutor në një valutë të caktuar, përfaqëson shumën ekuivalente në lekë të diferencës midis të drejtave dhe detyrimeve gjithsej të institucionit të parasë elektronike, në këtë valutë.</w:t>
      </w:r>
    </w:p>
    <w:p w14:paraId="7AC0FE2D" w14:textId="5718E7CA" w:rsidR="009E23AF" w:rsidRPr="00FA38F9" w:rsidRDefault="009E23AF" w:rsidP="009E23AF">
      <w:pPr>
        <w:spacing w:after="0" w:line="240" w:lineRule="auto"/>
        <w:ind w:firstLine="284"/>
        <w:jc w:val="both"/>
        <w:rPr>
          <w:rFonts w:ascii="Garamond" w:hAnsi="Garamond" w:cs="Times New Roman"/>
          <w:sz w:val="24"/>
          <w:szCs w:val="24"/>
          <w:lang w:val="sq-AL"/>
        </w:rPr>
      </w:pPr>
      <w:r w:rsidRPr="00FA38F9">
        <w:rPr>
          <w:rFonts w:ascii="Garamond" w:hAnsi="Garamond" w:cs="Times New Roman"/>
          <w:lang w:val="sq-AL"/>
        </w:rPr>
        <w:t xml:space="preserve">2. </w:t>
      </w:r>
      <w:r w:rsidRPr="00FA38F9">
        <w:rPr>
          <w:rFonts w:ascii="Garamond" w:hAnsi="Garamond" w:cs="Times New Roman"/>
          <w:sz w:val="24"/>
          <w:szCs w:val="24"/>
          <w:lang w:val="sq-AL"/>
        </w:rPr>
        <w:t>Institucionet e parasë elektronike nuk duhet të tejkalojnë në fund të çdo dite pune, normat e mëposhtme për pozicionet e hapura në valutë:</w:t>
      </w:r>
    </w:p>
    <w:p w14:paraId="58E4054C" w14:textId="01A81965" w:rsidR="009E23AF" w:rsidRPr="00FA38F9" w:rsidRDefault="009E23AF" w:rsidP="009E23AF">
      <w:pPr>
        <w:tabs>
          <w:tab w:val="left" w:pos="720"/>
        </w:tabs>
        <w:spacing w:after="0" w:line="240" w:lineRule="auto"/>
        <w:ind w:firstLine="284"/>
        <w:jc w:val="both"/>
        <w:rPr>
          <w:rFonts w:ascii="Garamond" w:hAnsi="Garamond" w:cs="Times New Roman"/>
          <w:sz w:val="24"/>
          <w:szCs w:val="24"/>
          <w:lang w:val="sq-AL"/>
        </w:rPr>
      </w:pPr>
      <w:r w:rsidRPr="00FA38F9">
        <w:rPr>
          <w:rFonts w:ascii="Garamond" w:hAnsi="Garamond" w:cs="Times New Roman"/>
          <w:lang w:val="sq-AL"/>
        </w:rPr>
        <w:t xml:space="preserve">a) </w:t>
      </w:r>
      <w:r w:rsidRPr="00FA38F9">
        <w:rPr>
          <w:rFonts w:ascii="Garamond" w:hAnsi="Garamond" w:cs="Times New Roman"/>
          <w:sz w:val="24"/>
          <w:szCs w:val="24"/>
          <w:lang w:val="sq-AL"/>
        </w:rPr>
        <w:t xml:space="preserve">raporti i pozicionit të hapur valutor për një monedhë me kapitalin rregullator, nuk duhet të jetë më shumë se 30% (tridhjetë për qind); dhe </w:t>
      </w:r>
    </w:p>
    <w:p w14:paraId="3EAC25AD" w14:textId="25EB90B5" w:rsidR="009E23AF" w:rsidRPr="00FA38F9" w:rsidRDefault="009E23AF" w:rsidP="009E23AF">
      <w:pPr>
        <w:tabs>
          <w:tab w:val="left" w:pos="720"/>
        </w:tabs>
        <w:spacing w:after="0" w:line="240" w:lineRule="auto"/>
        <w:ind w:firstLine="284"/>
        <w:jc w:val="both"/>
        <w:rPr>
          <w:rFonts w:ascii="Garamond" w:hAnsi="Garamond" w:cs="Times New Roman"/>
          <w:sz w:val="24"/>
          <w:szCs w:val="24"/>
          <w:lang w:val="sq-AL"/>
        </w:rPr>
      </w:pPr>
      <w:r w:rsidRPr="00FA38F9">
        <w:rPr>
          <w:rFonts w:ascii="Garamond" w:hAnsi="Garamond" w:cs="Times New Roman"/>
          <w:lang w:val="sq-AL"/>
        </w:rPr>
        <w:t xml:space="preserve">b) </w:t>
      </w:r>
      <w:r w:rsidRPr="00FA38F9">
        <w:rPr>
          <w:rFonts w:ascii="Garamond" w:hAnsi="Garamond" w:cs="Times New Roman"/>
          <w:sz w:val="24"/>
          <w:szCs w:val="24"/>
          <w:lang w:val="sq-AL"/>
        </w:rPr>
        <w:t>raporti i pozicionit të hapur valutor për të gjitha monedhat me kapitalin rregullator, nuk duhet të jetë më shumë se 40% (dyzetë për qind).</w:t>
      </w:r>
    </w:p>
    <w:p w14:paraId="6D2E3B5B" w14:textId="050A432B" w:rsidR="009E23AF" w:rsidRPr="00FA38F9" w:rsidRDefault="009E23AF" w:rsidP="009E23AF">
      <w:pPr>
        <w:pStyle w:val="ListParagraph"/>
        <w:tabs>
          <w:tab w:val="left" w:pos="6300"/>
        </w:tabs>
        <w:spacing w:after="0" w:line="240" w:lineRule="auto"/>
        <w:ind w:left="0" w:firstLine="284"/>
        <w:jc w:val="both"/>
        <w:rPr>
          <w:rFonts w:ascii="Garamond" w:hAnsi="Garamond" w:cs="Times New Roman"/>
          <w:sz w:val="24"/>
          <w:szCs w:val="24"/>
          <w:lang w:val="sq-AL"/>
        </w:rPr>
      </w:pPr>
      <w:r w:rsidRPr="00FA38F9">
        <w:rPr>
          <w:rFonts w:ascii="Garamond" w:hAnsi="Garamond" w:cs="Times New Roman"/>
          <w:lang w:val="sq-AL"/>
        </w:rPr>
        <w:t xml:space="preserve">3. </w:t>
      </w:r>
      <w:r w:rsidRPr="00FA38F9">
        <w:rPr>
          <w:rFonts w:ascii="Garamond" w:hAnsi="Garamond" w:cs="Times New Roman"/>
          <w:sz w:val="24"/>
          <w:szCs w:val="24"/>
          <w:lang w:val="sq-AL"/>
        </w:rPr>
        <w:t>Institucionet e parasë elektronike, në llogaritjen e pozicionit të hapur valutor, nuk përfshijnë pozicionin strukturor në valutë, i cili është pozicioni që krijohet nga:</w:t>
      </w:r>
    </w:p>
    <w:p w14:paraId="21A80646" w14:textId="4EF17247" w:rsidR="009E23AF" w:rsidRPr="00FA38F9" w:rsidRDefault="009E23AF" w:rsidP="009E23AF">
      <w:pPr>
        <w:pStyle w:val="ListParagraph"/>
        <w:tabs>
          <w:tab w:val="left" w:pos="700"/>
          <w:tab w:val="left" w:pos="8460"/>
        </w:tabs>
        <w:spacing w:after="0" w:line="240" w:lineRule="auto"/>
        <w:ind w:left="0" w:firstLine="284"/>
        <w:jc w:val="both"/>
        <w:rPr>
          <w:rFonts w:ascii="Garamond" w:hAnsi="Garamond" w:cs="Times New Roman"/>
          <w:sz w:val="24"/>
          <w:szCs w:val="24"/>
          <w:lang w:val="sq-AL"/>
        </w:rPr>
      </w:pPr>
      <w:r w:rsidRPr="00FA38F9">
        <w:rPr>
          <w:rFonts w:ascii="Garamond" w:hAnsi="Garamond" w:cs="Times New Roman"/>
          <w:sz w:val="24"/>
          <w:szCs w:val="24"/>
          <w:lang w:val="sq-AL"/>
        </w:rPr>
        <w:t>a) elemente (zëra të bilancit ose jashtë bilancit), të cilat nuk janë të natyrës së veprimtarisë (biznesit) kryesore financiare të subjektit dhe/ose janë elemente të qëndrueshme/afatgjata të tillë si: “interesa pjesëmarrës”, “investimet në filiale”, “aktivet e qëndrueshme të patrupëzuara dhe të trupëzuara” etj.;</w:t>
      </w:r>
    </w:p>
    <w:p w14:paraId="46057AC7" w14:textId="3BA17062" w:rsidR="009E23AF" w:rsidRPr="00FA38F9" w:rsidRDefault="009E23AF" w:rsidP="009E23AF">
      <w:pPr>
        <w:pStyle w:val="ListParagraph"/>
        <w:tabs>
          <w:tab w:val="left" w:pos="700"/>
          <w:tab w:val="left" w:pos="8460"/>
        </w:tabs>
        <w:spacing w:after="0" w:line="240" w:lineRule="auto"/>
        <w:ind w:left="0" w:firstLine="284"/>
        <w:jc w:val="both"/>
        <w:rPr>
          <w:rFonts w:ascii="Garamond" w:hAnsi="Garamond" w:cs="Times New Roman"/>
          <w:sz w:val="24"/>
          <w:szCs w:val="24"/>
          <w:lang w:val="sq-AL"/>
        </w:rPr>
      </w:pPr>
      <w:r w:rsidRPr="00FA38F9">
        <w:rPr>
          <w:rFonts w:ascii="Garamond" w:hAnsi="Garamond" w:cs="Times New Roman"/>
          <w:sz w:val="24"/>
          <w:szCs w:val="24"/>
          <w:lang w:val="sq-AL"/>
        </w:rPr>
        <w:t>b) transaksione të institucionit të parasë elektronike, të cilët ruajnë nivelin e kërkesave për kapital rregullator, në rastet kur kjo kërkesë ndikohet nga luhatjet e kursit të këmbimit.</w:t>
      </w:r>
    </w:p>
    <w:p w14:paraId="5B440BD8" w14:textId="77777777" w:rsidR="009E23AF" w:rsidRPr="00FA38F9" w:rsidRDefault="009E23AF" w:rsidP="009E23AF">
      <w:pPr>
        <w:spacing w:after="0" w:line="240" w:lineRule="auto"/>
        <w:ind w:firstLine="284"/>
        <w:jc w:val="center"/>
        <w:rPr>
          <w:rFonts w:ascii="Garamond" w:hAnsi="Garamond" w:cs="Arial"/>
          <w:b/>
          <w:bCs/>
          <w:lang w:val="sq-AL"/>
        </w:rPr>
      </w:pPr>
    </w:p>
    <w:p w14:paraId="5C87385B" w14:textId="77777777" w:rsidR="009E23AF" w:rsidRPr="00FA38F9" w:rsidRDefault="009E23AF" w:rsidP="009E23AF">
      <w:pPr>
        <w:spacing w:after="0" w:line="240" w:lineRule="auto"/>
        <w:ind w:firstLine="284"/>
        <w:jc w:val="center"/>
        <w:rPr>
          <w:rFonts w:ascii="Garamond" w:hAnsi="Garamond" w:cs="Times New Roman"/>
          <w:bCs/>
          <w:sz w:val="24"/>
          <w:szCs w:val="24"/>
          <w:lang w:val="sq-AL"/>
        </w:rPr>
      </w:pPr>
      <w:r w:rsidRPr="00FA38F9">
        <w:rPr>
          <w:rFonts w:ascii="Garamond" w:hAnsi="Garamond" w:cs="Times New Roman"/>
          <w:bCs/>
          <w:sz w:val="24"/>
          <w:szCs w:val="24"/>
          <w:lang w:val="sq-AL"/>
        </w:rPr>
        <w:t>Neni 18</w:t>
      </w:r>
    </w:p>
    <w:p w14:paraId="4A89E18F" w14:textId="77777777" w:rsidR="009E23AF" w:rsidRPr="00FA38F9" w:rsidRDefault="009E23AF" w:rsidP="009E23AF">
      <w:pPr>
        <w:spacing w:after="0" w:line="240" w:lineRule="auto"/>
        <w:ind w:firstLine="284"/>
        <w:jc w:val="center"/>
        <w:rPr>
          <w:rFonts w:ascii="Garamond" w:hAnsi="Garamond" w:cs="Times New Roman"/>
          <w:b/>
          <w:bCs/>
          <w:sz w:val="24"/>
          <w:szCs w:val="24"/>
          <w:lang w:val="sq-AL"/>
        </w:rPr>
      </w:pPr>
      <w:r w:rsidRPr="00FA38F9">
        <w:rPr>
          <w:rFonts w:ascii="Garamond" w:hAnsi="Garamond" w:cs="Times New Roman"/>
          <w:b/>
          <w:bCs/>
          <w:sz w:val="24"/>
          <w:szCs w:val="24"/>
          <w:lang w:val="sq-AL"/>
        </w:rPr>
        <w:t>Rreziku i likuiditetit</w:t>
      </w:r>
    </w:p>
    <w:p w14:paraId="2B3683EC" w14:textId="77777777" w:rsidR="009E23AF" w:rsidRPr="00FA38F9" w:rsidRDefault="009E23AF" w:rsidP="009E23AF">
      <w:pPr>
        <w:spacing w:after="0" w:line="240" w:lineRule="auto"/>
        <w:ind w:firstLine="284"/>
        <w:jc w:val="center"/>
        <w:rPr>
          <w:rFonts w:ascii="Garamond" w:hAnsi="Garamond" w:cs="Times New Roman"/>
          <w:b/>
          <w:bCs/>
          <w:sz w:val="24"/>
          <w:szCs w:val="24"/>
          <w:lang w:val="sq-AL"/>
        </w:rPr>
      </w:pPr>
    </w:p>
    <w:p w14:paraId="269F175F" w14:textId="1C69AFC7" w:rsidR="009E23AF" w:rsidRPr="00FA38F9" w:rsidRDefault="009E23AF" w:rsidP="009E23AF">
      <w:pPr>
        <w:pStyle w:val="ListParagraph"/>
        <w:tabs>
          <w:tab w:val="left" w:pos="420"/>
          <w:tab w:val="left" w:pos="1080"/>
        </w:tabs>
        <w:spacing w:after="0" w:line="240" w:lineRule="auto"/>
        <w:ind w:left="0" w:firstLine="284"/>
        <w:jc w:val="both"/>
        <w:rPr>
          <w:rFonts w:ascii="Garamond" w:hAnsi="Garamond" w:cs="Times New Roman"/>
          <w:sz w:val="24"/>
          <w:szCs w:val="24"/>
          <w:lang w:val="sq-AL"/>
        </w:rPr>
      </w:pPr>
      <w:r w:rsidRPr="00FA38F9">
        <w:rPr>
          <w:rFonts w:ascii="Garamond" w:hAnsi="Garamond" w:cs="Times New Roman"/>
          <w:lang w:val="sq-AL"/>
        </w:rPr>
        <w:t xml:space="preserve">1. </w:t>
      </w:r>
      <w:r w:rsidRPr="00FA38F9">
        <w:rPr>
          <w:rFonts w:ascii="Garamond" w:hAnsi="Garamond" w:cs="Times New Roman"/>
          <w:sz w:val="24"/>
          <w:szCs w:val="24"/>
          <w:lang w:val="sq-AL"/>
        </w:rPr>
        <w:t xml:space="preserve">Rreziku i likuiditetit është mundësia e humbjes financiare si rezultat i mungesës së aktiveve likuide të mjaftueshme për të përmbushur detyrimet kur ato maturohen dhe kërkohen dhe/ose kur institucioni i parasë elektronike nuk ka mundësi të financojë rritjen e aktiveve të veta.  </w:t>
      </w:r>
    </w:p>
    <w:p w14:paraId="40506AFB" w14:textId="2FCD0C23" w:rsidR="009E23AF" w:rsidRPr="00FA38F9" w:rsidRDefault="009E23AF" w:rsidP="009E23AF">
      <w:pPr>
        <w:pStyle w:val="ListParagraph"/>
        <w:tabs>
          <w:tab w:val="left" w:pos="420"/>
          <w:tab w:val="left" w:pos="1080"/>
        </w:tabs>
        <w:spacing w:after="0" w:line="240" w:lineRule="auto"/>
        <w:ind w:left="0" w:firstLine="284"/>
        <w:jc w:val="both"/>
        <w:rPr>
          <w:rFonts w:ascii="Garamond" w:hAnsi="Garamond" w:cs="Times New Roman"/>
          <w:sz w:val="24"/>
          <w:szCs w:val="24"/>
          <w:lang w:val="sq-AL"/>
        </w:rPr>
      </w:pPr>
      <w:r w:rsidRPr="00FA38F9">
        <w:rPr>
          <w:rFonts w:ascii="Garamond" w:hAnsi="Garamond" w:cs="Times New Roman"/>
          <w:lang w:val="sq-AL"/>
        </w:rPr>
        <w:t xml:space="preserve">2. </w:t>
      </w:r>
      <w:r w:rsidRPr="00FA38F9">
        <w:rPr>
          <w:rFonts w:ascii="Garamond" w:hAnsi="Garamond" w:cs="Times New Roman"/>
          <w:sz w:val="24"/>
          <w:szCs w:val="24"/>
          <w:lang w:val="sq-AL"/>
        </w:rPr>
        <w:t>Institucionet e parasë elektronike krijojnë sistemin e administrimit të rrezikut të likuiditetit, i cili ka për qëllim administrimin e rrezikut të likuiditetit. Ky sistem përfshin minimalisht strategjinë dhe politikat për administrimin e rrezikut të likuiditetit, strukturën organizative të krijuar për administrimin e rrezikut të likuiditetit, sistemin e kontrollit të brendshëm, sistemin e administrimit të informacionit etj.</w:t>
      </w:r>
    </w:p>
    <w:p w14:paraId="6825065C" w14:textId="7ABB2450" w:rsidR="009E23AF" w:rsidRPr="00FA38F9" w:rsidRDefault="009E23AF" w:rsidP="009E23AF">
      <w:pPr>
        <w:pStyle w:val="ListParagraph"/>
        <w:tabs>
          <w:tab w:val="left" w:pos="420"/>
          <w:tab w:val="left" w:pos="1080"/>
        </w:tabs>
        <w:spacing w:after="0" w:line="240" w:lineRule="auto"/>
        <w:ind w:left="0" w:firstLine="284"/>
        <w:jc w:val="both"/>
        <w:rPr>
          <w:rFonts w:ascii="Garamond" w:hAnsi="Garamond" w:cs="Times New Roman"/>
          <w:sz w:val="24"/>
          <w:szCs w:val="24"/>
          <w:lang w:val="sq-AL"/>
        </w:rPr>
      </w:pPr>
      <w:r w:rsidRPr="00FA38F9">
        <w:rPr>
          <w:rFonts w:ascii="Garamond" w:hAnsi="Garamond" w:cs="Times New Roman"/>
          <w:lang w:val="sq-AL"/>
        </w:rPr>
        <w:t xml:space="preserve">3. </w:t>
      </w:r>
      <w:r w:rsidRPr="00FA38F9">
        <w:rPr>
          <w:rFonts w:ascii="Garamond" w:hAnsi="Garamond" w:cs="Times New Roman"/>
          <w:sz w:val="24"/>
          <w:szCs w:val="24"/>
          <w:lang w:val="sq-AL"/>
        </w:rPr>
        <w:t xml:space="preserve">Institucionet e parasë elektronike sigurojnë që sistemi i administrimit të rrezikut të likuiditetit, në mënyrë sasiore dhe cilësore, të jetë në përputhje me madhësinë e subjektit, tipologjinë e veprimtarisë së tij dhe nivelin e ekspozimit ndaj rrezikut të likuiditetit. </w:t>
      </w:r>
    </w:p>
    <w:p w14:paraId="6F71D5D4" w14:textId="77777777" w:rsidR="009E23AF" w:rsidRPr="00FA38F9" w:rsidRDefault="009E23AF" w:rsidP="009E23AF">
      <w:pPr>
        <w:spacing w:after="0" w:line="240" w:lineRule="auto"/>
        <w:ind w:firstLine="284"/>
        <w:jc w:val="center"/>
        <w:rPr>
          <w:rFonts w:ascii="Garamond" w:hAnsi="Garamond" w:cs="Times New Roman"/>
          <w:b/>
          <w:bCs/>
          <w:sz w:val="24"/>
          <w:szCs w:val="24"/>
          <w:lang w:val="sq-AL"/>
        </w:rPr>
      </w:pPr>
    </w:p>
    <w:p w14:paraId="7D25211F" w14:textId="77777777" w:rsidR="009E23AF" w:rsidRPr="00FA38F9" w:rsidRDefault="009E23AF" w:rsidP="009E23AF">
      <w:pPr>
        <w:spacing w:after="0" w:line="240" w:lineRule="auto"/>
        <w:ind w:firstLine="284"/>
        <w:jc w:val="center"/>
        <w:rPr>
          <w:rFonts w:ascii="Garamond" w:hAnsi="Garamond" w:cs="Times New Roman"/>
          <w:bCs/>
          <w:sz w:val="24"/>
          <w:szCs w:val="24"/>
          <w:lang w:val="sq-AL"/>
        </w:rPr>
      </w:pPr>
      <w:r w:rsidRPr="00FA38F9">
        <w:rPr>
          <w:rFonts w:ascii="Garamond" w:hAnsi="Garamond" w:cs="Times New Roman"/>
          <w:bCs/>
          <w:sz w:val="24"/>
          <w:szCs w:val="24"/>
          <w:lang w:val="sq-AL"/>
        </w:rPr>
        <w:t>Neni 19</w:t>
      </w:r>
    </w:p>
    <w:p w14:paraId="14748CE3" w14:textId="77777777" w:rsidR="009E23AF" w:rsidRPr="00FA38F9" w:rsidRDefault="009E23AF" w:rsidP="009E23AF">
      <w:pPr>
        <w:spacing w:after="0" w:line="240" w:lineRule="auto"/>
        <w:ind w:firstLine="284"/>
        <w:jc w:val="center"/>
        <w:rPr>
          <w:rFonts w:ascii="Garamond" w:hAnsi="Garamond" w:cs="Times New Roman"/>
          <w:b/>
          <w:bCs/>
          <w:sz w:val="24"/>
          <w:szCs w:val="24"/>
          <w:lang w:val="sq-AL"/>
        </w:rPr>
      </w:pPr>
      <w:r w:rsidRPr="00FA38F9">
        <w:rPr>
          <w:rFonts w:ascii="Garamond" w:hAnsi="Garamond" w:cs="Times New Roman"/>
          <w:b/>
          <w:bCs/>
          <w:sz w:val="24"/>
          <w:szCs w:val="24"/>
          <w:lang w:val="sq-AL"/>
        </w:rPr>
        <w:t>Dhënia e kredive në lidhje me shërbimet e pagesave</w:t>
      </w:r>
    </w:p>
    <w:p w14:paraId="656FC50E" w14:textId="77777777" w:rsidR="009E23AF" w:rsidRPr="00FA38F9" w:rsidRDefault="009E23AF" w:rsidP="009E23AF">
      <w:pPr>
        <w:spacing w:after="0" w:line="240" w:lineRule="auto"/>
        <w:ind w:firstLine="284"/>
        <w:jc w:val="center"/>
        <w:rPr>
          <w:rFonts w:ascii="Garamond" w:hAnsi="Garamond" w:cs="Times New Roman"/>
          <w:b/>
          <w:bCs/>
          <w:sz w:val="24"/>
          <w:szCs w:val="24"/>
          <w:lang w:val="sq-AL"/>
        </w:rPr>
      </w:pPr>
    </w:p>
    <w:p w14:paraId="564DA639" w14:textId="07F4D538" w:rsidR="009E23AF" w:rsidRPr="00FA38F9" w:rsidRDefault="009E23AF" w:rsidP="009E23AF">
      <w:pPr>
        <w:pStyle w:val="ListParagraph"/>
        <w:spacing w:after="0" w:line="240" w:lineRule="auto"/>
        <w:ind w:left="0" w:firstLine="284"/>
        <w:jc w:val="both"/>
        <w:rPr>
          <w:rFonts w:ascii="Garamond" w:hAnsi="Garamond" w:cs="Times New Roman"/>
          <w:sz w:val="24"/>
          <w:szCs w:val="24"/>
          <w:lang w:val="sq-AL"/>
        </w:rPr>
      </w:pPr>
      <w:r w:rsidRPr="00FA38F9">
        <w:rPr>
          <w:rFonts w:ascii="Garamond" w:hAnsi="Garamond" w:cs="Times New Roman"/>
          <w:lang w:val="sq-AL"/>
        </w:rPr>
        <w:t xml:space="preserve">1. </w:t>
      </w:r>
      <w:r w:rsidRPr="00FA38F9">
        <w:rPr>
          <w:rFonts w:ascii="Garamond" w:hAnsi="Garamond" w:cs="Times New Roman"/>
          <w:sz w:val="24"/>
          <w:szCs w:val="24"/>
          <w:lang w:val="sq-AL"/>
        </w:rPr>
        <w:t xml:space="preserve">Institucionet e parasë elektronike mund të japin kredi në lidhje me shërbimet e pagesave, të parashikuara në pikat 4 ose 5 të aneksit 1 të ligjit “Për shërbimet e pagesave”, siç parashikohet në nenin 19 të atij ligji, nëse plotësohen të gjitha kushtet e mëposhtme: </w:t>
      </w:r>
    </w:p>
    <w:p w14:paraId="7BEEB6AA" w14:textId="7C15807A" w:rsidR="009E23AF" w:rsidRPr="00FA38F9" w:rsidRDefault="009E23AF" w:rsidP="009E23AF">
      <w:pPr>
        <w:pStyle w:val="ListParagraph"/>
        <w:tabs>
          <w:tab w:val="left" w:pos="720"/>
        </w:tabs>
        <w:spacing w:after="0" w:line="240" w:lineRule="auto"/>
        <w:ind w:left="0" w:firstLine="284"/>
        <w:jc w:val="both"/>
        <w:rPr>
          <w:rFonts w:ascii="Garamond" w:hAnsi="Garamond" w:cs="Times New Roman"/>
          <w:sz w:val="24"/>
          <w:szCs w:val="24"/>
          <w:lang w:val="sq-AL"/>
        </w:rPr>
      </w:pPr>
      <w:r w:rsidRPr="00FA38F9">
        <w:rPr>
          <w:rFonts w:ascii="Garamond" w:hAnsi="Garamond" w:cs="Times New Roman"/>
          <w:lang w:val="sq-AL"/>
        </w:rPr>
        <w:t xml:space="preserve">a) </w:t>
      </w:r>
      <w:r w:rsidRPr="00FA38F9">
        <w:rPr>
          <w:rFonts w:ascii="Garamond" w:hAnsi="Garamond" w:cs="Times New Roman"/>
          <w:sz w:val="24"/>
          <w:szCs w:val="24"/>
          <w:lang w:val="sq-AL"/>
        </w:rPr>
        <w:t>institucionet e parasë elektronike hartojnë dhe miratojnë rregullore të brendshme</w:t>
      </w:r>
      <w:r w:rsidRPr="00FA38F9">
        <w:rPr>
          <w:rFonts w:ascii="Garamond" w:hAnsi="Garamond"/>
          <w:sz w:val="24"/>
          <w:szCs w:val="24"/>
          <w:lang w:val="sq-AL"/>
        </w:rPr>
        <w:t>,</w:t>
      </w:r>
      <w:r w:rsidRPr="00FA38F9">
        <w:rPr>
          <w:rFonts w:ascii="Garamond" w:hAnsi="Garamond" w:cs="Times New Roman"/>
          <w:sz w:val="24"/>
          <w:szCs w:val="24"/>
          <w:lang w:val="sq-AL"/>
        </w:rPr>
        <w:t xml:space="preserve"> me qëllim administrimin e rrezikut të kredisë, duke parashikuar kërkesa mbi çdo hap të këtij procesi, që përfshijnë analizën paraprake financiare, disbursimin, monitorimin, rishikimin e linjave të kredisë etj.; </w:t>
      </w:r>
    </w:p>
    <w:p w14:paraId="0FE28F6C" w14:textId="6883B7EC" w:rsidR="009E23AF" w:rsidRPr="00FA38F9" w:rsidRDefault="009E23AF" w:rsidP="009E23AF">
      <w:pPr>
        <w:pStyle w:val="ListParagraph"/>
        <w:tabs>
          <w:tab w:val="left" w:pos="720"/>
        </w:tabs>
        <w:spacing w:after="0" w:line="240" w:lineRule="auto"/>
        <w:ind w:left="0" w:firstLine="284"/>
        <w:jc w:val="both"/>
        <w:rPr>
          <w:rFonts w:ascii="Garamond" w:hAnsi="Garamond" w:cs="Times New Roman"/>
          <w:sz w:val="24"/>
          <w:szCs w:val="24"/>
          <w:lang w:val="sq-AL"/>
        </w:rPr>
      </w:pPr>
      <w:r w:rsidRPr="00FA38F9">
        <w:rPr>
          <w:rFonts w:ascii="Garamond" w:hAnsi="Garamond" w:cs="Times New Roman"/>
          <w:lang w:val="sq-AL"/>
        </w:rPr>
        <w:t xml:space="preserve">b) </w:t>
      </w:r>
      <w:r w:rsidRPr="00FA38F9">
        <w:rPr>
          <w:rFonts w:ascii="Garamond" w:hAnsi="Garamond" w:cs="Times New Roman"/>
          <w:sz w:val="24"/>
          <w:szCs w:val="24"/>
          <w:lang w:val="sq-AL"/>
        </w:rPr>
        <w:t>kredia lehtëson dhe jepet ekskluzivisht me qëllim ekzekutimin e transaksionit të pagesës. Për të siguruar pajtueshmërinë me këtë kusht, institucionet e parasë elektronike miratojnë sisteme dhe procedura për të monitoruar financimin dhe sigurojnë mekanizmat e kontrollit të brendshëm;</w:t>
      </w:r>
    </w:p>
    <w:p w14:paraId="01A4D8DC" w14:textId="7D16C363" w:rsidR="009E23AF" w:rsidRPr="00FA38F9" w:rsidRDefault="009E23AF" w:rsidP="009E23AF">
      <w:pPr>
        <w:pStyle w:val="ListParagraph"/>
        <w:tabs>
          <w:tab w:val="left" w:pos="720"/>
        </w:tabs>
        <w:spacing w:after="0" w:line="240" w:lineRule="auto"/>
        <w:ind w:left="0" w:firstLine="284"/>
        <w:jc w:val="both"/>
        <w:rPr>
          <w:rFonts w:ascii="Garamond" w:hAnsi="Garamond" w:cs="Times New Roman"/>
          <w:sz w:val="24"/>
          <w:szCs w:val="24"/>
          <w:lang w:val="sq-AL"/>
        </w:rPr>
      </w:pPr>
      <w:r w:rsidRPr="00FA38F9">
        <w:rPr>
          <w:rFonts w:ascii="Garamond" w:hAnsi="Garamond" w:cs="Times New Roman"/>
          <w:lang w:val="sq-AL"/>
        </w:rPr>
        <w:t xml:space="preserve">c) </w:t>
      </w:r>
      <w:r w:rsidRPr="00FA38F9">
        <w:rPr>
          <w:rFonts w:ascii="Garamond" w:hAnsi="Garamond" w:cs="Times New Roman"/>
          <w:sz w:val="24"/>
          <w:szCs w:val="24"/>
          <w:lang w:val="sq-AL"/>
        </w:rPr>
        <w:t xml:space="preserve">institucionet e parasë elektronike nuk japin kredi nga fondet e pranuara në këmbim të parasë elektronike të emetuar, të cilat i mbrojnë në përputhje me nenin 15 të kësaj rregulloreje; </w:t>
      </w:r>
    </w:p>
    <w:p w14:paraId="2C20335C" w14:textId="15E4524D" w:rsidR="009E23AF" w:rsidRPr="00FA38F9" w:rsidRDefault="009E23AF" w:rsidP="009E23AF">
      <w:pPr>
        <w:pStyle w:val="ListParagraph"/>
        <w:tabs>
          <w:tab w:val="left" w:pos="720"/>
        </w:tabs>
        <w:spacing w:after="0" w:line="240" w:lineRule="auto"/>
        <w:ind w:left="0" w:firstLine="284"/>
        <w:jc w:val="both"/>
        <w:rPr>
          <w:rFonts w:ascii="Garamond" w:hAnsi="Garamond" w:cs="Times New Roman"/>
          <w:sz w:val="24"/>
          <w:szCs w:val="24"/>
          <w:lang w:val="sq-AL"/>
        </w:rPr>
      </w:pPr>
      <w:r w:rsidRPr="00FA38F9">
        <w:rPr>
          <w:rFonts w:ascii="Garamond" w:hAnsi="Garamond" w:cs="Times New Roman"/>
          <w:lang w:val="sq-AL"/>
        </w:rPr>
        <w:t xml:space="preserve">d) </w:t>
      </w:r>
      <w:r w:rsidRPr="00FA38F9">
        <w:rPr>
          <w:rFonts w:ascii="Garamond" w:hAnsi="Garamond" w:cs="Times New Roman"/>
          <w:sz w:val="24"/>
          <w:szCs w:val="24"/>
          <w:lang w:val="sq-AL"/>
        </w:rPr>
        <w:t xml:space="preserve">kredia do të jepet nga fondet e vetë institucionit të parasë elektronike dhe jo nga fondet e marra ose të mbajtura nga përdoruesit e shërbimeve të pagesave, me qëllim ekzekutimin e një transaksioni pagese; </w:t>
      </w:r>
    </w:p>
    <w:p w14:paraId="6A5F162E" w14:textId="7DB3F6D2" w:rsidR="009E23AF" w:rsidRPr="00FA38F9" w:rsidRDefault="009E23AF" w:rsidP="009E23AF">
      <w:pPr>
        <w:pStyle w:val="ListParagraph"/>
        <w:tabs>
          <w:tab w:val="left" w:pos="720"/>
        </w:tabs>
        <w:spacing w:after="0" w:line="240" w:lineRule="auto"/>
        <w:ind w:left="0" w:firstLine="284"/>
        <w:jc w:val="both"/>
        <w:rPr>
          <w:rFonts w:ascii="Garamond" w:hAnsi="Garamond"/>
          <w:lang w:val="sq-AL"/>
        </w:rPr>
      </w:pPr>
      <w:r w:rsidRPr="00FA38F9">
        <w:rPr>
          <w:rFonts w:ascii="Garamond" w:hAnsi="Garamond" w:cs="Times New Roman"/>
          <w:lang w:val="sq-AL"/>
        </w:rPr>
        <w:t xml:space="preserve">e) </w:t>
      </w:r>
      <w:r w:rsidRPr="00FA38F9">
        <w:rPr>
          <w:rFonts w:ascii="Garamond" w:hAnsi="Garamond" w:cs="Times New Roman"/>
          <w:sz w:val="24"/>
          <w:szCs w:val="24"/>
          <w:lang w:val="sq-AL"/>
        </w:rPr>
        <w:t>kredia është afatshkurtër dhe duhet të shlyhet brenda një periudhe jo më të gjatë se 12 (dymbëdhjetë) muaj. Përjashtim nga ky rregull mund të bëjë afati i kredisë së dhënë në lidhje me pagesat e bëra me kartë krediti, i cili mund të jetë më shumë se 12 muaj;</w:t>
      </w:r>
    </w:p>
    <w:p w14:paraId="5CE2CC2C" w14:textId="2D5D6D62" w:rsidR="009E23AF" w:rsidRPr="00FA38F9" w:rsidRDefault="009E23AF" w:rsidP="009E23AF">
      <w:pPr>
        <w:pStyle w:val="ListParagraph"/>
        <w:tabs>
          <w:tab w:val="left" w:pos="720"/>
        </w:tabs>
        <w:spacing w:after="0" w:line="240" w:lineRule="auto"/>
        <w:ind w:left="0" w:firstLine="284"/>
        <w:jc w:val="both"/>
        <w:rPr>
          <w:rFonts w:ascii="Garamond" w:hAnsi="Garamond" w:cs="Times New Roman"/>
          <w:strike/>
          <w:sz w:val="24"/>
          <w:szCs w:val="24"/>
          <w:lang w:val="sq-AL"/>
        </w:rPr>
      </w:pPr>
      <w:r w:rsidRPr="00FA38F9">
        <w:rPr>
          <w:rFonts w:ascii="Garamond" w:hAnsi="Garamond" w:cs="Times New Roman"/>
          <w:lang w:val="sq-AL"/>
        </w:rPr>
        <w:t xml:space="preserve">f) </w:t>
      </w:r>
      <w:r w:rsidRPr="00FA38F9">
        <w:rPr>
          <w:rFonts w:ascii="Garamond" w:hAnsi="Garamond" w:cs="Times New Roman"/>
          <w:sz w:val="24"/>
          <w:szCs w:val="24"/>
          <w:lang w:val="sq-AL"/>
        </w:rPr>
        <w:t>institucionet e parasë elektronike respektojnë kërkesën për kapital rregullator të përcaktuar në nenin 14 të kësaj rregulloreje, që përfshin edhe kërkesat për kapital për rrezikun e kredisë që rrjedh nga këto kredi.</w:t>
      </w:r>
    </w:p>
    <w:p w14:paraId="67997ED9" w14:textId="77777777" w:rsidR="009E23AF" w:rsidRPr="00FA38F9" w:rsidRDefault="009E23AF" w:rsidP="009E23AF">
      <w:pPr>
        <w:spacing w:after="0" w:line="240" w:lineRule="auto"/>
        <w:ind w:firstLine="284"/>
        <w:jc w:val="both"/>
        <w:rPr>
          <w:rFonts w:ascii="Garamond" w:hAnsi="Garamond" w:cs="Times New Roman"/>
          <w:strike/>
          <w:sz w:val="24"/>
          <w:szCs w:val="24"/>
          <w:lang w:val="sq-AL"/>
        </w:rPr>
      </w:pPr>
    </w:p>
    <w:p w14:paraId="06A42FB0" w14:textId="77777777" w:rsidR="009E23AF" w:rsidRPr="00FA38F9" w:rsidRDefault="009E23AF" w:rsidP="009E23AF">
      <w:pPr>
        <w:pStyle w:val="CM4"/>
        <w:ind w:firstLine="284"/>
        <w:jc w:val="center"/>
        <w:rPr>
          <w:rFonts w:ascii="Garamond" w:hAnsi="Garamond"/>
          <w:bCs/>
          <w:lang w:val="sq-AL"/>
        </w:rPr>
      </w:pPr>
      <w:r w:rsidRPr="00FA38F9">
        <w:rPr>
          <w:rFonts w:ascii="Garamond" w:hAnsi="Garamond"/>
          <w:bCs/>
          <w:lang w:val="sq-AL"/>
        </w:rPr>
        <w:t>KREU V</w:t>
      </w:r>
    </w:p>
    <w:p w14:paraId="63C63925" w14:textId="77777777" w:rsidR="009E23AF" w:rsidRPr="00FA38F9" w:rsidRDefault="009E23AF" w:rsidP="009E23AF">
      <w:pPr>
        <w:spacing w:after="0" w:line="240" w:lineRule="auto"/>
        <w:ind w:firstLine="284"/>
        <w:jc w:val="center"/>
        <w:rPr>
          <w:rFonts w:ascii="Garamond" w:hAnsi="Garamond" w:cs="Times New Roman"/>
          <w:bCs/>
          <w:sz w:val="24"/>
          <w:szCs w:val="24"/>
          <w:lang w:val="sq-AL"/>
        </w:rPr>
      </w:pPr>
      <w:r w:rsidRPr="00FA38F9">
        <w:rPr>
          <w:rFonts w:ascii="Garamond" w:hAnsi="Garamond" w:cs="Times New Roman"/>
          <w:bCs/>
          <w:sz w:val="24"/>
          <w:szCs w:val="24"/>
          <w:lang w:val="sq-AL"/>
        </w:rPr>
        <w:t>KONTABILITETI, AUDITIMI DHE KËRKESAT RAPORTUESE PËR INSTITUCIONET E PARASË ELEKTRONIKE</w:t>
      </w:r>
    </w:p>
    <w:p w14:paraId="468B21D9" w14:textId="77777777" w:rsidR="009E23AF" w:rsidRPr="00FA38F9" w:rsidRDefault="009E23AF" w:rsidP="009E23AF">
      <w:pPr>
        <w:spacing w:after="0" w:line="240" w:lineRule="auto"/>
        <w:ind w:firstLine="284"/>
        <w:jc w:val="center"/>
        <w:rPr>
          <w:rFonts w:ascii="Garamond" w:hAnsi="Garamond" w:cs="Times New Roman"/>
          <w:bCs/>
          <w:sz w:val="24"/>
          <w:szCs w:val="24"/>
          <w:lang w:val="sq-AL"/>
        </w:rPr>
      </w:pPr>
    </w:p>
    <w:p w14:paraId="629E60C4" w14:textId="77777777" w:rsidR="009E23AF" w:rsidRPr="00FA38F9" w:rsidRDefault="009E23AF" w:rsidP="009E23AF">
      <w:pPr>
        <w:spacing w:after="0" w:line="240" w:lineRule="auto"/>
        <w:ind w:firstLine="284"/>
        <w:jc w:val="center"/>
        <w:rPr>
          <w:rFonts w:ascii="Garamond" w:hAnsi="Garamond" w:cs="Times New Roman"/>
          <w:bCs/>
          <w:sz w:val="24"/>
          <w:szCs w:val="24"/>
          <w:lang w:val="sq-AL"/>
        </w:rPr>
      </w:pPr>
      <w:r w:rsidRPr="00FA38F9">
        <w:rPr>
          <w:rFonts w:ascii="Garamond" w:hAnsi="Garamond" w:cs="Times New Roman"/>
          <w:bCs/>
          <w:sz w:val="24"/>
          <w:szCs w:val="24"/>
          <w:lang w:val="sq-AL"/>
        </w:rPr>
        <w:t>Neni 20</w:t>
      </w:r>
    </w:p>
    <w:p w14:paraId="70F31E5C" w14:textId="77777777" w:rsidR="009E23AF" w:rsidRPr="00FA38F9" w:rsidRDefault="009E23AF" w:rsidP="009E23AF">
      <w:pPr>
        <w:spacing w:after="0" w:line="240" w:lineRule="auto"/>
        <w:ind w:firstLine="284"/>
        <w:jc w:val="center"/>
        <w:rPr>
          <w:rFonts w:ascii="Garamond" w:hAnsi="Garamond" w:cs="Times New Roman"/>
          <w:b/>
          <w:bCs/>
          <w:sz w:val="24"/>
          <w:szCs w:val="24"/>
          <w:lang w:val="sq-AL"/>
        </w:rPr>
      </w:pPr>
      <w:r w:rsidRPr="00FA38F9">
        <w:rPr>
          <w:rFonts w:ascii="Garamond" w:hAnsi="Garamond" w:cs="Times New Roman"/>
          <w:b/>
          <w:bCs/>
          <w:sz w:val="24"/>
          <w:szCs w:val="24"/>
          <w:lang w:val="sq-AL"/>
        </w:rPr>
        <w:t>Kontabiliteti dhe raportet financiare</w:t>
      </w:r>
    </w:p>
    <w:p w14:paraId="0BE79F81" w14:textId="77777777" w:rsidR="009E23AF" w:rsidRPr="00FA38F9" w:rsidRDefault="009E23AF" w:rsidP="009E23AF">
      <w:pPr>
        <w:spacing w:after="0" w:line="240" w:lineRule="auto"/>
        <w:ind w:firstLine="284"/>
        <w:jc w:val="center"/>
        <w:rPr>
          <w:rFonts w:ascii="Garamond" w:hAnsi="Garamond" w:cs="Times New Roman"/>
          <w:b/>
          <w:bCs/>
          <w:sz w:val="24"/>
          <w:szCs w:val="24"/>
          <w:lang w:val="sq-AL"/>
        </w:rPr>
      </w:pPr>
    </w:p>
    <w:p w14:paraId="39E0A37D" w14:textId="73C12C4F" w:rsidR="009E23AF" w:rsidRPr="00FA38F9" w:rsidRDefault="009E23AF" w:rsidP="009E23AF">
      <w:pPr>
        <w:tabs>
          <w:tab w:val="left" w:pos="360"/>
          <w:tab w:val="left" w:pos="720"/>
        </w:tabs>
        <w:spacing w:after="0" w:line="240" w:lineRule="auto"/>
        <w:ind w:firstLine="284"/>
        <w:jc w:val="both"/>
        <w:rPr>
          <w:rFonts w:ascii="Garamond" w:hAnsi="Garamond" w:cs="Times New Roman"/>
          <w:sz w:val="24"/>
          <w:szCs w:val="24"/>
          <w:lang w:val="sq-AL"/>
        </w:rPr>
      </w:pPr>
      <w:r w:rsidRPr="00FA38F9">
        <w:rPr>
          <w:rFonts w:ascii="Garamond" w:hAnsi="Garamond" w:cs="Times New Roman"/>
          <w:sz w:val="24"/>
          <w:szCs w:val="24"/>
          <w:lang w:val="sq-AL"/>
        </w:rPr>
        <w:t xml:space="preserve">1. Institucionet e parasë elektronike mbajnë llogaritë kontabël dhe përgatisin raportet financiare për pasqyrimin e gjendjes së tyre financiare, në mënyrë të saktë dhe në përputhje me rregullat e parimet kontabël, mbi baza individuale e të konsoliduara, sipas legjislacionit në fuqi për kontabilitetin dhe pasqyrat financiare. </w:t>
      </w:r>
    </w:p>
    <w:p w14:paraId="79ECB3D2" w14:textId="74D6540B" w:rsidR="009E23AF" w:rsidRPr="00FA38F9" w:rsidRDefault="009E23AF" w:rsidP="009E23AF">
      <w:pPr>
        <w:tabs>
          <w:tab w:val="left" w:pos="360"/>
          <w:tab w:val="left" w:pos="720"/>
        </w:tabs>
        <w:spacing w:after="0" w:line="240" w:lineRule="auto"/>
        <w:ind w:firstLine="284"/>
        <w:jc w:val="both"/>
        <w:rPr>
          <w:rFonts w:ascii="Garamond" w:hAnsi="Garamond" w:cs="Times New Roman"/>
          <w:sz w:val="24"/>
          <w:szCs w:val="24"/>
          <w:lang w:val="sq-AL"/>
        </w:rPr>
      </w:pPr>
      <w:r w:rsidRPr="00FA38F9">
        <w:rPr>
          <w:rFonts w:ascii="Garamond" w:hAnsi="Garamond" w:cs="Times New Roman"/>
          <w:sz w:val="24"/>
          <w:szCs w:val="24"/>
          <w:lang w:val="sq-AL"/>
        </w:rPr>
        <w:t>2. Kur institucioni i parasë elektronike kryen edhe veprimtari të tjera sipas nenit 6 të kësaj rregulloreje, përveç emetimit të parasë elektronike dhe ofrimit të shërbimeve të pagesave (në rastet kur është e zbatueshme), për qëllime të mbikëqyrjes, institucioni mban informacion kontabël të veçantë për këto veprimtari, që duhet të jetë pjesë e raportit të audituesit ligjor.</w:t>
      </w:r>
    </w:p>
    <w:p w14:paraId="08BB6F16" w14:textId="77777777" w:rsidR="009E23AF" w:rsidRPr="00FA38F9" w:rsidRDefault="009E23AF" w:rsidP="009E23AF">
      <w:pPr>
        <w:spacing w:after="0" w:line="240" w:lineRule="auto"/>
        <w:ind w:firstLine="284"/>
        <w:jc w:val="center"/>
        <w:rPr>
          <w:rFonts w:ascii="Garamond" w:hAnsi="Garamond" w:cs="Times New Roman"/>
          <w:b/>
          <w:bCs/>
          <w:sz w:val="24"/>
          <w:szCs w:val="24"/>
          <w:lang w:val="sq-AL"/>
        </w:rPr>
      </w:pPr>
    </w:p>
    <w:p w14:paraId="19A152C5" w14:textId="77777777" w:rsidR="009E23AF" w:rsidRPr="00FA38F9" w:rsidRDefault="009E23AF" w:rsidP="009E23AF">
      <w:pPr>
        <w:spacing w:after="0" w:line="240" w:lineRule="auto"/>
        <w:ind w:firstLine="284"/>
        <w:jc w:val="center"/>
        <w:rPr>
          <w:rFonts w:ascii="Garamond" w:hAnsi="Garamond" w:cs="Times New Roman"/>
          <w:bCs/>
          <w:sz w:val="24"/>
          <w:szCs w:val="24"/>
          <w:lang w:val="sq-AL"/>
        </w:rPr>
      </w:pPr>
      <w:r w:rsidRPr="00FA38F9">
        <w:rPr>
          <w:rFonts w:ascii="Garamond" w:hAnsi="Garamond" w:cs="Times New Roman"/>
          <w:bCs/>
          <w:sz w:val="24"/>
          <w:szCs w:val="24"/>
          <w:lang w:val="sq-AL"/>
        </w:rPr>
        <w:t>Neni 21</w:t>
      </w:r>
    </w:p>
    <w:p w14:paraId="5CF116BF" w14:textId="77777777" w:rsidR="009E23AF" w:rsidRPr="00FA38F9" w:rsidRDefault="009E23AF" w:rsidP="009E23AF">
      <w:pPr>
        <w:spacing w:after="0" w:line="240" w:lineRule="auto"/>
        <w:ind w:firstLine="284"/>
        <w:jc w:val="center"/>
        <w:rPr>
          <w:rFonts w:ascii="Garamond" w:hAnsi="Garamond" w:cs="Times New Roman"/>
          <w:b/>
          <w:bCs/>
          <w:sz w:val="24"/>
          <w:szCs w:val="24"/>
          <w:lang w:val="sq-AL"/>
        </w:rPr>
      </w:pPr>
      <w:r w:rsidRPr="00FA38F9">
        <w:rPr>
          <w:rFonts w:ascii="Garamond" w:hAnsi="Garamond" w:cs="Times New Roman"/>
          <w:b/>
          <w:bCs/>
          <w:sz w:val="24"/>
          <w:szCs w:val="24"/>
          <w:lang w:val="sq-AL"/>
        </w:rPr>
        <w:t xml:space="preserve">Auditimi ligjor </w:t>
      </w:r>
    </w:p>
    <w:p w14:paraId="4FDEBD2D" w14:textId="77777777" w:rsidR="009E23AF" w:rsidRPr="00FA38F9" w:rsidRDefault="009E23AF" w:rsidP="009E23AF">
      <w:pPr>
        <w:spacing w:after="0" w:line="240" w:lineRule="auto"/>
        <w:ind w:firstLine="284"/>
        <w:jc w:val="center"/>
        <w:rPr>
          <w:rFonts w:ascii="Garamond" w:hAnsi="Garamond" w:cs="Times New Roman"/>
          <w:b/>
          <w:bCs/>
          <w:sz w:val="24"/>
          <w:szCs w:val="24"/>
          <w:lang w:val="sq-AL"/>
        </w:rPr>
      </w:pPr>
    </w:p>
    <w:p w14:paraId="28028CA8" w14:textId="40D252CA" w:rsidR="009E23AF" w:rsidRPr="00FA38F9" w:rsidRDefault="009E23AF" w:rsidP="009E23AF">
      <w:pPr>
        <w:tabs>
          <w:tab w:val="left" w:pos="360"/>
        </w:tabs>
        <w:spacing w:after="0" w:line="240" w:lineRule="auto"/>
        <w:ind w:firstLine="284"/>
        <w:jc w:val="both"/>
        <w:rPr>
          <w:rFonts w:ascii="Garamond" w:hAnsi="Garamond" w:cs="Times New Roman"/>
          <w:sz w:val="24"/>
          <w:szCs w:val="24"/>
          <w:lang w:val="sq-AL"/>
        </w:rPr>
      </w:pPr>
      <w:r w:rsidRPr="00FA38F9">
        <w:rPr>
          <w:rFonts w:ascii="Garamond" w:hAnsi="Garamond" w:cs="Times New Roman"/>
          <w:sz w:val="24"/>
          <w:szCs w:val="24"/>
          <w:lang w:val="sq-AL"/>
        </w:rPr>
        <w:t xml:space="preserve">1. Llogaritë vjetore dhe llogaritë e konsoliduara të institucioneve të parasë elektronike auditohen nga auditues ligjorë ose shoqëri auditimi, sipas legjislacionit në fuqi për kontabilitetin dhe pasqyrat financiare dhe të atij për auditimin ligjor, organizimin e profesionit të audituesit ligjor dhe të kontabilistit të miratuar. </w:t>
      </w:r>
    </w:p>
    <w:p w14:paraId="04DAD8C2" w14:textId="387C3319" w:rsidR="009E23AF" w:rsidRPr="00FA38F9" w:rsidRDefault="009E23AF" w:rsidP="009E23AF">
      <w:pPr>
        <w:tabs>
          <w:tab w:val="left" w:pos="360"/>
        </w:tabs>
        <w:spacing w:after="0" w:line="240" w:lineRule="auto"/>
        <w:ind w:firstLine="284"/>
        <w:jc w:val="both"/>
        <w:rPr>
          <w:rFonts w:ascii="Garamond" w:hAnsi="Garamond"/>
          <w:sz w:val="24"/>
          <w:szCs w:val="24"/>
          <w:lang w:val="sq-AL"/>
        </w:rPr>
      </w:pPr>
      <w:r w:rsidRPr="00FA38F9">
        <w:rPr>
          <w:rFonts w:ascii="Garamond" w:hAnsi="Garamond" w:cs="Times New Roman"/>
          <w:sz w:val="24"/>
          <w:szCs w:val="24"/>
          <w:lang w:val="sq-AL"/>
        </w:rPr>
        <w:t>2. Detyrimet e përcaktuara në ligjin për bankat dhe në aktin nënligjor përkatës të Bankës së Shqipërisë për ekspertin kontabël të autorizuar të bankave, zbatohen në të njëjtën mënyrë edhe për audituesit ligjorë ose shoqëritë e auditimit të institucioneve të parasë elektronike lidhur me veprimtarinë e emetimit të parasë elektronike dhe ofrimit të shërbimeve të pagesave (në rastet kur është e zbatueshme)</w:t>
      </w:r>
      <w:r w:rsidRPr="00FA38F9">
        <w:rPr>
          <w:rFonts w:ascii="Garamond" w:hAnsi="Garamond"/>
          <w:sz w:val="24"/>
          <w:szCs w:val="24"/>
          <w:lang w:val="sq-AL"/>
        </w:rPr>
        <w:t>.</w:t>
      </w:r>
    </w:p>
    <w:p w14:paraId="5ABA4824" w14:textId="77777777" w:rsidR="009E23AF" w:rsidRPr="00FA38F9" w:rsidRDefault="009E23AF" w:rsidP="009E23AF">
      <w:pPr>
        <w:spacing w:after="0" w:line="240" w:lineRule="auto"/>
        <w:ind w:firstLine="284"/>
        <w:jc w:val="both"/>
        <w:rPr>
          <w:rFonts w:ascii="Garamond" w:hAnsi="Garamond" w:cs="Times New Roman"/>
          <w:sz w:val="24"/>
          <w:szCs w:val="24"/>
          <w:lang w:val="sq-AL"/>
        </w:rPr>
      </w:pPr>
    </w:p>
    <w:p w14:paraId="376E79BA" w14:textId="77777777" w:rsidR="009E23AF" w:rsidRPr="00FA38F9" w:rsidRDefault="009E23AF" w:rsidP="009E23AF">
      <w:pPr>
        <w:spacing w:after="0" w:line="240" w:lineRule="auto"/>
        <w:ind w:firstLine="284"/>
        <w:jc w:val="center"/>
        <w:rPr>
          <w:rFonts w:ascii="Garamond" w:hAnsi="Garamond" w:cs="Times New Roman"/>
          <w:bCs/>
          <w:sz w:val="24"/>
          <w:szCs w:val="24"/>
          <w:lang w:val="sq-AL"/>
        </w:rPr>
      </w:pPr>
      <w:r w:rsidRPr="00FA38F9">
        <w:rPr>
          <w:rFonts w:ascii="Garamond" w:hAnsi="Garamond" w:cs="Times New Roman"/>
          <w:bCs/>
          <w:sz w:val="24"/>
          <w:szCs w:val="24"/>
          <w:lang w:val="sq-AL"/>
        </w:rPr>
        <w:t>Neni 22</w:t>
      </w:r>
    </w:p>
    <w:p w14:paraId="24409696" w14:textId="77777777" w:rsidR="009E23AF" w:rsidRPr="00FA38F9" w:rsidRDefault="009E23AF" w:rsidP="009E23AF">
      <w:pPr>
        <w:spacing w:after="0" w:line="240" w:lineRule="auto"/>
        <w:ind w:firstLine="284"/>
        <w:jc w:val="center"/>
        <w:rPr>
          <w:rFonts w:ascii="Garamond" w:hAnsi="Garamond" w:cs="Times New Roman"/>
          <w:b/>
          <w:bCs/>
          <w:sz w:val="24"/>
          <w:szCs w:val="24"/>
          <w:lang w:val="sq-AL"/>
        </w:rPr>
      </w:pPr>
      <w:r w:rsidRPr="00FA38F9">
        <w:rPr>
          <w:rFonts w:ascii="Garamond" w:hAnsi="Garamond" w:cs="Times New Roman"/>
          <w:b/>
          <w:bCs/>
          <w:sz w:val="24"/>
          <w:szCs w:val="24"/>
          <w:lang w:val="sq-AL"/>
        </w:rPr>
        <w:t>Raportimi në Bankën e Shqipërisë</w:t>
      </w:r>
    </w:p>
    <w:p w14:paraId="2F0C52B9" w14:textId="77777777" w:rsidR="009E23AF" w:rsidRPr="00FA38F9" w:rsidRDefault="009E23AF" w:rsidP="009E23AF">
      <w:pPr>
        <w:spacing w:after="0" w:line="240" w:lineRule="auto"/>
        <w:ind w:firstLine="284"/>
        <w:jc w:val="center"/>
        <w:rPr>
          <w:rFonts w:ascii="Garamond" w:hAnsi="Garamond" w:cs="Times New Roman"/>
          <w:b/>
          <w:bCs/>
          <w:sz w:val="24"/>
          <w:szCs w:val="24"/>
          <w:lang w:val="sq-AL"/>
        </w:rPr>
      </w:pPr>
    </w:p>
    <w:p w14:paraId="5CDDACF1" w14:textId="7D4065EE" w:rsidR="009E23AF" w:rsidRPr="00FA38F9" w:rsidRDefault="009E23AF" w:rsidP="009E23AF">
      <w:pPr>
        <w:tabs>
          <w:tab w:val="left" w:pos="360"/>
        </w:tabs>
        <w:spacing w:after="0" w:line="240" w:lineRule="auto"/>
        <w:ind w:firstLine="284"/>
        <w:jc w:val="both"/>
        <w:rPr>
          <w:rFonts w:ascii="Garamond" w:hAnsi="Garamond" w:cs="Times New Roman"/>
          <w:sz w:val="24"/>
          <w:szCs w:val="24"/>
          <w:lang w:val="sq-AL"/>
        </w:rPr>
      </w:pPr>
      <w:r w:rsidRPr="00FA38F9">
        <w:rPr>
          <w:rFonts w:ascii="Garamond" w:hAnsi="Garamond" w:cs="Times New Roman"/>
          <w:sz w:val="24"/>
          <w:szCs w:val="24"/>
          <w:lang w:val="sq-AL"/>
        </w:rPr>
        <w:t xml:space="preserve">1. Institucionet e parasë elektronike raportojnë në Bankën e Shqipërisë sipas kërkesave të përcaktuara në aktet nënligjore për sistemin raportues të unifikuar të këtyre subjekteve. </w:t>
      </w:r>
    </w:p>
    <w:p w14:paraId="3F407916" w14:textId="7363ECBD" w:rsidR="009E23AF" w:rsidRPr="00FA38F9" w:rsidRDefault="009E23AF" w:rsidP="009E23AF">
      <w:pPr>
        <w:tabs>
          <w:tab w:val="left" w:pos="360"/>
        </w:tabs>
        <w:spacing w:after="0" w:line="240" w:lineRule="auto"/>
        <w:ind w:firstLine="284"/>
        <w:jc w:val="both"/>
        <w:rPr>
          <w:rFonts w:ascii="Garamond" w:hAnsi="Garamond" w:cs="Times New Roman"/>
          <w:sz w:val="24"/>
          <w:szCs w:val="24"/>
          <w:lang w:val="sq-AL"/>
        </w:rPr>
      </w:pPr>
      <w:r w:rsidRPr="00FA38F9">
        <w:rPr>
          <w:rFonts w:ascii="Garamond" w:hAnsi="Garamond" w:cs="Times New Roman"/>
          <w:sz w:val="24"/>
          <w:szCs w:val="24"/>
          <w:lang w:val="sq-AL"/>
        </w:rPr>
        <w:t>2. Institucionet e parasë elektronike dërgojnë në Bankën e Shqipërisë, brenda 6-mujorit të parë të vitit pasardhës, një kopje të raportit vjetor dhe të opinionit të ekspertit kontabël të autorizuar, ku pasqyrohet gjendja financiare dhe kontabël, mbi baza individuale dhe të konsoliduara.</w:t>
      </w:r>
    </w:p>
    <w:p w14:paraId="27720B2C" w14:textId="0D3B2F8D" w:rsidR="009E23AF" w:rsidRPr="00FA38F9" w:rsidRDefault="009E23AF" w:rsidP="009E23AF">
      <w:pPr>
        <w:tabs>
          <w:tab w:val="left" w:pos="360"/>
        </w:tabs>
        <w:spacing w:after="0" w:line="240" w:lineRule="auto"/>
        <w:ind w:firstLine="284"/>
        <w:jc w:val="both"/>
        <w:rPr>
          <w:rFonts w:ascii="Garamond" w:hAnsi="Garamond" w:cs="Times New Roman"/>
          <w:sz w:val="24"/>
          <w:szCs w:val="24"/>
          <w:lang w:val="sq-AL"/>
        </w:rPr>
      </w:pPr>
      <w:r w:rsidRPr="00FA38F9">
        <w:rPr>
          <w:rFonts w:ascii="Garamond" w:hAnsi="Garamond" w:cs="Times New Roman"/>
          <w:sz w:val="24"/>
          <w:szCs w:val="24"/>
          <w:lang w:val="sq-AL"/>
        </w:rPr>
        <w:t>3. Institucionet e parasë elektronike raportojnë menjëherë në Bankën e Shqipërisë, për çdo rast të tejkalimit të normave mbikëqyrëse të lejueshme, sipas përcaktimeve të kësaj rregulloreje. Banka e Shqipërisë përcakton dhe njofton institucionin e parasë elektronike për kohën dhe masat e nevojshme, me qëllim rivendosjen e treguesve brenda kufijve të lejueshëm.</w:t>
      </w:r>
    </w:p>
    <w:p w14:paraId="5D236A14" w14:textId="77777777" w:rsidR="009E23AF" w:rsidRPr="00FA38F9" w:rsidRDefault="009E23AF" w:rsidP="009E23AF">
      <w:pPr>
        <w:tabs>
          <w:tab w:val="center" w:pos="4680"/>
          <w:tab w:val="left" w:pos="5440"/>
        </w:tabs>
        <w:spacing w:after="0" w:line="240" w:lineRule="auto"/>
        <w:ind w:firstLine="284"/>
        <w:jc w:val="center"/>
        <w:rPr>
          <w:rFonts w:ascii="Garamond" w:hAnsi="Garamond" w:cs="Times New Roman"/>
          <w:b/>
          <w:bCs/>
          <w:sz w:val="24"/>
          <w:szCs w:val="24"/>
          <w:lang w:val="sq-AL"/>
        </w:rPr>
      </w:pPr>
    </w:p>
    <w:p w14:paraId="32A96BF7" w14:textId="77777777" w:rsidR="009E23AF" w:rsidRPr="00FA38F9" w:rsidRDefault="009E23AF" w:rsidP="009E23AF">
      <w:pPr>
        <w:tabs>
          <w:tab w:val="center" w:pos="4680"/>
          <w:tab w:val="left" w:pos="5440"/>
        </w:tabs>
        <w:spacing w:after="0" w:line="240" w:lineRule="auto"/>
        <w:ind w:firstLine="284"/>
        <w:jc w:val="center"/>
        <w:rPr>
          <w:rFonts w:ascii="Garamond" w:hAnsi="Garamond" w:cs="Times New Roman"/>
          <w:bCs/>
          <w:sz w:val="24"/>
          <w:szCs w:val="24"/>
          <w:lang w:val="sq-AL"/>
        </w:rPr>
      </w:pPr>
      <w:r w:rsidRPr="00FA38F9">
        <w:rPr>
          <w:rFonts w:ascii="Garamond" w:hAnsi="Garamond" w:cs="Times New Roman"/>
          <w:bCs/>
          <w:sz w:val="24"/>
          <w:szCs w:val="24"/>
          <w:lang w:val="sq-AL"/>
        </w:rPr>
        <w:t>KREU VI</w:t>
      </w:r>
    </w:p>
    <w:p w14:paraId="289FAF62" w14:textId="77777777" w:rsidR="009E23AF" w:rsidRPr="00FA38F9" w:rsidRDefault="009E23AF" w:rsidP="009E23AF">
      <w:pPr>
        <w:spacing w:after="0" w:line="240" w:lineRule="auto"/>
        <w:ind w:firstLine="284"/>
        <w:jc w:val="center"/>
        <w:rPr>
          <w:rFonts w:ascii="Garamond" w:hAnsi="Garamond" w:cs="Times New Roman"/>
          <w:sz w:val="24"/>
          <w:szCs w:val="24"/>
          <w:lang w:val="sq-AL"/>
        </w:rPr>
      </w:pPr>
      <w:r w:rsidRPr="00FA38F9">
        <w:rPr>
          <w:rFonts w:ascii="Garamond" w:hAnsi="Garamond" w:cs="Times New Roman"/>
          <w:bCs/>
          <w:sz w:val="24"/>
          <w:szCs w:val="24"/>
          <w:lang w:val="sq-AL"/>
        </w:rPr>
        <w:t>EMETIMI I PARASË ELEKTRONIKE DHE RIPAGIMI I FONDEVE</w:t>
      </w:r>
      <w:r w:rsidRPr="00FA38F9">
        <w:rPr>
          <w:rFonts w:ascii="Garamond" w:hAnsi="Garamond" w:cs="Times New Roman"/>
          <w:sz w:val="24"/>
          <w:szCs w:val="24"/>
          <w:lang w:val="sq-AL"/>
        </w:rPr>
        <w:t xml:space="preserve"> </w:t>
      </w:r>
    </w:p>
    <w:p w14:paraId="1118157A" w14:textId="77777777" w:rsidR="009E23AF" w:rsidRPr="00FA38F9" w:rsidRDefault="009E23AF" w:rsidP="009E23AF">
      <w:pPr>
        <w:tabs>
          <w:tab w:val="center" w:pos="4680"/>
          <w:tab w:val="left" w:pos="5440"/>
        </w:tabs>
        <w:spacing w:after="0" w:line="240" w:lineRule="auto"/>
        <w:ind w:firstLine="284"/>
        <w:jc w:val="center"/>
        <w:rPr>
          <w:rFonts w:ascii="Garamond" w:hAnsi="Garamond" w:cs="Times New Roman"/>
          <w:bCs/>
          <w:sz w:val="24"/>
          <w:szCs w:val="24"/>
          <w:lang w:val="sq-AL"/>
        </w:rPr>
      </w:pPr>
    </w:p>
    <w:p w14:paraId="63FC98C0" w14:textId="77777777" w:rsidR="009E23AF" w:rsidRPr="00FA38F9" w:rsidRDefault="009E23AF" w:rsidP="009E23AF">
      <w:pPr>
        <w:spacing w:after="0" w:line="240" w:lineRule="auto"/>
        <w:ind w:firstLine="284"/>
        <w:jc w:val="center"/>
        <w:rPr>
          <w:rFonts w:ascii="Garamond" w:hAnsi="Garamond" w:cs="Times New Roman"/>
          <w:bCs/>
          <w:sz w:val="24"/>
          <w:szCs w:val="24"/>
          <w:lang w:val="sq-AL"/>
        </w:rPr>
      </w:pPr>
      <w:r w:rsidRPr="00FA38F9">
        <w:rPr>
          <w:rFonts w:ascii="Garamond" w:hAnsi="Garamond" w:cs="Times New Roman"/>
          <w:bCs/>
          <w:sz w:val="24"/>
          <w:szCs w:val="24"/>
          <w:lang w:val="sq-AL"/>
        </w:rPr>
        <w:t>Neni 23</w:t>
      </w:r>
    </w:p>
    <w:p w14:paraId="6C7CD6C3" w14:textId="77777777" w:rsidR="009E23AF" w:rsidRPr="00FA38F9" w:rsidRDefault="009E23AF" w:rsidP="009E23AF">
      <w:pPr>
        <w:spacing w:after="0" w:line="240" w:lineRule="auto"/>
        <w:ind w:firstLine="284"/>
        <w:jc w:val="center"/>
        <w:rPr>
          <w:rFonts w:ascii="Garamond" w:hAnsi="Garamond" w:cs="Times New Roman"/>
          <w:b/>
          <w:bCs/>
          <w:sz w:val="24"/>
          <w:szCs w:val="24"/>
          <w:lang w:val="sq-AL"/>
        </w:rPr>
      </w:pPr>
      <w:r w:rsidRPr="00FA38F9">
        <w:rPr>
          <w:rFonts w:ascii="Garamond" w:hAnsi="Garamond" w:cs="Times New Roman"/>
          <w:b/>
          <w:bCs/>
          <w:sz w:val="24"/>
          <w:szCs w:val="24"/>
          <w:lang w:val="sq-AL"/>
        </w:rPr>
        <w:t xml:space="preserve">Ndalimi i emetimit të parasë elektronike </w:t>
      </w:r>
    </w:p>
    <w:p w14:paraId="17ACB68D" w14:textId="77777777" w:rsidR="009E23AF" w:rsidRPr="00FA38F9" w:rsidRDefault="009E23AF" w:rsidP="009E23AF">
      <w:pPr>
        <w:spacing w:after="0" w:line="240" w:lineRule="auto"/>
        <w:ind w:firstLine="284"/>
        <w:jc w:val="center"/>
        <w:rPr>
          <w:rFonts w:ascii="Garamond" w:hAnsi="Garamond" w:cs="Times New Roman"/>
          <w:b/>
          <w:bCs/>
          <w:sz w:val="24"/>
          <w:szCs w:val="24"/>
          <w:lang w:val="sq-AL"/>
        </w:rPr>
      </w:pPr>
    </w:p>
    <w:p w14:paraId="0C47EEF4" w14:textId="77777777" w:rsidR="009E23AF" w:rsidRPr="00FA38F9" w:rsidRDefault="009E23AF" w:rsidP="009E23AF">
      <w:pPr>
        <w:tabs>
          <w:tab w:val="center" w:pos="4680"/>
          <w:tab w:val="left" w:pos="5440"/>
        </w:tabs>
        <w:spacing w:after="0" w:line="240" w:lineRule="auto"/>
        <w:ind w:firstLine="284"/>
        <w:jc w:val="both"/>
        <w:rPr>
          <w:rFonts w:ascii="Garamond" w:hAnsi="Garamond" w:cs="Times New Roman"/>
          <w:sz w:val="24"/>
          <w:szCs w:val="24"/>
          <w:lang w:val="sq-AL"/>
        </w:rPr>
      </w:pPr>
      <w:r w:rsidRPr="00FA38F9">
        <w:rPr>
          <w:rFonts w:ascii="Garamond" w:hAnsi="Garamond" w:cs="Times New Roman"/>
          <w:sz w:val="24"/>
          <w:szCs w:val="24"/>
          <w:lang w:val="sq-AL"/>
        </w:rPr>
        <w:t>Asnjë person fizik apo juridik që nuk është emetues i parasë elektronike, nuk mund të emetojë para elektronike.</w:t>
      </w:r>
    </w:p>
    <w:p w14:paraId="3EA6C0B6" w14:textId="77777777" w:rsidR="009E23AF" w:rsidRPr="00FA38F9" w:rsidRDefault="009E23AF" w:rsidP="009E23AF">
      <w:pPr>
        <w:tabs>
          <w:tab w:val="center" w:pos="4680"/>
          <w:tab w:val="left" w:pos="5440"/>
        </w:tabs>
        <w:spacing w:after="0" w:line="240" w:lineRule="auto"/>
        <w:ind w:firstLine="284"/>
        <w:jc w:val="center"/>
        <w:rPr>
          <w:rFonts w:ascii="Garamond" w:hAnsi="Garamond" w:cs="Times New Roman"/>
          <w:b/>
          <w:bCs/>
          <w:sz w:val="24"/>
          <w:szCs w:val="24"/>
          <w:lang w:val="sq-AL"/>
        </w:rPr>
      </w:pPr>
    </w:p>
    <w:p w14:paraId="1E3BD731" w14:textId="77777777" w:rsidR="009E23AF" w:rsidRPr="00FA38F9" w:rsidRDefault="009E23AF" w:rsidP="009E23AF">
      <w:pPr>
        <w:spacing w:after="0" w:line="240" w:lineRule="auto"/>
        <w:ind w:firstLine="284"/>
        <w:jc w:val="center"/>
        <w:rPr>
          <w:rFonts w:ascii="Garamond" w:hAnsi="Garamond" w:cs="Times New Roman"/>
          <w:bCs/>
          <w:sz w:val="24"/>
          <w:szCs w:val="24"/>
          <w:lang w:val="sq-AL"/>
        </w:rPr>
      </w:pPr>
      <w:r w:rsidRPr="00FA38F9">
        <w:rPr>
          <w:rFonts w:ascii="Garamond" w:hAnsi="Garamond" w:cs="Times New Roman"/>
          <w:bCs/>
          <w:sz w:val="24"/>
          <w:szCs w:val="24"/>
          <w:lang w:val="sq-AL"/>
        </w:rPr>
        <w:t>Neni 24</w:t>
      </w:r>
    </w:p>
    <w:p w14:paraId="78BB3ACE" w14:textId="77777777" w:rsidR="009E23AF" w:rsidRPr="00FA38F9" w:rsidRDefault="009E23AF" w:rsidP="009E23AF">
      <w:pPr>
        <w:spacing w:after="0" w:line="240" w:lineRule="auto"/>
        <w:ind w:firstLine="284"/>
        <w:jc w:val="center"/>
        <w:rPr>
          <w:rFonts w:ascii="Garamond" w:hAnsi="Garamond" w:cs="Times New Roman"/>
          <w:sz w:val="24"/>
          <w:szCs w:val="24"/>
          <w:lang w:val="sq-AL"/>
        </w:rPr>
      </w:pPr>
      <w:r w:rsidRPr="00FA38F9">
        <w:rPr>
          <w:rFonts w:ascii="Garamond" w:hAnsi="Garamond" w:cs="Times New Roman"/>
          <w:b/>
          <w:bCs/>
          <w:sz w:val="24"/>
          <w:szCs w:val="24"/>
          <w:lang w:val="sq-AL"/>
        </w:rPr>
        <w:t>Emetimi i parasë elektronike dhe ripagimi i fondeve</w:t>
      </w:r>
      <w:r w:rsidRPr="00FA38F9">
        <w:rPr>
          <w:rFonts w:ascii="Garamond" w:hAnsi="Garamond" w:cs="Times New Roman"/>
          <w:sz w:val="24"/>
          <w:szCs w:val="24"/>
          <w:lang w:val="sq-AL"/>
        </w:rPr>
        <w:t xml:space="preserve"> </w:t>
      </w:r>
    </w:p>
    <w:p w14:paraId="57E40A13" w14:textId="77777777" w:rsidR="009E23AF" w:rsidRPr="00FA38F9" w:rsidRDefault="009E23AF" w:rsidP="009E23AF">
      <w:pPr>
        <w:spacing w:after="0" w:line="240" w:lineRule="auto"/>
        <w:ind w:firstLine="284"/>
        <w:jc w:val="center"/>
        <w:rPr>
          <w:rFonts w:ascii="Garamond" w:hAnsi="Garamond" w:cs="Times New Roman"/>
          <w:sz w:val="24"/>
          <w:szCs w:val="24"/>
          <w:lang w:val="sq-AL"/>
        </w:rPr>
      </w:pPr>
    </w:p>
    <w:p w14:paraId="41CBE008" w14:textId="233122E6" w:rsidR="009E23AF" w:rsidRPr="00FA38F9" w:rsidRDefault="009E23AF" w:rsidP="009E23AF">
      <w:pPr>
        <w:pStyle w:val="ListParagraph"/>
        <w:spacing w:after="0" w:line="240" w:lineRule="auto"/>
        <w:ind w:left="0" w:firstLine="284"/>
        <w:jc w:val="both"/>
        <w:rPr>
          <w:rFonts w:ascii="Garamond" w:hAnsi="Garamond" w:cs="Times New Roman"/>
          <w:sz w:val="24"/>
          <w:szCs w:val="24"/>
          <w:lang w:val="sq-AL"/>
        </w:rPr>
      </w:pPr>
      <w:r w:rsidRPr="00FA38F9">
        <w:rPr>
          <w:rFonts w:ascii="Garamond" w:hAnsi="Garamond" w:cs="Times New Roman"/>
          <w:sz w:val="24"/>
          <w:szCs w:val="24"/>
          <w:lang w:val="sq-AL"/>
        </w:rPr>
        <w:t>1. Emetuesi i parasë elektronike emeton para elektronike për një vlerë të barabartë me vlerën nominale (</w:t>
      </w:r>
      <w:r w:rsidRPr="00FA38F9">
        <w:rPr>
          <w:rFonts w:ascii="Garamond" w:hAnsi="Garamond" w:cs="Times New Roman"/>
          <w:i/>
          <w:iCs/>
          <w:sz w:val="24"/>
          <w:szCs w:val="24"/>
          <w:lang w:val="sq-AL"/>
        </w:rPr>
        <w:t>at par value</w:t>
      </w:r>
      <w:r w:rsidRPr="00FA38F9">
        <w:rPr>
          <w:rFonts w:ascii="Garamond" w:hAnsi="Garamond" w:cs="Times New Roman"/>
          <w:sz w:val="24"/>
          <w:szCs w:val="24"/>
          <w:lang w:val="sq-AL"/>
        </w:rPr>
        <w:t xml:space="preserve">) të fondeve të marra nga mbajtësi i parasë elektronike. </w:t>
      </w:r>
    </w:p>
    <w:p w14:paraId="455E5BA9" w14:textId="43489E2C" w:rsidR="009E23AF" w:rsidRPr="00FA38F9" w:rsidRDefault="009E23AF" w:rsidP="009E23AF">
      <w:pPr>
        <w:pStyle w:val="ListParagraph"/>
        <w:spacing w:after="0" w:line="240" w:lineRule="auto"/>
        <w:ind w:left="0" w:firstLine="284"/>
        <w:jc w:val="both"/>
        <w:rPr>
          <w:rFonts w:ascii="Garamond" w:hAnsi="Garamond" w:cs="Times New Roman"/>
          <w:sz w:val="24"/>
          <w:szCs w:val="24"/>
          <w:lang w:val="sq-AL"/>
        </w:rPr>
      </w:pPr>
      <w:r w:rsidRPr="00FA38F9">
        <w:rPr>
          <w:rFonts w:ascii="Garamond" w:hAnsi="Garamond" w:cs="Times New Roman"/>
          <w:sz w:val="24"/>
          <w:szCs w:val="24"/>
          <w:lang w:val="sq-AL"/>
        </w:rPr>
        <w:t>2. Emetuesi i parasë elektronike, me kërkesë të mbajtësit të parasë elektronike, i ripaguan atij, në çdo moment dhe në vlerë nominale (</w:t>
      </w:r>
      <w:r w:rsidRPr="00FA38F9">
        <w:rPr>
          <w:rFonts w:ascii="Garamond" w:hAnsi="Garamond" w:cs="Times New Roman"/>
          <w:i/>
          <w:iCs/>
          <w:sz w:val="24"/>
          <w:szCs w:val="24"/>
          <w:lang w:val="sq-AL"/>
        </w:rPr>
        <w:t>at par value</w:t>
      </w:r>
      <w:r w:rsidRPr="00FA38F9">
        <w:rPr>
          <w:rFonts w:ascii="Garamond" w:hAnsi="Garamond" w:cs="Times New Roman"/>
          <w:sz w:val="24"/>
          <w:szCs w:val="24"/>
          <w:lang w:val="sq-AL"/>
        </w:rPr>
        <w:t xml:space="preserve">), vlerën monetare të parasë elektronike të mbajtur prej tij. </w:t>
      </w:r>
    </w:p>
    <w:p w14:paraId="4FEF4A8B" w14:textId="240EC976" w:rsidR="009E23AF" w:rsidRPr="00FA38F9" w:rsidRDefault="009E23AF" w:rsidP="009E23AF">
      <w:pPr>
        <w:pStyle w:val="ListParagraph"/>
        <w:spacing w:after="0" w:line="240" w:lineRule="auto"/>
        <w:ind w:left="0" w:firstLine="284"/>
        <w:jc w:val="both"/>
        <w:rPr>
          <w:rFonts w:ascii="Garamond" w:hAnsi="Garamond" w:cs="Times New Roman"/>
          <w:sz w:val="24"/>
          <w:szCs w:val="24"/>
          <w:lang w:val="sq-AL"/>
        </w:rPr>
      </w:pPr>
      <w:r w:rsidRPr="00FA38F9">
        <w:rPr>
          <w:rFonts w:ascii="Garamond" w:hAnsi="Garamond" w:cs="Times New Roman"/>
          <w:sz w:val="24"/>
          <w:szCs w:val="24"/>
          <w:lang w:val="sq-AL"/>
        </w:rPr>
        <w:t>3. Emetuesi i parasë elektronike dhe mbajtësi i parasë elektronike lidhin një kontratë me shkrim, në format letër ose nëpërmjet një mjeti tjetër të qëndrueshëm komunikimi, me qëllim krijimin dhe rregullimin e marrëdhënies për emetimin e parasë elektronike.</w:t>
      </w:r>
    </w:p>
    <w:p w14:paraId="2A0BA2C5" w14:textId="28CA4B7A" w:rsidR="009E23AF" w:rsidRPr="00FA38F9" w:rsidRDefault="009E23AF" w:rsidP="009E23AF">
      <w:pPr>
        <w:pStyle w:val="ListParagraph"/>
        <w:spacing w:after="0" w:line="240" w:lineRule="auto"/>
        <w:ind w:left="0" w:firstLine="284"/>
        <w:jc w:val="both"/>
        <w:rPr>
          <w:rFonts w:ascii="Garamond" w:hAnsi="Garamond" w:cs="Times New Roman"/>
          <w:sz w:val="24"/>
          <w:szCs w:val="24"/>
          <w:lang w:val="sq-AL"/>
        </w:rPr>
      </w:pPr>
      <w:r w:rsidRPr="00FA38F9">
        <w:rPr>
          <w:rFonts w:ascii="Garamond" w:hAnsi="Garamond" w:cs="Times New Roman"/>
          <w:sz w:val="24"/>
          <w:szCs w:val="24"/>
          <w:lang w:val="sq-AL"/>
        </w:rPr>
        <w:t>4. Kontrata midis emetuesit të parasë elektronike dhe mbajtësit të parasë elektronike përcakton qartë dhe në formë të kuptueshme kushtet në lidhje me emetimin dhe ripagimin e fondeve, përfshirë edhe ndonjë komision të zbatueshëm. Emetuesi i parasë elektronike informon mbajtësin e parasë elektronike, mbi kushtet e kontratës, para nënshkrimit të saj (kontratës).</w:t>
      </w:r>
    </w:p>
    <w:p w14:paraId="1B70251A" w14:textId="69C1D224" w:rsidR="009E23AF" w:rsidRPr="00FA38F9" w:rsidRDefault="009E23AF" w:rsidP="009E23AF">
      <w:pPr>
        <w:pStyle w:val="ListParagraph"/>
        <w:spacing w:after="0" w:line="240" w:lineRule="auto"/>
        <w:ind w:left="0" w:firstLine="284"/>
        <w:jc w:val="both"/>
        <w:rPr>
          <w:rFonts w:ascii="Garamond" w:hAnsi="Garamond" w:cs="Times New Roman"/>
          <w:sz w:val="24"/>
          <w:szCs w:val="24"/>
          <w:lang w:val="sq-AL"/>
        </w:rPr>
      </w:pPr>
      <w:r w:rsidRPr="00FA38F9">
        <w:rPr>
          <w:rFonts w:ascii="Garamond" w:hAnsi="Garamond" w:cs="Times New Roman"/>
          <w:sz w:val="24"/>
          <w:szCs w:val="24"/>
          <w:lang w:val="sq-AL"/>
        </w:rPr>
        <w:t xml:space="preserve">5. Ripagimi i fondeve mund të jetë subjekt i aplikimit të komisioneve, vetëm nëse këto të fundit parashikohen në kontratën midis palëve dhe vetëm në një nga rastet e mëposhtme: </w:t>
      </w:r>
    </w:p>
    <w:p w14:paraId="384C1F80" w14:textId="79E27B80" w:rsidR="009E23AF" w:rsidRPr="00FA38F9" w:rsidRDefault="009E23AF" w:rsidP="009E23AF">
      <w:pPr>
        <w:pStyle w:val="ListParagraph"/>
        <w:spacing w:after="0" w:line="240" w:lineRule="auto"/>
        <w:ind w:left="0" w:firstLine="284"/>
        <w:jc w:val="both"/>
        <w:rPr>
          <w:rFonts w:ascii="Garamond" w:hAnsi="Garamond" w:cs="Times New Roman"/>
          <w:sz w:val="24"/>
          <w:szCs w:val="24"/>
          <w:lang w:val="sq-AL"/>
        </w:rPr>
      </w:pPr>
      <w:r w:rsidRPr="00FA38F9">
        <w:rPr>
          <w:rFonts w:ascii="Garamond" w:hAnsi="Garamond" w:cs="Times New Roman"/>
          <w:sz w:val="24"/>
          <w:szCs w:val="24"/>
          <w:lang w:val="sq-AL"/>
        </w:rPr>
        <w:t xml:space="preserve">a) kur ripagimi kërkohet përpara zgjidhjes së kontratës; </w:t>
      </w:r>
    </w:p>
    <w:p w14:paraId="5B614F29" w14:textId="66853435" w:rsidR="009E23AF" w:rsidRPr="00FA38F9" w:rsidRDefault="009E23AF" w:rsidP="009E23AF">
      <w:pPr>
        <w:pStyle w:val="ListParagraph"/>
        <w:spacing w:after="0" w:line="240" w:lineRule="auto"/>
        <w:ind w:left="0" w:firstLine="284"/>
        <w:jc w:val="both"/>
        <w:rPr>
          <w:rFonts w:ascii="Garamond" w:hAnsi="Garamond" w:cs="Times New Roman"/>
          <w:sz w:val="24"/>
          <w:szCs w:val="24"/>
          <w:lang w:val="sq-AL"/>
        </w:rPr>
      </w:pPr>
      <w:r w:rsidRPr="00FA38F9">
        <w:rPr>
          <w:rFonts w:ascii="Garamond" w:hAnsi="Garamond" w:cs="Times New Roman"/>
          <w:sz w:val="24"/>
          <w:szCs w:val="24"/>
          <w:lang w:val="sq-AL"/>
        </w:rPr>
        <w:t xml:space="preserve">b) kur kontrata parashikon një datë për zgjidhjen e saj dhe mbajtësi i parasë elektronike e zgjidh kontratën, para kësaj date (datës së zgjidhjes); ose </w:t>
      </w:r>
    </w:p>
    <w:p w14:paraId="3F26B3AF" w14:textId="2E62F330" w:rsidR="009E23AF" w:rsidRPr="00FA38F9" w:rsidRDefault="009E23AF" w:rsidP="009E23AF">
      <w:pPr>
        <w:pStyle w:val="ListParagraph"/>
        <w:spacing w:after="0" w:line="240" w:lineRule="auto"/>
        <w:ind w:left="0" w:firstLine="284"/>
        <w:jc w:val="both"/>
        <w:rPr>
          <w:rFonts w:ascii="Garamond" w:hAnsi="Garamond" w:cs="Times New Roman"/>
          <w:sz w:val="24"/>
          <w:szCs w:val="24"/>
          <w:lang w:val="sq-AL"/>
        </w:rPr>
      </w:pPr>
      <w:r w:rsidRPr="00FA38F9">
        <w:rPr>
          <w:rFonts w:ascii="Garamond" w:hAnsi="Garamond" w:cs="Times New Roman"/>
          <w:sz w:val="24"/>
          <w:szCs w:val="24"/>
          <w:lang w:val="sq-AL"/>
        </w:rPr>
        <w:t xml:space="preserve">c) kur ripagimi për shumën e papërdorur kërkohet pas më shumë se një viti nga data e zgjidhjes së kontratës. </w:t>
      </w:r>
    </w:p>
    <w:p w14:paraId="4AC8079B" w14:textId="2C7EB47D" w:rsidR="009E23AF" w:rsidRPr="00FA38F9" w:rsidRDefault="009E23AF" w:rsidP="009E23AF">
      <w:pPr>
        <w:pStyle w:val="ListParagraph"/>
        <w:spacing w:after="0" w:line="240" w:lineRule="auto"/>
        <w:ind w:left="0" w:firstLine="284"/>
        <w:jc w:val="both"/>
        <w:rPr>
          <w:rFonts w:ascii="Garamond" w:hAnsi="Garamond" w:cs="Times New Roman"/>
          <w:sz w:val="24"/>
          <w:szCs w:val="24"/>
          <w:lang w:val="sq-AL"/>
        </w:rPr>
      </w:pPr>
      <w:r w:rsidRPr="00FA38F9">
        <w:rPr>
          <w:rFonts w:ascii="Garamond" w:hAnsi="Garamond" w:cs="Times New Roman"/>
          <w:sz w:val="24"/>
          <w:szCs w:val="24"/>
          <w:lang w:val="sq-AL"/>
        </w:rPr>
        <w:t xml:space="preserve">6. Komisionet e parashikuara në pikën 5 të këtij neni, duhet të jenë proporcionale dhe të mbështetura në kostot reale të emetuesit të parasë elektronike. </w:t>
      </w:r>
    </w:p>
    <w:p w14:paraId="76D8A6A3" w14:textId="6C3ADBDA" w:rsidR="009E23AF" w:rsidRPr="00FA38F9" w:rsidRDefault="009E23AF" w:rsidP="009E23AF">
      <w:pPr>
        <w:pStyle w:val="ListParagraph"/>
        <w:spacing w:after="0" w:line="240" w:lineRule="auto"/>
        <w:ind w:left="0" w:firstLine="284"/>
        <w:jc w:val="both"/>
        <w:rPr>
          <w:rFonts w:ascii="Garamond" w:hAnsi="Garamond" w:cs="Times New Roman"/>
          <w:sz w:val="24"/>
          <w:szCs w:val="24"/>
          <w:lang w:val="sq-AL"/>
        </w:rPr>
      </w:pPr>
      <w:r w:rsidRPr="00FA38F9">
        <w:rPr>
          <w:rFonts w:ascii="Garamond" w:hAnsi="Garamond" w:cs="Times New Roman"/>
          <w:sz w:val="24"/>
          <w:szCs w:val="24"/>
          <w:lang w:val="sq-AL"/>
        </w:rPr>
        <w:t xml:space="preserve">7. Në rastet kur mbajtësi i parasë elektronike kërkon ripagimin e fondeve, përpara zgjidhjes së kontratës, ai ka të drejtën të kërkojë ripagim të plotë ose të pjesshëm të parasë elektronike që zotëron. </w:t>
      </w:r>
    </w:p>
    <w:p w14:paraId="707DB98B" w14:textId="10C71D2C" w:rsidR="009E23AF" w:rsidRPr="00FA38F9" w:rsidRDefault="009E23AF" w:rsidP="009E23AF">
      <w:pPr>
        <w:pStyle w:val="ListParagraph"/>
        <w:spacing w:after="0" w:line="240" w:lineRule="auto"/>
        <w:ind w:left="0" w:firstLine="284"/>
        <w:jc w:val="both"/>
        <w:rPr>
          <w:rFonts w:ascii="Garamond" w:hAnsi="Garamond" w:cs="Times New Roman"/>
          <w:sz w:val="24"/>
          <w:szCs w:val="24"/>
          <w:lang w:val="sq-AL"/>
        </w:rPr>
      </w:pPr>
      <w:r w:rsidRPr="00FA38F9">
        <w:rPr>
          <w:rFonts w:ascii="Garamond" w:hAnsi="Garamond" w:cs="Times New Roman"/>
          <w:sz w:val="24"/>
          <w:szCs w:val="24"/>
          <w:lang w:val="sq-AL"/>
        </w:rPr>
        <w:t xml:space="preserve">8. Në rastet kur ripagimi i fondeve kërkohet nga mbajtësi i parasë elektronike, një vit ose deri në një vit pas datës së zgjidhjes së kontratës: </w:t>
      </w:r>
    </w:p>
    <w:p w14:paraId="2243ECEE" w14:textId="1FFE4DA7" w:rsidR="009E23AF" w:rsidRPr="00FA38F9" w:rsidRDefault="009E23AF" w:rsidP="009E23AF">
      <w:pPr>
        <w:pStyle w:val="ListParagraph"/>
        <w:spacing w:after="0" w:line="240" w:lineRule="auto"/>
        <w:ind w:left="0" w:firstLine="284"/>
        <w:jc w:val="both"/>
        <w:rPr>
          <w:rFonts w:ascii="Garamond" w:hAnsi="Garamond" w:cs="Times New Roman"/>
          <w:sz w:val="24"/>
          <w:szCs w:val="24"/>
          <w:lang w:val="sq-AL"/>
        </w:rPr>
      </w:pPr>
      <w:r w:rsidRPr="00FA38F9">
        <w:rPr>
          <w:rFonts w:ascii="Garamond" w:hAnsi="Garamond" w:cs="Times New Roman"/>
          <w:sz w:val="24"/>
          <w:szCs w:val="24"/>
          <w:lang w:val="sq-AL"/>
        </w:rPr>
        <w:t>a) emetuesi i parasë elektronike ripaguan totalin e vlerës monetare të parasë elektronike të mbajtur; ose</w:t>
      </w:r>
    </w:p>
    <w:p w14:paraId="22E51B70" w14:textId="61C105CB" w:rsidR="009E23AF" w:rsidRPr="00FA38F9" w:rsidRDefault="009E23AF" w:rsidP="009E23AF">
      <w:pPr>
        <w:pStyle w:val="ListParagraph"/>
        <w:spacing w:after="0" w:line="240" w:lineRule="auto"/>
        <w:ind w:left="0" w:firstLine="284"/>
        <w:jc w:val="both"/>
        <w:rPr>
          <w:rFonts w:ascii="Garamond" w:hAnsi="Garamond" w:cs="Times New Roman"/>
          <w:sz w:val="24"/>
          <w:szCs w:val="24"/>
          <w:lang w:val="sq-AL"/>
        </w:rPr>
      </w:pPr>
      <w:r w:rsidRPr="00FA38F9">
        <w:rPr>
          <w:rFonts w:ascii="Garamond" w:hAnsi="Garamond" w:cs="Times New Roman"/>
          <w:sz w:val="24"/>
          <w:szCs w:val="24"/>
          <w:lang w:val="sq-AL"/>
        </w:rPr>
        <w:t xml:space="preserve">b) nëse institucioni i parasë elektronike kryen edhe veprimtari të tjera tregtare të ndryshme nga emetimi i parasë elektronike, siç parashikohet në nenin 6, pika 1, shkronja “e”, të kësaj rregulloreje dhe nuk dihet paraprakisht se çfarë përqindje e fondeve do të përdoret si para elektronike, do të ripaguhen të gjitha fondet e kërkuara nga mbajtësi i parasë elektronike. </w:t>
      </w:r>
    </w:p>
    <w:p w14:paraId="4A5A5B46" w14:textId="6490708E" w:rsidR="009E23AF" w:rsidRPr="00FA38F9" w:rsidRDefault="009E23AF" w:rsidP="009E23AF">
      <w:pPr>
        <w:pStyle w:val="ListParagraph"/>
        <w:spacing w:after="0" w:line="240" w:lineRule="auto"/>
        <w:ind w:left="0" w:firstLine="284"/>
        <w:jc w:val="both"/>
        <w:rPr>
          <w:rFonts w:ascii="Garamond" w:hAnsi="Garamond" w:cs="Times New Roman"/>
          <w:sz w:val="24"/>
          <w:szCs w:val="24"/>
          <w:lang w:val="sq-AL"/>
        </w:rPr>
      </w:pPr>
      <w:r w:rsidRPr="00FA38F9">
        <w:rPr>
          <w:rFonts w:ascii="Garamond" w:hAnsi="Garamond" w:cs="Times New Roman"/>
          <w:sz w:val="24"/>
          <w:szCs w:val="24"/>
          <w:lang w:val="sq-AL"/>
        </w:rPr>
        <w:t xml:space="preserve">9. Pavarësisht nga sa parashikohet në pikat 5-8 të këtij neni, e drejta e ripagimit të fondeve të një personi që nuk është konsumator, që pranon para elektronike, do të jetë subjekt i marrëveshjes kontraktuale midis emetuesit të parasë elektronike dhe këtij personi. </w:t>
      </w:r>
    </w:p>
    <w:p w14:paraId="076C6021" w14:textId="77777777" w:rsidR="009E23AF" w:rsidRPr="00FA38F9" w:rsidRDefault="009E23AF" w:rsidP="009E23AF">
      <w:pPr>
        <w:tabs>
          <w:tab w:val="center" w:pos="4680"/>
          <w:tab w:val="left" w:pos="5440"/>
        </w:tabs>
        <w:spacing w:after="0" w:line="240" w:lineRule="auto"/>
        <w:ind w:firstLine="284"/>
        <w:jc w:val="center"/>
        <w:rPr>
          <w:rFonts w:ascii="Garamond" w:hAnsi="Garamond" w:cs="Times New Roman"/>
          <w:b/>
          <w:bCs/>
          <w:sz w:val="24"/>
          <w:szCs w:val="24"/>
          <w:lang w:val="sq-AL"/>
        </w:rPr>
      </w:pPr>
    </w:p>
    <w:p w14:paraId="63B08157" w14:textId="77777777" w:rsidR="009E23AF" w:rsidRPr="00FA38F9" w:rsidRDefault="009E23AF" w:rsidP="009E23AF">
      <w:pPr>
        <w:spacing w:after="0" w:line="240" w:lineRule="auto"/>
        <w:ind w:firstLine="284"/>
        <w:jc w:val="center"/>
        <w:rPr>
          <w:rFonts w:ascii="Garamond" w:hAnsi="Garamond" w:cs="Times New Roman"/>
          <w:bCs/>
          <w:sz w:val="24"/>
          <w:szCs w:val="24"/>
          <w:lang w:val="sq-AL"/>
        </w:rPr>
      </w:pPr>
      <w:r w:rsidRPr="00FA38F9">
        <w:rPr>
          <w:rFonts w:ascii="Garamond" w:hAnsi="Garamond" w:cs="Times New Roman"/>
          <w:bCs/>
          <w:sz w:val="24"/>
          <w:szCs w:val="24"/>
          <w:lang w:val="sq-AL"/>
        </w:rPr>
        <w:t>Neni 25</w:t>
      </w:r>
    </w:p>
    <w:p w14:paraId="055EDF05" w14:textId="77777777" w:rsidR="009E23AF" w:rsidRPr="00FA38F9" w:rsidRDefault="009E23AF" w:rsidP="009E23AF">
      <w:pPr>
        <w:spacing w:after="0" w:line="240" w:lineRule="auto"/>
        <w:ind w:firstLine="284"/>
        <w:jc w:val="center"/>
        <w:rPr>
          <w:rFonts w:ascii="Garamond" w:hAnsi="Garamond" w:cs="Times New Roman"/>
          <w:b/>
          <w:bCs/>
          <w:sz w:val="24"/>
          <w:szCs w:val="24"/>
          <w:lang w:val="sq-AL"/>
        </w:rPr>
      </w:pPr>
      <w:r w:rsidRPr="00FA38F9">
        <w:rPr>
          <w:rFonts w:ascii="Garamond" w:hAnsi="Garamond" w:cs="Times New Roman"/>
          <w:b/>
          <w:bCs/>
          <w:sz w:val="24"/>
          <w:szCs w:val="24"/>
          <w:lang w:val="sq-AL"/>
        </w:rPr>
        <w:t>Ndalimi i pagimit të interesit</w:t>
      </w:r>
    </w:p>
    <w:p w14:paraId="62636659" w14:textId="77777777" w:rsidR="009E23AF" w:rsidRPr="00FA38F9" w:rsidRDefault="009E23AF" w:rsidP="009E23AF">
      <w:pPr>
        <w:spacing w:after="0" w:line="240" w:lineRule="auto"/>
        <w:ind w:firstLine="284"/>
        <w:jc w:val="center"/>
        <w:rPr>
          <w:rFonts w:ascii="Garamond" w:hAnsi="Garamond" w:cs="Times New Roman"/>
          <w:b/>
          <w:bCs/>
          <w:sz w:val="24"/>
          <w:szCs w:val="24"/>
          <w:lang w:val="sq-AL"/>
        </w:rPr>
      </w:pPr>
    </w:p>
    <w:p w14:paraId="239E7253" w14:textId="77777777" w:rsidR="009E23AF" w:rsidRPr="00FA38F9" w:rsidRDefault="009E23AF" w:rsidP="009E23AF">
      <w:pPr>
        <w:spacing w:after="0" w:line="240" w:lineRule="auto"/>
        <w:ind w:firstLine="284"/>
        <w:jc w:val="both"/>
        <w:rPr>
          <w:rFonts w:ascii="Garamond" w:hAnsi="Garamond" w:cs="Times New Roman"/>
          <w:sz w:val="24"/>
          <w:szCs w:val="24"/>
          <w:lang w:val="sq-AL"/>
        </w:rPr>
      </w:pPr>
      <w:r w:rsidRPr="00FA38F9">
        <w:rPr>
          <w:rFonts w:ascii="Garamond" w:hAnsi="Garamond" w:cs="Times New Roman"/>
          <w:sz w:val="24"/>
          <w:szCs w:val="24"/>
          <w:lang w:val="sq-AL"/>
        </w:rPr>
        <w:t>Emetuesi i parasë elektronike ndalohet t’i paguajë interes ose ndonjë përfitim tjetër mbajtësit të parasë elektronike, për periudhën gjatë së cilës ky i fundit mban paranë elektronike.</w:t>
      </w:r>
    </w:p>
    <w:p w14:paraId="109493C7" w14:textId="77777777" w:rsidR="009E23AF" w:rsidRPr="00FA38F9" w:rsidRDefault="009E23AF" w:rsidP="009E23AF">
      <w:pPr>
        <w:spacing w:after="0" w:line="240" w:lineRule="auto"/>
        <w:ind w:firstLine="284"/>
        <w:jc w:val="center"/>
        <w:rPr>
          <w:rFonts w:ascii="Garamond" w:hAnsi="Garamond" w:cs="Times New Roman"/>
          <w:bCs/>
          <w:sz w:val="24"/>
          <w:szCs w:val="24"/>
          <w:lang w:val="sq-AL"/>
        </w:rPr>
      </w:pPr>
      <w:r w:rsidRPr="00FA38F9">
        <w:rPr>
          <w:rFonts w:ascii="Garamond" w:hAnsi="Garamond" w:cs="Times New Roman"/>
          <w:bCs/>
          <w:sz w:val="24"/>
          <w:szCs w:val="24"/>
          <w:lang w:val="sq-AL"/>
        </w:rPr>
        <w:t xml:space="preserve"> </w:t>
      </w:r>
    </w:p>
    <w:p w14:paraId="2EF5E08F" w14:textId="77777777" w:rsidR="009E23AF" w:rsidRPr="00FA38F9" w:rsidRDefault="009E23AF" w:rsidP="009E23AF">
      <w:pPr>
        <w:spacing w:after="0" w:line="240" w:lineRule="auto"/>
        <w:ind w:firstLine="284"/>
        <w:jc w:val="center"/>
        <w:rPr>
          <w:rFonts w:ascii="Garamond" w:hAnsi="Garamond" w:cs="Times New Roman"/>
          <w:bCs/>
          <w:sz w:val="24"/>
          <w:szCs w:val="24"/>
          <w:lang w:val="sq-AL"/>
        </w:rPr>
      </w:pPr>
      <w:r w:rsidRPr="00FA38F9">
        <w:rPr>
          <w:rFonts w:ascii="Garamond" w:hAnsi="Garamond" w:cs="Times New Roman"/>
          <w:bCs/>
          <w:sz w:val="24"/>
          <w:szCs w:val="24"/>
          <w:lang w:val="sq-AL"/>
        </w:rPr>
        <w:t>Neni 26</w:t>
      </w:r>
    </w:p>
    <w:p w14:paraId="29B48852" w14:textId="77777777" w:rsidR="009E23AF" w:rsidRPr="00FA38F9" w:rsidRDefault="009E23AF" w:rsidP="009E23AF">
      <w:pPr>
        <w:spacing w:after="0" w:line="240" w:lineRule="auto"/>
        <w:ind w:firstLine="284"/>
        <w:jc w:val="center"/>
        <w:rPr>
          <w:rFonts w:ascii="Garamond" w:hAnsi="Garamond" w:cs="Times New Roman"/>
          <w:b/>
          <w:bCs/>
          <w:sz w:val="24"/>
          <w:szCs w:val="24"/>
          <w:lang w:val="sq-AL"/>
        </w:rPr>
      </w:pPr>
      <w:r w:rsidRPr="00FA38F9">
        <w:rPr>
          <w:rFonts w:ascii="Garamond" w:hAnsi="Garamond" w:cs="Times New Roman"/>
          <w:b/>
          <w:bCs/>
          <w:sz w:val="24"/>
          <w:szCs w:val="24"/>
          <w:lang w:val="sq-AL"/>
        </w:rPr>
        <w:t>Zgjidhja alternative e mosmarrëveshjeve</w:t>
      </w:r>
    </w:p>
    <w:p w14:paraId="1A5A504E" w14:textId="77777777" w:rsidR="009E23AF" w:rsidRPr="00FA38F9" w:rsidRDefault="009E23AF" w:rsidP="009E23AF">
      <w:pPr>
        <w:spacing w:after="0" w:line="240" w:lineRule="auto"/>
        <w:ind w:firstLine="284"/>
        <w:jc w:val="center"/>
        <w:rPr>
          <w:rFonts w:ascii="Garamond" w:hAnsi="Garamond" w:cs="Times New Roman"/>
          <w:b/>
          <w:bCs/>
          <w:sz w:val="24"/>
          <w:szCs w:val="24"/>
          <w:lang w:val="sq-AL"/>
        </w:rPr>
      </w:pPr>
    </w:p>
    <w:p w14:paraId="2ABCB266" w14:textId="5C066859" w:rsidR="009E23AF" w:rsidRPr="00FA38F9" w:rsidRDefault="009E23AF" w:rsidP="009E23AF">
      <w:pPr>
        <w:spacing w:after="0" w:line="240" w:lineRule="auto"/>
        <w:ind w:firstLine="284"/>
        <w:jc w:val="both"/>
        <w:rPr>
          <w:rFonts w:ascii="Garamond" w:hAnsi="Garamond" w:cs="Times New Roman"/>
          <w:sz w:val="24"/>
          <w:szCs w:val="24"/>
          <w:lang w:val="sq-AL"/>
        </w:rPr>
      </w:pPr>
      <w:r w:rsidRPr="00FA38F9">
        <w:rPr>
          <w:rFonts w:ascii="Garamond" w:hAnsi="Garamond" w:cs="Times New Roman"/>
          <w:sz w:val="24"/>
          <w:szCs w:val="24"/>
          <w:lang w:val="sq-AL"/>
        </w:rPr>
        <w:t>Kërkesat e parashikuara në kreun VI</w:t>
      </w:r>
      <w:r w:rsidR="00B267B9">
        <w:rPr>
          <w:rFonts w:ascii="Garamond" w:hAnsi="Garamond" w:cs="Times New Roman"/>
          <w:sz w:val="24"/>
          <w:szCs w:val="24"/>
          <w:lang w:val="sq-AL"/>
        </w:rPr>
        <w:t>,</w:t>
      </w:r>
      <w:r w:rsidRPr="00FA38F9">
        <w:rPr>
          <w:rFonts w:ascii="Garamond" w:hAnsi="Garamond" w:cs="Times New Roman"/>
          <w:sz w:val="24"/>
          <w:szCs w:val="24"/>
          <w:lang w:val="sq-AL"/>
        </w:rPr>
        <w:t xml:space="preserve"> të </w:t>
      </w:r>
      <w:r w:rsidR="00B267B9">
        <w:rPr>
          <w:rFonts w:ascii="Garamond" w:hAnsi="Garamond" w:cs="Times New Roman"/>
          <w:sz w:val="24"/>
          <w:szCs w:val="24"/>
          <w:lang w:val="sq-AL"/>
        </w:rPr>
        <w:t>t</w:t>
      </w:r>
      <w:r w:rsidRPr="00FA38F9">
        <w:rPr>
          <w:rFonts w:ascii="Garamond" w:hAnsi="Garamond" w:cs="Times New Roman"/>
          <w:sz w:val="24"/>
          <w:szCs w:val="24"/>
          <w:lang w:val="sq-AL"/>
        </w:rPr>
        <w:t>itullit IV</w:t>
      </w:r>
      <w:r w:rsidR="00B267B9">
        <w:rPr>
          <w:rFonts w:ascii="Garamond" w:hAnsi="Garamond" w:cs="Times New Roman"/>
          <w:sz w:val="24"/>
          <w:szCs w:val="24"/>
          <w:lang w:val="sq-AL"/>
        </w:rPr>
        <w:t>,</w:t>
      </w:r>
      <w:r w:rsidRPr="00FA38F9">
        <w:rPr>
          <w:rFonts w:ascii="Garamond" w:hAnsi="Garamond" w:cs="Times New Roman"/>
          <w:sz w:val="24"/>
          <w:szCs w:val="24"/>
          <w:lang w:val="sq-AL"/>
        </w:rPr>
        <w:t xml:space="preserve"> të ligjit “Për shërbimet e pagesave” zbatohen në të njëjtën mënyrë edhe për emetuesit e parasë elektronike, në lidhje me detyrimet e parashikuara në nenet 24 dhe 25</w:t>
      </w:r>
      <w:r w:rsidR="00B267B9">
        <w:rPr>
          <w:rFonts w:ascii="Garamond" w:hAnsi="Garamond" w:cs="Times New Roman"/>
          <w:sz w:val="24"/>
          <w:szCs w:val="24"/>
          <w:lang w:val="sq-AL"/>
        </w:rPr>
        <w:t>,</w:t>
      </w:r>
      <w:r w:rsidRPr="00FA38F9">
        <w:rPr>
          <w:rFonts w:ascii="Garamond" w:hAnsi="Garamond" w:cs="Times New Roman"/>
          <w:sz w:val="24"/>
          <w:szCs w:val="24"/>
          <w:lang w:val="sq-AL"/>
        </w:rPr>
        <w:t xml:space="preserve"> të kësaj rregulloreje.</w:t>
      </w:r>
    </w:p>
    <w:p w14:paraId="23F9F2F7" w14:textId="77777777" w:rsidR="009E23AF" w:rsidRPr="00FA38F9" w:rsidRDefault="009E23AF" w:rsidP="009E23AF">
      <w:pPr>
        <w:spacing w:after="0" w:line="240" w:lineRule="auto"/>
        <w:ind w:firstLine="284"/>
        <w:jc w:val="both"/>
        <w:rPr>
          <w:rFonts w:ascii="Garamond" w:hAnsi="Garamond" w:cs="Times New Roman"/>
          <w:b/>
          <w:bCs/>
          <w:sz w:val="24"/>
          <w:szCs w:val="24"/>
          <w:lang w:val="sq-AL"/>
        </w:rPr>
      </w:pPr>
    </w:p>
    <w:p w14:paraId="2414BD63" w14:textId="77777777" w:rsidR="009E23AF" w:rsidRPr="00FA38F9" w:rsidRDefault="009E23AF" w:rsidP="009E23AF">
      <w:pPr>
        <w:tabs>
          <w:tab w:val="center" w:pos="4680"/>
          <w:tab w:val="left" w:pos="5440"/>
        </w:tabs>
        <w:spacing w:after="0" w:line="240" w:lineRule="auto"/>
        <w:ind w:firstLine="284"/>
        <w:jc w:val="center"/>
        <w:rPr>
          <w:rFonts w:ascii="Garamond" w:hAnsi="Garamond" w:cs="Times New Roman"/>
          <w:bCs/>
          <w:sz w:val="24"/>
          <w:szCs w:val="24"/>
          <w:lang w:val="sq-AL"/>
        </w:rPr>
      </w:pPr>
      <w:r w:rsidRPr="00FA38F9">
        <w:rPr>
          <w:rFonts w:ascii="Garamond" w:hAnsi="Garamond" w:cs="Times New Roman"/>
          <w:bCs/>
          <w:sz w:val="24"/>
          <w:szCs w:val="24"/>
          <w:lang w:val="sq-AL"/>
        </w:rPr>
        <w:t>KREU VII</w:t>
      </w:r>
    </w:p>
    <w:p w14:paraId="4AB239A2" w14:textId="77777777" w:rsidR="009E23AF" w:rsidRPr="00FA38F9" w:rsidRDefault="009E23AF" w:rsidP="009E23AF">
      <w:pPr>
        <w:tabs>
          <w:tab w:val="center" w:pos="4680"/>
          <w:tab w:val="left" w:pos="5440"/>
        </w:tabs>
        <w:spacing w:after="0" w:line="240" w:lineRule="auto"/>
        <w:ind w:firstLine="284"/>
        <w:jc w:val="center"/>
        <w:rPr>
          <w:rFonts w:ascii="Garamond" w:hAnsi="Garamond" w:cs="Times New Roman"/>
          <w:bCs/>
          <w:sz w:val="24"/>
          <w:szCs w:val="24"/>
          <w:lang w:val="sq-AL"/>
        </w:rPr>
      </w:pPr>
      <w:r w:rsidRPr="00FA38F9">
        <w:rPr>
          <w:rFonts w:ascii="Garamond" w:hAnsi="Garamond" w:cs="Times New Roman"/>
          <w:bCs/>
          <w:sz w:val="24"/>
          <w:szCs w:val="24"/>
          <w:lang w:val="sq-AL"/>
        </w:rPr>
        <w:t>MBIKËQYRJA, SHKELJET DHE SANKSIONET</w:t>
      </w:r>
    </w:p>
    <w:p w14:paraId="3259DE4F" w14:textId="77777777" w:rsidR="009E23AF" w:rsidRPr="00FA38F9" w:rsidRDefault="009E23AF" w:rsidP="009E23AF">
      <w:pPr>
        <w:tabs>
          <w:tab w:val="center" w:pos="4680"/>
          <w:tab w:val="left" w:pos="5440"/>
        </w:tabs>
        <w:spacing w:after="0" w:line="240" w:lineRule="auto"/>
        <w:ind w:firstLine="284"/>
        <w:jc w:val="center"/>
        <w:rPr>
          <w:rFonts w:ascii="Garamond" w:hAnsi="Garamond" w:cs="Times New Roman"/>
          <w:bCs/>
          <w:sz w:val="24"/>
          <w:szCs w:val="24"/>
          <w:lang w:val="sq-AL"/>
        </w:rPr>
      </w:pPr>
    </w:p>
    <w:p w14:paraId="3CB24A1A" w14:textId="77777777" w:rsidR="009E23AF" w:rsidRPr="00FA38F9" w:rsidRDefault="009E23AF" w:rsidP="009E23AF">
      <w:pPr>
        <w:spacing w:after="0" w:line="240" w:lineRule="auto"/>
        <w:ind w:firstLine="284"/>
        <w:jc w:val="center"/>
        <w:rPr>
          <w:rFonts w:ascii="Garamond" w:hAnsi="Garamond" w:cs="Times New Roman"/>
          <w:bCs/>
          <w:sz w:val="24"/>
          <w:szCs w:val="24"/>
          <w:lang w:val="sq-AL"/>
        </w:rPr>
      </w:pPr>
      <w:r w:rsidRPr="00FA38F9">
        <w:rPr>
          <w:rFonts w:ascii="Garamond" w:hAnsi="Garamond" w:cs="Times New Roman"/>
          <w:bCs/>
          <w:sz w:val="24"/>
          <w:szCs w:val="24"/>
          <w:lang w:val="sq-AL"/>
        </w:rPr>
        <w:t>Neni 27</w:t>
      </w:r>
    </w:p>
    <w:p w14:paraId="1ED19346" w14:textId="77777777" w:rsidR="009E23AF" w:rsidRPr="00FA38F9" w:rsidRDefault="009E23AF" w:rsidP="009E23AF">
      <w:pPr>
        <w:spacing w:after="0" w:line="240" w:lineRule="auto"/>
        <w:ind w:firstLine="284"/>
        <w:jc w:val="center"/>
        <w:rPr>
          <w:rFonts w:ascii="Garamond" w:hAnsi="Garamond" w:cs="Times New Roman"/>
          <w:b/>
          <w:bCs/>
          <w:sz w:val="24"/>
          <w:szCs w:val="24"/>
          <w:lang w:val="sq-AL"/>
        </w:rPr>
      </w:pPr>
      <w:r w:rsidRPr="00FA38F9">
        <w:rPr>
          <w:rFonts w:ascii="Garamond" w:hAnsi="Garamond" w:cs="Times New Roman"/>
          <w:b/>
          <w:bCs/>
          <w:sz w:val="24"/>
          <w:szCs w:val="24"/>
          <w:lang w:val="sq-AL"/>
        </w:rPr>
        <w:t xml:space="preserve">Masat ndëshkimore dhe mbikëqyrëse </w:t>
      </w:r>
    </w:p>
    <w:p w14:paraId="690BB760" w14:textId="77777777" w:rsidR="009E23AF" w:rsidRPr="00FA38F9" w:rsidRDefault="009E23AF" w:rsidP="009E23AF">
      <w:pPr>
        <w:spacing w:after="0" w:line="240" w:lineRule="auto"/>
        <w:ind w:firstLine="284"/>
        <w:jc w:val="center"/>
        <w:rPr>
          <w:rFonts w:ascii="Garamond" w:hAnsi="Garamond" w:cs="Times New Roman"/>
          <w:b/>
          <w:bCs/>
          <w:sz w:val="24"/>
          <w:szCs w:val="24"/>
          <w:lang w:val="sq-AL"/>
        </w:rPr>
      </w:pPr>
    </w:p>
    <w:p w14:paraId="0186BAA4" w14:textId="4EBCAD00" w:rsidR="009E23AF" w:rsidRPr="00FA38F9" w:rsidRDefault="009E23AF" w:rsidP="009E23AF">
      <w:pPr>
        <w:tabs>
          <w:tab w:val="left" w:pos="0"/>
        </w:tabs>
        <w:spacing w:after="0" w:line="240" w:lineRule="auto"/>
        <w:ind w:firstLine="284"/>
        <w:jc w:val="both"/>
        <w:rPr>
          <w:rFonts w:ascii="Garamond" w:hAnsi="Garamond" w:cs="Times New Roman"/>
          <w:b/>
          <w:bCs/>
          <w:sz w:val="24"/>
          <w:szCs w:val="24"/>
          <w:lang w:val="sq-AL"/>
        </w:rPr>
      </w:pPr>
      <w:r w:rsidRPr="00FA38F9">
        <w:rPr>
          <w:rFonts w:ascii="Garamond" w:hAnsi="Garamond" w:cs="Times New Roman"/>
          <w:sz w:val="24"/>
          <w:szCs w:val="24"/>
          <w:lang w:val="sq-AL"/>
        </w:rPr>
        <w:t>Banka e Shqipërisë, në rast mosplotësimi të kërkesave të kësaj rregulloreje, zbaton masat mbikëqyrëse dhe/ose ndëshkimore të parashikuara në ligjin “Për bankat” dhe në kreun I</w:t>
      </w:r>
      <w:r w:rsidR="00B267B9">
        <w:rPr>
          <w:rFonts w:ascii="Garamond" w:hAnsi="Garamond" w:cs="Times New Roman"/>
          <w:sz w:val="24"/>
          <w:szCs w:val="24"/>
          <w:lang w:val="sq-AL"/>
        </w:rPr>
        <w:t>,</w:t>
      </w:r>
      <w:r w:rsidRPr="00FA38F9">
        <w:rPr>
          <w:rFonts w:ascii="Garamond" w:hAnsi="Garamond" w:cs="Times New Roman"/>
          <w:sz w:val="24"/>
          <w:szCs w:val="24"/>
          <w:lang w:val="sq-AL"/>
        </w:rPr>
        <w:t xml:space="preserve"> të </w:t>
      </w:r>
      <w:r w:rsidR="00B267B9">
        <w:rPr>
          <w:rFonts w:ascii="Garamond" w:hAnsi="Garamond" w:cs="Times New Roman"/>
          <w:sz w:val="24"/>
          <w:szCs w:val="24"/>
          <w:lang w:val="sq-AL"/>
        </w:rPr>
        <w:t>t</w:t>
      </w:r>
      <w:r w:rsidRPr="00FA38F9">
        <w:rPr>
          <w:rFonts w:ascii="Garamond" w:hAnsi="Garamond" w:cs="Times New Roman"/>
          <w:sz w:val="24"/>
          <w:szCs w:val="24"/>
          <w:lang w:val="sq-AL"/>
        </w:rPr>
        <w:t>itullit V</w:t>
      </w:r>
      <w:r w:rsidR="00B267B9">
        <w:rPr>
          <w:rFonts w:ascii="Garamond" w:hAnsi="Garamond" w:cs="Times New Roman"/>
          <w:sz w:val="24"/>
          <w:szCs w:val="24"/>
          <w:lang w:val="sq-AL"/>
        </w:rPr>
        <w:t>,</w:t>
      </w:r>
      <w:r w:rsidRPr="00FA38F9">
        <w:rPr>
          <w:rFonts w:ascii="Garamond" w:hAnsi="Garamond" w:cs="Times New Roman"/>
          <w:sz w:val="24"/>
          <w:szCs w:val="24"/>
          <w:lang w:val="sq-AL"/>
        </w:rPr>
        <w:t xml:space="preserve"> të ligjit “Për shërbimet e pagesave”.</w:t>
      </w:r>
    </w:p>
    <w:p w14:paraId="28B2D41C" w14:textId="77777777" w:rsidR="009E23AF" w:rsidRPr="00FA38F9" w:rsidRDefault="009E23AF" w:rsidP="009E23AF">
      <w:pPr>
        <w:tabs>
          <w:tab w:val="center" w:pos="4680"/>
          <w:tab w:val="left" w:pos="5440"/>
        </w:tabs>
        <w:spacing w:after="0" w:line="240" w:lineRule="auto"/>
        <w:ind w:firstLine="284"/>
        <w:jc w:val="both"/>
        <w:rPr>
          <w:rFonts w:ascii="Garamond" w:hAnsi="Garamond" w:cs="Arial"/>
          <w:b/>
          <w:bCs/>
          <w:lang w:val="sq-AL"/>
        </w:rPr>
      </w:pPr>
    </w:p>
    <w:p w14:paraId="6F80084B" w14:textId="77777777" w:rsidR="009E23AF" w:rsidRPr="00FA38F9" w:rsidRDefault="009E23AF" w:rsidP="009E23AF">
      <w:pPr>
        <w:tabs>
          <w:tab w:val="center" w:pos="4680"/>
          <w:tab w:val="left" w:pos="5440"/>
        </w:tabs>
        <w:spacing w:after="0" w:line="240" w:lineRule="auto"/>
        <w:ind w:firstLine="284"/>
        <w:jc w:val="both"/>
        <w:rPr>
          <w:rFonts w:ascii="Garamond" w:hAnsi="Garamond" w:cs="Arial"/>
          <w:b/>
          <w:bCs/>
          <w:lang w:val="sq-AL"/>
        </w:rPr>
      </w:pPr>
    </w:p>
    <w:p w14:paraId="1DCB0D96" w14:textId="50B15B3E" w:rsidR="009E23AF" w:rsidRPr="00FA38F9" w:rsidRDefault="009E23AF" w:rsidP="009E23AF">
      <w:pPr>
        <w:spacing w:after="0" w:line="240" w:lineRule="auto"/>
        <w:ind w:firstLine="284"/>
        <w:jc w:val="right"/>
        <w:rPr>
          <w:rFonts w:ascii="Garamond" w:hAnsi="Garamond" w:cs="Times New Roman"/>
          <w:bCs/>
          <w:sz w:val="24"/>
          <w:szCs w:val="24"/>
          <w:lang w:val="sq-AL"/>
        </w:rPr>
      </w:pPr>
      <w:r w:rsidRPr="00FA38F9">
        <w:rPr>
          <w:rFonts w:ascii="Garamond" w:hAnsi="Garamond" w:cs="Times New Roman"/>
          <w:bCs/>
          <w:sz w:val="24"/>
          <w:szCs w:val="24"/>
          <w:lang w:val="sq-AL"/>
        </w:rPr>
        <w:t>KRYETAR I KËSHILLIT MBIKËQYRËS</w:t>
      </w:r>
    </w:p>
    <w:p w14:paraId="0AC74006" w14:textId="73585267" w:rsidR="00EF4853" w:rsidRPr="00FA38F9" w:rsidRDefault="009E23AF" w:rsidP="009E23AF">
      <w:pPr>
        <w:pStyle w:val="Heading3"/>
        <w:spacing w:before="0" w:beforeAutospacing="0" w:after="0" w:afterAutospacing="0"/>
        <w:ind w:firstLine="284"/>
        <w:jc w:val="right"/>
        <w:rPr>
          <w:rFonts w:ascii="Garamond" w:hAnsi="Garamond"/>
          <w:lang w:val="sq-AL"/>
        </w:rPr>
      </w:pPr>
      <w:r w:rsidRPr="00FA38F9">
        <w:rPr>
          <w:rFonts w:ascii="Garamond" w:hAnsi="Garamond"/>
          <w:sz w:val="24"/>
          <w:szCs w:val="24"/>
          <w:lang w:val="sq-AL"/>
        </w:rPr>
        <w:t>Gent Sejko</w:t>
      </w:r>
    </w:p>
    <w:sectPr w:rsidR="00EF4853" w:rsidRPr="00FA38F9" w:rsidSect="00AC0D50">
      <w:footerReference w:type="first" r:id="rId13"/>
      <w:pgSz w:w="11907" w:h="16839" w:code="9"/>
      <w:pgMar w:top="1440" w:right="1800" w:bottom="1440" w:left="180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0D36D05" w14:textId="77777777" w:rsidR="00847389" w:rsidRDefault="00847389" w:rsidP="00EF3FBB">
      <w:pPr>
        <w:spacing w:after="0" w:line="240" w:lineRule="auto"/>
      </w:pPr>
      <w:r>
        <w:separator/>
      </w:r>
    </w:p>
  </w:endnote>
  <w:endnote w:type="continuationSeparator" w:id="0">
    <w:p w14:paraId="43CD6E23" w14:textId="77777777" w:rsidR="00847389" w:rsidRDefault="00847389" w:rsidP="00EF3FBB">
      <w:pPr>
        <w:spacing w:after="0" w:line="240" w:lineRule="auto"/>
      </w:pPr>
      <w:r>
        <w:continuationSeparator/>
      </w:r>
    </w:p>
  </w:endnote>
  <w:endnote w:type="continuationNotice" w:id="1">
    <w:p w14:paraId="15E6505E" w14:textId="77777777" w:rsidR="00847389" w:rsidRDefault="0084738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Futura Lt BT">
    <w:altName w:val="Arial"/>
    <w:panose1 w:val="00000000000000000000"/>
    <w:charset w:val="00"/>
    <w:family w:val="swiss"/>
    <w:notTrueType/>
    <w:pitch w:val="default"/>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2536635"/>
      <w:docPartObj>
        <w:docPartGallery w:val="Page Numbers (Bottom of Page)"/>
        <w:docPartUnique/>
      </w:docPartObj>
    </w:sdtPr>
    <w:sdtEndPr>
      <w:rPr>
        <w:noProof/>
      </w:rPr>
    </w:sdtEndPr>
    <w:sdtContent>
      <w:p w14:paraId="46B820CD" w14:textId="77777777" w:rsidR="00847389" w:rsidRDefault="00847389">
        <w:pPr>
          <w:pStyle w:val="Footer"/>
          <w:jc w:val="right"/>
        </w:pPr>
        <w:r>
          <w:fldChar w:fldCharType="begin"/>
        </w:r>
        <w:r>
          <w:instrText xml:space="preserve"> PAGE   \* MERGEFORMAT </w:instrText>
        </w:r>
        <w:r>
          <w:fldChar w:fldCharType="separate"/>
        </w:r>
        <w:r>
          <w:rPr>
            <w:noProof/>
          </w:rPr>
          <w:t>1</w:t>
        </w:r>
        <w:r>
          <w:rPr>
            <w:noProof/>
          </w:rPr>
          <w:fldChar w:fldCharType="end"/>
        </w:r>
      </w:p>
    </w:sdtContent>
  </w:sdt>
  <w:p w14:paraId="20CF2F8B" w14:textId="77777777" w:rsidR="00847389" w:rsidRDefault="0084738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B481030" w14:textId="77777777" w:rsidR="00847389" w:rsidRDefault="00847389" w:rsidP="00EF3FBB">
      <w:pPr>
        <w:spacing w:after="0" w:line="240" w:lineRule="auto"/>
      </w:pPr>
      <w:r>
        <w:separator/>
      </w:r>
    </w:p>
  </w:footnote>
  <w:footnote w:type="continuationSeparator" w:id="0">
    <w:p w14:paraId="39AB2CDF" w14:textId="77777777" w:rsidR="00847389" w:rsidRDefault="00847389" w:rsidP="00EF3FBB">
      <w:pPr>
        <w:spacing w:after="0" w:line="240" w:lineRule="auto"/>
      </w:pPr>
      <w:r>
        <w:continuationSeparator/>
      </w:r>
    </w:p>
  </w:footnote>
  <w:footnote w:type="continuationNotice" w:id="1">
    <w:p w14:paraId="53CD7EAD" w14:textId="77777777" w:rsidR="00847389" w:rsidRDefault="00847389">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8511B"/>
    <w:multiLevelType w:val="hybridMultilevel"/>
    <w:tmpl w:val="AD28883E"/>
    <w:lvl w:ilvl="0" w:tplc="2C3688DA">
      <w:start w:val="1"/>
      <w:numFmt w:val="decimal"/>
      <w:lvlText w:val="%1."/>
      <w:lvlJc w:val="left"/>
      <w:pPr>
        <w:ind w:left="720" w:hanging="360"/>
      </w:pPr>
      <w:rPr>
        <w:rFonts w:hint="default"/>
        <w:b w:val="0"/>
        <w:bCs w:val="0"/>
        <w:i w:val="0"/>
        <w:color w:val="auto"/>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334C66"/>
    <w:multiLevelType w:val="hybridMultilevel"/>
    <w:tmpl w:val="86B408EE"/>
    <w:lvl w:ilvl="0" w:tplc="04090017">
      <w:start w:val="1"/>
      <w:numFmt w:val="lowerLetter"/>
      <w:lvlText w:val="%1)"/>
      <w:lvlJc w:val="left"/>
      <w:pPr>
        <w:tabs>
          <w:tab w:val="num" w:pos="720"/>
        </w:tabs>
        <w:ind w:left="720" w:hanging="360"/>
      </w:pPr>
    </w:lvl>
    <w:lvl w:ilvl="1" w:tplc="4CF02B32">
      <w:start w:val="2"/>
      <w:numFmt w:val="decimal"/>
      <w:lvlText w:val="%2)"/>
      <w:lvlJc w:val="left"/>
      <w:pPr>
        <w:tabs>
          <w:tab w:val="num" w:pos="1440"/>
        </w:tabs>
        <w:ind w:left="1440" w:hanging="360"/>
      </w:pPr>
      <w:rPr>
        <w:rFonts w:cs="Times New Roman"/>
      </w:rPr>
    </w:lvl>
    <w:lvl w:ilvl="2" w:tplc="F7005C8E">
      <w:start w:val="10"/>
      <w:numFmt w:val="decimal"/>
      <w:lvlText w:val="%3"/>
      <w:lvlJc w:val="left"/>
      <w:pPr>
        <w:tabs>
          <w:tab w:val="num" w:pos="2340"/>
        </w:tabs>
        <w:ind w:left="2340" w:hanging="360"/>
      </w:pPr>
      <w:rPr>
        <w:rFonts w:cs="Times New Roman"/>
      </w:rPr>
    </w:lvl>
    <w:lvl w:ilvl="3" w:tplc="CE46E59C">
      <w:start w:val="1"/>
      <w:numFmt w:val="lowerLetter"/>
      <w:lvlText w:val="%4)"/>
      <w:lvlJc w:val="left"/>
      <w:pPr>
        <w:tabs>
          <w:tab w:val="num" w:pos="2880"/>
        </w:tabs>
        <w:ind w:left="2880" w:hanging="360"/>
      </w:pPr>
      <w:rPr>
        <w:b w:val="0"/>
      </w:rPr>
    </w:lvl>
    <w:lvl w:ilvl="4" w:tplc="4CF02B32">
      <w:start w:val="2"/>
      <w:numFmt w:val="decimal"/>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 w15:restartNumberingAfterBreak="0">
    <w:nsid w:val="051E0DA6"/>
    <w:multiLevelType w:val="hybridMultilevel"/>
    <w:tmpl w:val="B12A3546"/>
    <w:lvl w:ilvl="0" w:tplc="04090017">
      <w:start w:val="1"/>
      <w:numFmt w:val="lowerLetter"/>
      <w:lvlText w:val="%1)"/>
      <w:lvlJc w:val="left"/>
      <w:pPr>
        <w:tabs>
          <w:tab w:val="num" w:pos="360"/>
        </w:tabs>
        <w:ind w:left="360" w:hanging="360"/>
      </w:pPr>
    </w:lvl>
    <w:lvl w:ilvl="1" w:tplc="B4ACAF9E">
      <w:start w:val="1"/>
      <w:numFmt w:val="lowerRoman"/>
      <w:lvlText w:val="%2)"/>
      <w:lvlJc w:val="left"/>
      <w:pPr>
        <w:tabs>
          <w:tab w:val="num" w:pos="1080"/>
        </w:tabs>
        <w:ind w:left="1080" w:hanging="360"/>
      </w:pPr>
      <w:rPr>
        <w:rFonts w:ascii="Times New Roman" w:eastAsia="MS Mincho" w:hAnsi="Times New Roman" w:cs="Times New Roman"/>
        <w:sz w:val="22"/>
      </w:rPr>
    </w:lvl>
    <w:lvl w:ilvl="2" w:tplc="0409001B">
      <w:start w:val="1"/>
      <w:numFmt w:val="lowerRoman"/>
      <w:lvlText w:val="%3."/>
      <w:lvlJc w:val="right"/>
      <w:pPr>
        <w:tabs>
          <w:tab w:val="num" w:pos="1800"/>
        </w:tabs>
        <w:ind w:left="1800" w:hanging="180"/>
      </w:pPr>
      <w:rPr>
        <w:rFonts w:cs="Times New Roman"/>
      </w:rPr>
    </w:lvl>
    <w:lvl w:ilvl="3" w:tplc="0409000F">
      <w:start w:val="1"/>
      <w:numFmt w:val="decimal"/>
      <w:lvlText w:val="%4."/>
      <w:lvlJc w:val="left"/>
      <w:pPr>
        <w:tabs>
          <w:tab w:val="num" w:pos="2520"/>
        </w:tabs>
        <w:ind w:left="2520" w:hanging="360"/>
      </w:pPr>
      <w:rPr>
        <w:rFonts w:cs="Times New Roman"/>
      </w:rPr>
    </w:lvl>
    <w:lvl w:ilvl="4" w:tplc="04090019">
      <w:start w:val="1"/>
      <w:numFmt w:val="lowerLetter"/>
      <w:lvlText w:val="%5."/>
      <w:lvlJc w:val="left"/>
      <w:pPr>
        <w:tabs>
          <w:tab w:val="num" w:pos="3240"/>
        </w:tabs>
        <w:ind w:left="3240" w:hanging="360"/>
      </w:pPr>
      <w:rPr>
        <w:rFonts w:cs="Times New Roman"/>
      </w:rPr>
    </w:lvl>
    <w:lvl w:ilvl="5" w:tplc="0409001B">
      <w:start w:val="1"/>
      <w:numFmt w:val="lowerRoman"/>
      <w:lvlText w:val="%6."/>
      <w:lvlJc w:val="right"/>
      <w:pPr>
        <w:tabs>
          <w:tab w:val="num" w:pos="3960"/>
        </w:tabs>
        <w:ind w:left="3960" w:hanging="180"/>
      </w:pPr>
      <w:rPr>
        <w:rFonts w:cs="Times New Roman"/>
      </w:rPr>
    </w:lvl>
    <w:lvl w:ilvl="6" w:tplc="0409000F">
      <w:start w:val="1"/>
      <w:numFmt w:val="decimal"/>
      <w:lvlText w:val="%7."/>
      <w:lvlJc w:val="left"/>
      <w:pPr>
        <w:tabs>
          <w:tab w:val="num" w:pos="4680"/>
        </w:tabs>
        <w:ind w:left="4680" w:hanging="360"/>
      </w:pPr>
      <w:rPr>
        <w:rFonts w:cs="Times New Roman"/>
      </w:rPr>
    </w:lvl>
    <w:lvl w:ilvl="7" w:tplc="04090019">
      <w:start w:val="1"/>
      <w:numFmt w:val="lowerLetter"/>
      <w:lvlText w:val="%8."/>
      <w:lvlJc w:val="left"/>
      <w:pPr>
        <w:tabs>
          <w:tab w:val="num" w:pos="5400"/>
        </w:tabs>
        <w:ind w:left="5400" w:hanging="360"/>
      </w:pPr>
      <w:rPr>
        <w:rFonts w:cs="Times New Roman"/>
      </w:rPr>
    </w:lvl>
    <w:lvl w:ilvl="8" w:tplc="0409001B">
      <w:start w:val="1"/>
      <w:numFmt w:val="lowerRoman"/>
      <w:lvlText w:val="%9."/>
      <w:lvlJc w:val="right"/>
      <w:pPr>
        <w:tabs>
          <w:tab w:val="num" w:pos="6120"/>
        </w:tabs>
        <w:ind w:left="6120" w:hanging="180"/>
      </w:pPr>
      <w:rPr>
        <w:rFonts w:cs="Times New Roman"/>
      </w:rPr>
    </w:lvl>
  </w:abstractNum>
  <w:abstractNum w:abstractNumId="3" w15:restartNumberingAfterBreak="0">
    <w:nsid w:val="06FD5050"/>
    <w:multiLevelType w:val="hybridMultilevel"/>
    <w:tmpl w:val="C00053A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07D103B6"/>
    <w:multiLevelType w:val="hybridMultilevel"/>
    <w:tmpl w:val="31781BFE"/>
    <w:lvl w:ilvl="0" w:tplc="04090017">
      <w:start w:val="1"/>
      <w:numFmt w:val="lowerLetter"/>
      <w:lvlText w:val="%1)"/>
      <w:lvlJc w:val="left"/>
      <w:pPr>
        <w:tabs>
          <w:tab w:val="num" w:pos="1080"/>
        </w:tabs>
        <w:ind w:left="1080" w:hanging="360"/>
      </w:p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 w15:restartNumberingAfterBreak="0">
    <w:nsid w:val="0AA16F49"/>
    <w:multiLevelType w:val="hybridMultilevel"/>
    <w:tmpl w:val="24B0FD68"/>
    <w:lvl w:ilvl="0" w:tplc="0409000F">
      <w:start w:val="1"/>
      <w:numFmt w:val="decimal"/>
      <w:lvlText w:val="%1."/>
      <w:lvlJc w:val="left"/>
      <w:pPr>
        <w:tabs>
          <w:tab w:val="num" w:pos="360"/>
        </w:tabs>
        <w:ind w:left="360" w:hanging="360"/>
      </w:pPr>
      <w:rPr>
        <w:rFonts w:cs="Times New Roman"/>
      </w:rPr>
    </w:lvl>
    <w:lvl w:ilvl="1" w:tplc="04090019">
      <w:start w:val="1"/>
      <w:numFmt w:val="lowerLetter"/>
      <w:lvlText w:val="%2."/>
      <w:lvlJc w:val="left"/>
      <w:pPr>
        <w:tabs>
          <w:tab w:val="num" w:pos="1080"/>
        </w:tabs>
        <w:ind w:left="1080" w:hanging="360"/>
      </w:pPr>
      <w:rPr>
        <w:rFonts w:cs="Times New Roman"/>
      </w:rPr>
    </w:lvl>
    <w:lvl w:ilvl="2" w:tplc="0409001B">
      <w:start w:val="1"/>
      <w:numFmt w:val="lowerRoman"/>
      <w:lvlText w:val="%3."/>
      <w:lvlJc w:val="right"/>
      <w:pPr>
        <w:tabs>
          <w:tab w:val="num" w:pos="1800"/>
        </w:tabs>
        <w:ind w:left="1800" w:hanging="180"/>
      </w:pPr>
      <w:rPr>
        <w:rFonts w:cs="Times New Roman"/>
      </w:rPr>
    </w:lvl>
    <w:lvl w:ilvl="3" w:tplc="0409000F">
      <w:start w:val="1"/>
      <w:numFmt w:val="decimal"/>
      <w:lvlText w:val="%4."/>
      <w:lvlJc w:val="left"/>
      <w:pPr>
        <w:tabs>
          <w:tab w:val="num" w:pos="2520"/>
        </w:tabs>
        <w:ind w:left="2520" w:hanging="360"/>
      </w:pPr>
      <w:rPr>
        <w:rFonts w:cs="Times New Roman"/>
      </w:rPr>
    </w:lvl>
    <w:lvl w:ilvl="4" w:tplc="04090019">
      <w:start w:val="1"/>
      <w:numFmt w:val="lowerLetter"/>
      <w:lvlText w:val="%5."/>
      <w:lvlJc w:val="left"/>
      <w:pPr>
        <w:tabs>
          <w:tab w:val="num" w:pos="3240"/>
        </w:tabs>
        <w:ind w:left="3240" w:hanging="360"/>
      </w:pPr>
      <w:rPr>
        <w:rFonts w:cs="Times New Roman"/>
      </w:rPr>
    </w:lvl>
    <w:lvl w:ilvl="5" w:tplc="0409001B">
      <w:start w:val="1"/>
      <w:numFmt w:val="lowerRoman"/>
      <w:lvlText w:val="%6."/>
      <w:lvlJc w:val="right"/>
      <w:pPr>
        <w:tabs>
          <w:tab w:val="num" w:pos="3960"/>
        </w:tabs>
        <w:ind w:left="3960" w:hanging="180"/>
      </w:pPr>
      <w:rPr>
        <w:rFonts w:cs="Times New Roman"/>
      </w:rPr>
    </w:lvl>
    <w:lvl w:ilvl="6" w:tplc="0409000F">
      <w:start w:val="1"/>
      <w:numFmt w:val="decimal"/>
      <w:lvlText w:val="%7."/>
      <w:lvlJc w:val="left"/>
      <w:pPr>
        <w:tabs>
          <w:tab w:val="num" w:pos="4680"/>
        </w:tabs>
        <w:ind w:left="4680" w:hanging="360"/>
      </w:pPr>
      <w:rPr>
        <w:rFonts w:cs="Times New Roman"/>
      </w:rPr>
    </w:lvl>
    <w:lvl w:ilvl="7" w:tplc="04090019">
      <w:start w:val="1"/>
      <w:numFmt w:val="lowerLetter"/>
      <w:lvlText w:val="%8."/>
      <w:lvlJc w:val="left"/>
      <w:pPr>
        <w:tabs>
          <w:tab w:val="num" w:pos="5400"/>
        </w:tabs>
        <w:ind w:left="5400" w:hanging="360"/>
      </w:pPr>
      <w:rPr>
        <w:rFonts w:cs="Times New Roman"/>
      </w:rPr>
    </w:lvl>
    <w:lvl w:ilvl="8" w:tplc="0409001B">
      <w:start w:val="1"/>
      <w:numFmt w:val="lowerRoman"/>
      <w:lvlText w:val="%9."/>
      <w:lvlJc w:val="right"/>
      <w:pPr>
        <w:tabs>
          <w:tab w:val="num" w:pos="6120"/>
        </w:tabs>
        <w:ind w:left="6120" w:hanging="180"/>
      </w:pPr>
      <w:rPr>
        <w:rFonts w:cs="Times New Roman"/>
      </w:rPr>
    </w:lvl>
  </w:abstractNum>
  <w:abstractNum w:abstractNumId="6" w15:restartNumberingAfterBreak="0">
    <w:nsid w:val="0BAF753D"/>
    <w:multiLevelType w:val="hybridMultilevel"/>
    <w:tmpl w:val="048EF5CC"/>
    <w:lvl w:ilvl="0" w:tplc="04090017">
      <w:start w:val="1"/>
      <w:numFmt w:val="lowerLetter"/>
      <w:lvlText w:val="%1)"/>
      <w:lvlJc w:val="left"/>
      <w:pPr>
        <w:ind w:left="720" w:hanging="360"/>
      </w:pPr>
      <w:rPr>
        <w:rFonts w:hint="default"/>
        <w:b w:val="0"/>
        <w:bCs w:val="0"/>
        <w:i w:val="0"/>
        <w:color w:val="auto"/>
        <w:sz w:val="22"/>
        <w:szCs w:val="22"/>
      </w:rPr>
    </w:lvl>
    <w:lvl w:ilvl="1" w:tplc="04090019">
      <w:start w:val="1"/>
      <w:numFmt w:val="lowerLetter"/>
      <w:lvlText w:val="%2."/>
      <w:lvlJc w:val="left"/>
      <w:pPr>
        <w:ind w:left="1374" w:hanging="360"/>
      </w:pPr>
      <w:rPr>
        <w:rFonts w:cs="Times New Roman"/>
      </w:rPr>
    </w:lvl>
    <w:lvl w:ilvl="2" w:tplc="0409001B">
      <w:start w:val="1"/>
      <w:numFmt w:val="lowerRoman"/>
      <w:lvlText w:val="%3."/>
      <w:lvlJc w:val="right"/>
      <w:pPr>
        <w:ind w:left="2094" w:hanging="180"/>
      </w:pPr>
      <w:rPr>
        <w:rFonts w:cs="Times New Roman"/>
      </w:rPr>
    </w:lvl>
    <w:lvl w:ilvl="3" w:tplc="0409000F">
      <w:start w:val="1"/>
      <w:numFmt w:val="decimal"/>
      <w:lvlText w:val="%4."/>
      <w:lvlJc w:val="left"/>
      <w:pPr>
        <w:ind w:left="2814" w:hanging="360"/>
      </w:pPr>
      <w:rPr>
        <w:rFonts w:cs="Times New Roman"/>
      </w:rPr>
    </w:lvl>
    <w:lvl w:ilvl="4" w:tplc="04090019">
      <w:start w:val="1"/>
      <w:numFmt w:val="lowerLetter"/>
      <w:lvlText w:val="%5."/>
      <w:lvlJc w:val="left"/>
      <w:pPr>
        <w:ind w:left="3534" w:hanging="360"/>
      </w:pPr>
      <w:rPr>
        <w:rFonts w:cs="Times New Roman"/>
      </w:rPr>
    </w:lvl>
    <w:lvl w:ilvl="5" w:tplc="0409001B">
      <w:start w:val="1"/>
      <w:numFmt w:val="lowerRoman"/>
      <w:lvlText w:val="%6."/>
      <w:lvlJc w:val="right"/>
      <w:pPr>
        <w:ind w:left="4254" w:hanging="180"/>
      </w:pPr>
      <w:rPr>
        <w:rFonts w:cs="Times New Roman"/>
      </w:rPr>
    </w:lvl>
    <w:lvl w:ilvl="6" w:tplc="0409000F">
      <w:start w:val="1"/>
      <w:numFmt w:val="decimal"/>
      <w:lvlText w:val="%7."/>
      <w:lvlJc w:val="left"/>
      <w:pPr>
        <w:ind w:left="4974" w:hanging="360"/>
      </w:pPr>
      <w:rPr>
        <w:rFonts w:cs="Times New Roman"/>
      </w:rPr>
    </w:lvl>
    <w:lvl w:ilvl="7" w:tplc="04090019">
      <w:start w:val="1"/>
      <w:numFmt w:val="lowerLetter"/>
      <w:lvlText w:val="%8."/>
      <w:lvlJc w:val="left"/>
      <w:pPr>
        <w:ind w:left="5694" w:hanging="360"/>
      </w:pPr>
      <w:rPr>
        <w:rFonts w:cs="Times New Roman"/>
      </w:rPr>
    </w:lvl>
    <w:lvl w:ilvl="8" w:tplc="0409001B">
      <w:start w:val="1"/>
      <w:numFmt w:val="lowerRoman"/>
      <w:lvlText w:val="%9."/>
      <w:lvlJc w:val="right"/>
      <w:pPr>
        <w:ind w:left="6414" w:hanging="180"/>
      </w:pPr>
      <w:rPr>
        <w:rFonts w:cs="Times New Roman"/>
      </w:rPr>
    </w:lvl>
  </w:abstractNum>
  <w:abstractNum w:abstractNumId="7" w15:restartNumberingAfterBreak="0">
    <w:nsid w:val="0BC24144"/>
    <w:multiLevelType w:val="hybridMultilevel"/>
    <w:tmpl w:val="76B2229E"/>
    <w:lvl w:ilvl="0" w:tplc="04090017">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15:restartNumberingAfterBreak="0">
    <w:nsid w:val="0E076477"/>
    <w:multiLevelType w:val="hybridMultilevel"/>
    <w:tmpl w:val="CE400660"/>
    <w:lvl w:ilvl="0" w:tplc="0409000F">
      <w:start w:val="1"/>
      <w:numFmt w:val="decimal"/>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9" w15:restartNumberingAfterBreak="0">
    <w:nsid w:val="0F0576CD"/>
    <w:multiLevelType w:val="hybridMultilevel"/>
    <w:tmpl w:val="0F28CD92"/>
    <w:lvl w:ilvl="0" w:tplc="04090017">
      <w:start w:val="1"/>
      <w:numFmt w:val="lowerLetter"/>
      <w:lvlText w:val="%1)"/>
      <w:lvlJc w:val="left"/>
      <w:pPr>
        <w:tabs>
          <w:tab w:val="num" w:pos="720"/>
        </w:tabs>
        <w:ind w:left="720" w:hanging="360"/>
      </w:pPr>
    </w:lvl>
    <w:lvl w:ilvl="1" w:tplc="902A1052">
      <w:start w:val="1"/>
      <w:numFmt w:val="lowerLetter"/>
      <w:lvlText w:val="%2)"/>
      <w:lvlJc w:val="left"/>
      <w:pPr>
        <w:tabs>
          <w:tab w:val="num" w:pos="720"/>
        </w:tabs>
        <w:ind w:left="720" w:hanging="360"/>
      </w:pPr>
      <w:rPr>
        <w:rFonts w:cs="Times New Roman"/>
      </w:rPr>
    </w:lvl>
    <w:lvl w:ilvl="2" w:tplc="1658B72A">
      <w:start w:val="1"/>
      <w:numFmt w:val="lowerRoman"/>
      <w:lvlText w:val="%3."/>
      <w:lvlJc w:val="right"/>
      <w:pPr>
        <w:tabs>
          <w:tab w:val="num" w:pos="1440"/>
        </w:tabs>
        <w:ind w:left="1440" w:hanging="180"/>
      </w:pPr>
      <w:rPr>
        <w:rFonts w:cs="Times New Roman"/>
        <w:i w:val="0"/>
      </w:rPr>
    </w:lvl>
    <w:lvl w:ilvl="3" w:tplc="0409000F">
      <w:start w:val="1"/>
      <w:numFmt w:val="decimal"/>
      <w:lvlText w:val="%4."/>
      <w:lvlJc w:val="left"/>
      <w:pPr>
        <w:tabs>
          <w:tab w:val="num" w:pos="2160"/>
        </w:tabs>
        <w:ind w:left="2160" w:hanging="360"/>
      </w:pPr>
      <w:rPr>
        <w:rFonts w:cs="Times New Roman"/>
      </w:rPr>
    </w:lvl>
    <w:lvl w:ilvl="4" w:tplc="04090019">
      <w:start w:val="1"/>
      <w:numFmt w:val="lowerLetter"/>
      <w:lvlText w:val="%5."/>
      <w:lvlJc w:val="left"/>
      <w:pPr>
        <w:tabs>
          <w:tab w:val="num" w:pos="2880"/>
        </w:tabs>
        <w:ind w:left="2880" w:hanging="360"/>
      </w:pPr>
      <w:rPr>
        <w:rFonts w:cs="Times New Roman"/>
      </w:rPr>
    </w:lvl>
    <w:lvl w:ilvl="5" w:tplc="0409001B">
      <w:start w:val="1"/>
      <w:numFmt w:val="lowerRoman"/>
      <w:lvlText w:val="%6."/>
      <w:lvlJc w:val="right"/>
      <w:pPr>
        <w:tabs>
          <w:tab w:val="num" w:pos="3600"/>
        </w:tabs>
        <w:ind w:left="3600" w:hanging="180"/>
      </w:pPr>
      <w:rPr>
        <w:rFonts w:cs="Times New Roman"/>
      </w:rPr>
    </w:lvl>
    <w:lvl w:ilvl="6" w:tplc="0409000F">
      <w:start w:val="1"/>
      <w:numFmt w:val="decimal"/>
      <w:lvlText w:val="%7."/>
      <w:lvlJc w:val="left"/>
      <w:pPr>
        <w:tabs>
          <w:tab w:val="num" w:pos="4320"/>
        </w:tabs>
        <w:ind w:left="4320" w:hanging="360"/>
      </w:pPr>
      <w:rPr>
        <w:rFonts w:cs="Times New Roman"/>
      </w:rPr>
    </w:lvl>
    <w:lvl w:ilvl="7" w:tplc="04090019">
      <w:start w:val="1"/>
      <w:numFmt w:val="lowerLetter"/>
      <w:lvlText w:val="%8."/>
      <w:lvlJc w:val="left"/>
      <w:pPr>
        <w:tabs>
          <w:tab w:val="num" w:pos="5040"/>
        </w:tabs>
        <w:ind w:left="5040" w:hanging="360"/>
      </w:pPr>
      <w:rPr>
        <w:rFonts w:cs="Times New Roman"/>
      </w:rPr>
    </w:lvl>
    <w:lvl w:ilvl="8" w:tplc="0409001B">
      <w:start w:val="1"/>
      <w:numFmt w:val="lowerRoman"/>
      <w:lvlText w:val="%9."/>
      <w:lvlJc w:val="right"/>
      <w:pPr>
        <w:tabs>
          <w:tab w:val="num" w:pos="5760"/>
        </w:tabs>
        <w:ind w:left="5760" w:hanging="180"/>
      </w:pPr>
      <w:rPr>
        <w:rFonts w:cs="Times New Roman"/>
      </w:rPr>
    </w:lvl>
  </w:abstractNum>
  <w:abstractNum w:abstractNumId="10" w15:restartNumberingAfterBreak="0">
    <w:nsid w:val="13A13669"/>
    <w:multiLevelType w:val="hybridMultilevel"/>
    <w:tmpl w:val="53BE3476"/>
    <w:lvl w:ilvl="0" w:tplc="0409000F">
      <w:start w:val="1"/>
      <w:numFmt w:val="decimal"/>
      <w:lvlText w:val="%1."/>
      <w:lvlJc w:val="left"/>
      <w:pPr>
        <w:tabs>
          <w:tab w:val="num" w:pos="1080"/>
        </w:tabs>
        <w:ind w:left="1080" w:hanging="360"/>
      </w:pPr>
      <w:rPr>
        <w:rFonts w:cs="Times New Roman"/>
      </w:rPr>
    </w:lvl>
    <w:lvl w:ilvl="1" w:tplc="04090019">
      <w:start w:val="1"/>
      <w:numFmt w:val="lowerLetter"/>
      <w:lvlText w:val="%2."/>
      <w:lvlJc w:val="left"/>
      <w:pPr>
        <w:tabs>
          <w:tab w:val="num" w:pos="1800"/>
        </w:tabs>
        <w:ind w:left="1800" w:hanging="360"/>
      </w:pPr>
      <w:rPr>
        <w:rFonts w:cs="Times New Roman"/>
      </w:rPr>
    </w:lvl>
    <w:lvl w:ilvl="2" w:tplc="0409001B">
      <w:start w:val="1"/>
      <w:numFmt w:val="lowerRoman"/>
      <w:lvlText w:val="%3."/>
      <w:lvlJc w:val="right"/>
      <w:pPr>
        <w:tabs>
          <w:tab w:val="num" w:pos="2520"/>
        </w:tabs>
        <w:ind w:left="2520" w:hanging="180"/>
      </w:pPr>
      <w:rPr>
        <w:rFonts w:cs="Times New Roman"/>
      </w:rPr>
    </w:lvl>
    <w:lvl w:ilvl="3" w:tplc="0409000F">
      <w:start w:val="1"/>
      <w:numFmt w:val="decimal"/>
      <w:lvlText w:val="%4."/>
      <w:lvlJc w:val="left"/>
      <w:pPr>
        <w:tabs>
          <w:tab w:val="num" w:pos="3240"/>
        </w:tabs>
        <w:ind w:left="3240" w:hanging="360"/>
      </w:pPr>
      <w:rPr>
        <w:rFonts w:cs="Times New Roman"/>
      </w:rPr>
    </w:lvl>
    <w:lvl w:ilvl="4" w:tplc="04090019">
      <w:start w:val="1"/>
      <w:numFmt w:val="lowerLetter"/>
      <w:lvlText w:val="%5."/>
      <w:lvlJc w:val="left"/>
      <w:pPr>
        <w:tabs>
          <w:tab w:val="num" w:pos="3960"/>
        </w:tabs>
        <w:ind w:left="3960" w:hanging="360"/>
      </w:pPr>
      <w:rPr>
        <w:rFonts w:cs="Times New Roman"/>
      </w:rPr>
    </w:lvl>
    <w:lvl w:ilvl="5" w:tplc="0409001B">
      <w:start w:val="1"/>
      <w:numFmt w:val="lowerRoman"/>
      <w:lvlText w:val="%6."/>
      <w:lvlJc w:val="right"/>
      <w:pPr>
        <w:tabs>
          <w:tab w:val="num" w:pos="4680"/>
        </w:tabs>
        <w:ind w:left="4680" w:hanging="180"/>
      </w:pPr>
      <w:rPr>
        <w:rFonts w:cs="Times New Roman"/>
      </w:rPr>
    </w:lvl>
    <w:lvl w:ilvl="6" w:tplc="0409000F">
      <w:start w:val="1"/>
      <w:numFmt w:val="decimal"/>
      <w:lvlText w:val="%7."/>
      <w:lvlJc w:val="left"/>
      <w:pPr>
        <w:tabs>
          <w:tab w:val="num" w:pos="5400"/>
        </w:tabs>
        <w:ind w:left="5400" w:hanging="360"/>
      </w:pPr>
      <w:rPr>
        <w:rFonts w:cs="Times New Roman"/>
      </w:rPr>
    </w:lvl>
    <w:lvl w:ilvl="7" w:tplc="04090019">
      <w:start w:val="1"/>
      <w:numFmt w:val="lowerLetter"/>
      <w:lvlText w:val="%8."/>
      <w:lvlJc w:val="left"/>
      <w:pPr>
        <w:tabs>
          <w:tab w:val="num" w:pos="6120"/>
        </w:tabs>
        <w:ind w:left="6120" w:hanging="360"/>
      </w:pPr>
      <w:rPr>
        <w:rFonts w:cs="Times New Roman"/>
      </w:rPr>
    </w:lvl>
    <w:lvl w:ilvl="8" w:tplc="0409001B">
      <w:start w:val="1"/>
      <w:numFmt w:val="lowerRoman"/>
      <w:lvlText w:val="%9."/>
      <w:lvlJc w:val="right"/>
      <w:pPr>
        <w:tabs>
          <w:tab w:val="num" w:pos="6840"/>
        </w:tabs>
        <w:ind w:left="6840" w:hanging="180"/>
      </w:pPr>
      <w:rPr>
        <w:rFonts w:cs="Times New Roman"/>
      </w:rPr>
    </w:lvl>
  </w:abstractNum>
  <w:abstractNum w:abstractNumId="11" w15:restartNumberingAfterBreak="0">
    <w:nsid w:val="170F5229"/>
    <w:multiLevelType w:val="hybridMultilevel"/>
    <w:tmpl w:val="550E5806"/>
    <w:lvl w:ilvl="0" w:tplc="FFFFFFFF">
      <w:start w:val="1"/>
      <w:numFmt w:val="ideographDigital"/>
      <w:lvlText w:val=""/>
      <w:lvlJc w:val="left"/>
    </w:lvl>
    <w:lvl w:ilvl="1" w:tplc="902A1052">
      <w:start w:val="1"/>
      <w:numFmt w:val="lowerLetter"/>
      <w:lvlText w:val="%2)"/>
      <w:lvlJc w:val="left"/>
      <w:rPr>
        <w:rFonts w:cs="Times New Roman"/>
      </w:r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17F36906"/>
    <w:multiLevelType w:val="hybridMultilevel"/>
    <w:tmpl w:val="F57C1EEA"/>
    <w:lvl w:ilvl="0" w:tplc="57ACF9E2">
      <w:start w:val="1"/>
      <w:numFmt w:val="lowerLetter"/>
      <w:lvlText w:val="%1)"/>
      <w:lvlJc w:val="left"/>
      <w:pPr>
        <w:ind w:left="5040" w:hanging="360"/>
      </w:pPr>
      <w:rPr>
        <w:rFonts w:hint="default"/>
      </w:rPr>
    </w:lvl>
    <w:lvl w:ilvl="1" w:tplc="04090019" w:tentative="1">
      <w:start w:val="1"/>
      <w:numFmt w:val="lowerLetter"/>
      <w:lvlText w:val="%2."/>
      <w:lvlJc w:val="left"/>
      <w:pPr>
        <w:ind w:left="5760" w:hanging="360"/>
      </w:pPr>
    </w:lvl>
    <w:lvl w:ilvl="2" w:tplc="0409001B" w:tentative="1">
      <w:start w:val="1"/>
      <w:numFmt w:val="lowerRoman"/>
      <w:lvlText w:val="%3."/>
      <w:lvlJc w:val="right"/>
      <w:pPr>
        <w:ind w:left="6480" w:hanging="180"/>
      </w:pPr>
    </w:lvl>
    <w:lvl w:ilvl="3" w:tplc="0409000F" w:tentative="1">
      <w:start w:val="1"/>
      <w:numFmt w:val="decimal"/>
      <w:lvlText w:val="%4."/>
      <w:lvlJc w:val="left"/>
      <w:pPr>
        <w:ind w:left="7200" w:hanging="360"/>
      </w:pPr>
    </w:lvl>
    <w:lvl w:ilvl="4" w:tplc="04090019" w:tentative="1">
      <w:start w:val="1"/>
      <w:numFmt w:val="lowerLetter"/>
      <w:lvlText w:val="%5."/>
      <w:lvlJc w:val="left"/>
      <w:pPr>
        <w:ind w:left="7920" w:hanging="360"/>
      </w:pPr>
    </w:lvl>
    <w:lvl w:ilvl="5" w:tplc="0409001B" w:tentative="1">
      <w:start w:val="1"/>
      <w:numFmt w:val="lowerRoman"/>
      <w:lvlText w:val="%6."/>
      <w:lvlJc w:val="right"/>
      <w:pPr>
        <w:ind w:left="8640" w:hanging="180"/>
      </w:pPr>
    </w:lvl>
    <w:lvl w:ilvl="6" w:tplc="0409000F" w:tentative="1">
      <w:start w:val="1"/>
      <w:numFmt w:val="decimal"/>
      <w:lvlText w:val="%7."/>
      <w:lvlJc w:val="left"/>
      <w:pPr>
        <w:ind w:left="9360" w:hanging="360"/>
      </w:pPr>
    </w:lvl>
    <w:lvl w:ilvl="7" w:tplc="04090019" w:tentative="1">
      <w:start w:val="1"/>
      <w:numFmt w:val="lowerLetter"/>
      <w:lvlText w:val="%8."/>
      <w:lvlJc w:val="left"/>
      <w:pPr>
        <w:ind w:left="10080" w:hanging="360"/>
      </w:pPr>
    </w:lvl>
    <w:lvl w:ilvl="8" w:tplc="0409001B" w:tentative="1">
      <w:start w:val="1"/>
      <w:numFmt w:val="lowerRoman"/>
      <w:lvlText w:val="%9."/>
      <w:lvlJc w:val="right"/>
      <w:pPr>
        <w:ind w:left="10800" w:hanging="180"/>
      </w:pPr>
    </w:lvl>
  </w:abstractNum>
  <w:abstractNum w:abstractNumId="13" w15:restartNumberingAfterBreak="0">
    <w:nsid w:val="1C9236AC"/>
    <w:multiLevelType w:val="hybridMultilevel"/>
    <w:tmpl w:val="4FDAECE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223E6A05"/>
    <w:multiLevelType w:val="hybridMultilevel"/>
    <w:tmpl w:val="0DBAEFE8"/>
    <w:lvl w:ilvl="0" w:tplc="3A3467FA">
      <w:start w:val="1"/>
      <w:numFmt w:val="decimal"/>
      <w:lvlText w:val="%1."/>
      <w:lvlJc w:val="left"/>
      <w:pPr>
        <w:tabs>
          <w:tab w:val="num" w:pos="4860"/>
        </w:tabs>
        <w:ind w:left="4860" w:hanging="360"/>
      </w:pPr>
      <w:rPr>
        <w:rFonts w:cs="Times New Roman"/>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3024075"/>
    <w:multiLevelType w:val="hybridMultilevel"/>
    <w:tmpl w:val="AD28883E"/>
    <w:lvl w:ilvl="0" w:tplc="2C3688DA">
      <w:start w:val="1"/>
      <w:numFmt w:val="decimal"/>
      <w:lvlText w:val="%1."/>
      <w:lvlJc w:val="left"/>
      <w:pPr>
        <w:ind w:left="720" w:hanging="360"/>
      </w:pPr>
      <w:rPr>
        <w:rFonts w:hint="default"/>
        <w:b w:val="0"/>
        <w:bCs w:val="0"/>
        <w:i w:val="0"/>
        <w:color w:val="auto"/>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3244F29"/>
    <w:multiLevelType w:val="hybridMultilevel"/>
    <w:tmpl w:val="F326B54A"/>
    <w:lvl w:ilvl="0" w:tplc="F2E8668E">
      <w:start w:val="1"/>
      <w:numFmt w:val="decimal"/>
      <w:lvlText w:val="%1."/>
      <w:lvlJc w:val="left"/>
      <w:pPr>
        <w:tabs>
          <w:tab w:val="num" w:pos="360"/>
        </w:tabs>
        <w:ind w:left="360" w:hanging="360"/>
      </w:pPr>
      <w:rPr>
        <w:rFonts w:cs="Times New Roman"/>
        <w:b w:val="0"/>
        <w:bCs w:val="0"/>
        <w:i w:val="0"/>
        <w:iCs w:val="0"/>
      </w:rPr>
    </w:lvl>
    <w:lvl w:ilvl="1" w:tplc="04090019">
      <w:start w:val="1"/>
      <w:numFmt w:val="decimal"/>
      <w:lvlText w:val="%2."/>
      <w:lvlJc w:val="left"/>
      <w:pPr>
        <w:tabs>
          <w:tab w:val="num" w:pos="1080"/>
        </w:tabs>
        <w:ind w:left="1080" w:hanging="360"/>
      </w:pPr>
      <w:rPr>
        <w:rFonts w:cs="Times New Roman"/>
      </w:rPr>
    </w:lvl>
    <w:lvl w:ilvl="2" w:tplc="0409001B">
      <w:start w:val="1"/>
      <w:numFmt w:val="decimal"/>
      <w:lvlText w:val="%3."/>
      <w:lvlJc w:val="left"/>
      <w:pPr>
        <w:tabs>
          <w:tab w:val="num" w:pos="1800"/>
        </w:tabs>
        <w:ind w:left="1800" w:hanging="360"/>
      </w:pPr>
      <w:rPr>
        <w:rFonts w:cs="Times New Roman"/>
      </w:rPr>
    </w:lvl>
    <w:lvl w:ilvl="3" w:tplc="0409000F">
      <w:start w:val="1"/>
      <w:numFmt w:val="decimal"/>
      <w:lvlText w:val="%4."/>
      <w:lvlJc w:val="left"/>
      <w:pPr>
        <w:tabs>
          <w:tab w:val="num" w:pos="2520"/>
        </w:tabs>
        <w:ind w:left="2520" w:hanging="360"/>
      </w:pPr>
      <w:rPr>
        <w:rFonts w:cs="Times New Roman"/>
      </w:rPr>
    </w:lvl>
    <w:lvl w:ilvl="4" w:tplc="04090019">
      <w:start w:val="1"/>
      <w:numFmt w:val="decimal"/>
      <w:lvlText w:val="%5."/>
      <w:lvlJc w:val="left"/>
      <w:pPr>
        <w:tabs>
          <w:tab w:val="num" w:pos="3240"/>
        </w:tabs>
        <w:ind w:left="3240" w:hanging="360"/>
      </w:pPr>
      <w:rPr>
        <w:rFonts w:cs="Times New Roman"/>
      </w:rPr>
    </w:lvl>
    <w:lvl w:ilvl="5" w:tplc="0409001B">
      <w:start w:val="1"/>
      <w:numFmt w:val="decimal"/>
      <w:lvlText w:val="%6."/>
      <w:lvlJc w:val="left"/>
      <w:pPr>
        <w:tabs>
          <w:tab w:val="num" w:pos="3960"/>
        </w:tabs>
        <w:ind w:left="3960" w:hanging="360"/>
      </w:pPr>
      <w:rPr>
        <w:rFonts w:cs="Times New Roman"/>
      </w:rPr>
    </w:lvl>
    <w:lvl w:ilvl="6" w:tplc="0409000F">
      <w:start w:val="1"/>
      <w:numFmt w:val="decimal"/>
      <w:lvlText w:val="%7."/>
      <w:lvlJc w:val="left"/>
      <w:pPr>
        <w:tabs>
          <w:tab w:val="num" w:pos="4680"/>
        </w:tabs>
        <w:ind w:left="4680" w:hanging="360"/>
      </w:pPr>
      <w:rPr>
        <w:rFonts w:cs="Times New Roman"/>
      </w:rPr>
    </w:lvl>
    <w:lvl w:ilvl="7" w:tplc="04090019">
      <w:start w:val="1"/>
      <w:numFmt w:val="decimal"/>
      <w:lvlText w:val="%8."/>
      <w:lvlJc w:val="left"/>
      <w:pPr>
        <w:tabs>
          <w:tab w:val="num" w:pos="5400"/>
        </w:tabs>
        <w:ind w:left="5400" w:hanging="360"/>
      </w:pPr>
      <w:rPr>
        <w:rFonts w:cs="Times New Roman"/>
      </w:rPr>
    </w:lvl>
    <w:lvl w:ilvl="8" w:tplc="0409001B">
      <w:start w:val="1"/>
      <w:numFmt w:val="decimal"/>
      <w:lvlText w:val="%9."/>
      <w:lvlJc w:val="left"/>
      <w:pPr>
        <w:tabs>
          <w:tab w:val="num" w:pos="6120"/>
        </w:tabs>
        <w:ind w:left="6120" w:hanging="360"/>
      </w:pPr>
      <w:rPr>
        <w:rFonts w:cs="Times New Roman"/>
      </w:rPr>
    </w:lvl>
  </w:abstractNum>
  <w:abstractNum w:abstractNumId="17" w15:restartNumberingAfterBreak="0">
    <w:nsid w:val="26AF52CC"/>
    <w:multiLevelType w:val="hybridMultilevel"/>
    <w:tmpl w:val="3976C5F0"/>
    <w:lvl w:ilvl="0" w:tplc="CE46E59C">
      <w:start w:val="1"/>
      <w:numFmt w:val="lowerLetter"/>
      <w:lvlText w:val="%1)"/>
      <w:lvlJc w:val="left"/>
      <w:pPr>
        <w:tabs>
          <w:tab w:val="num" w:pos="2880"/>
        </w:tabs>
        <w:ind w:left="288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7C97AE7"/>
    <w:multiLevelType w:val="hybridMultilevel"/>
    <w:tmpl w:val="70980C1C"/>
    <w:lvl w:ilvl="0" w:tplc="04090017">
      <w:start w:val="1"/>
      <w:numFmt w:val="lowerLetter"/>
      <w:lvlText w:val="%1)"/>
      <w:lvlJc w:val="left"/>
      <w:pPr>
        <w:ind w:left="720" w:hanging="360"/>
      </w:pPr>
      <w:rPr>
        <w:b w:val="0"/>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19" w15:restartNumberingAfterBreak="0">
    <w:nsid w:val="2A2E5A29"/>
    <w:multiLevelType w:val="hybridMultilevel"/>
    <w:tmpl w:val="2FE600D0"/>
    <w:lvl w:ilvl="0" w:tplc="041C0017">
      <w:start w:val="1"/>
      <w:numFmt w:val="low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20" w15:restartNumberingAfterBreak="0">
    <w:nsid w:val="2BA93E22"/>
    <w:multiLevelType w:val="hybridMultilevel"/>
    <w:tmpl w:val="E556AF3C"/>
    <w:lvl w:ilvl="0" w:tplc="0409001B">
      <w:start w:val="1"/>
      <w:numFmt w:val="lowerRoman"/>
      <w:lvlText w:val="%1."/>
      <w:lvlJc w:val="right"/>
      <w:pPr>
        <w:ind w:left="2160" w:hanging="360"/>
      </w:pPr>
      <w:rPr>
        <w:b w:val="0"/>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1" w15:restartNumberingAfterBreak="0">
    <w:nsid w:val="3562306E"/>
    <w:multiLevelType w:val="hybridMultilevel"/>
    <w:tmpl w:val="428ED2FE"/>
    <w:lvl w:ilvl="0" w:tplc="ECD8AFFE">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2" w15:restartNumberingAfterBreak="0">
    <w:nsid w:val="371311D3"/>
    <w:multiLevelType w:val="hybridMultilevel"/>
    <w:tmpl w:val="7A46328C"/>
    <w:lvl w:ilvl="0" w:tplc="9976C85A">
      <w:start w:val="1"/>
      <w:numFmt w:val="lowerLetter"/>
      <w:lvlText w:val="%1)"/>
      <w:lvlJc w:val="left"/>
      <w:pPr>
        <w:tabs>
          <w:tab w:val="num" w:pos="720"/>
        </w:tabs>
        <w:ind w:left="720" w:hanging="360"/>
      </w:pPr>
      <w:rPr>
        <w:b w:val="0"/>
        <w:bCs w:val="0"/>
        <w:i w:val="0"/>
        <w:strike w:val="0"/>
        <w:color w:val="auto"/>
        <w:sz w:val="22"/>
        <w:szCs w:val="22"/>
      </w:rPr>
    </w:lvl>
    <w:lvl w:ilvl="1" w:tplc="04090019">
      <w:start w:val="1"/>
      <w:numFmt w:val="lowerLetter"/>
      <w:lvlText w:val="%2."/>
      <w:lvlJc w:val="left"/>
      <w:pPr>
        <w:ind w:left="1734" w:hanging="360"/>
      </w:pPr>
    </w:lvl>
    <w:lvl w:ilvl="2" w:tplc="0409001B" w:tentative="1">
      <w:start w:val="1"/>
      <w:numFmt w:val="lowerRoman"/>
      <w:lvlText w:val="%3."/>
      <w:lvlJc w:val="right"/>
      <w:pPr>
        <w:ind w:left="2454" w:hanging="180"/>
      </w:pPr>
    </w:lvl>
    <w:lvl w:ilvl="3" w:tplc="0409000F" w:tentative="1">
      <w:start w:val="1"/>
      <w:numFmt w:val="decimal"/>
      <w:lvlText w:val="%4."/>
      <w:lvlJc w:val="left"/>
      <w:pPr>
        <w:ind w:left="3174" w:hanging="360"/>
      </w:pPr>
    </w:lvl>
    <w:lvl w:ilvl="4" w:tplc="04090019" w:tentative="1">
      <w:start w:val="1"/>
      <w:numFmt w:val="lowerLetter"/>
      <w:lvlText w:val="%5."/>
      <w:lvlJc w:val="left"/>
      <w:pPr>
        <w:ind w:left="3894" w:hanging="360"/>
      </w:pPr>
    </w:lvl>
    <w:lvl w:ilvl="5" w:tplc="0409001B" w:tentative="1">
      <w:start w:val="1"/>
      <w:numFmt w:val="lowerRoman"/>
      <w:lvlText w:val="%6."/>
      <w:lvlJc w:val="right"/>
      <w:pPr>
        <w:ind w:left="4614" w:hanging="180"/>
      </w:pPr>
    </w:lvl>
    <w:lvl w:ilvl="6" w:tplc="0409000F" w:tentative="1">
      <w:start w:val="1"/>
      <w:numFmt w:val="decimal"/>
      <w:lvlText w:val="%7."/>
      <w:lvlJc w:val="left"/>
      <w:pPr>
        <w:ind w:left="5334" w:hanging="360"/>
      </w:pPr>
    </w:lvl>
    <w:lvl w:ilvl="7" w:tplc="04090019" w:tentative="1">
      <w:start w:val="1"/>
      <w:numFmt w:val="lowerLetter"/>
      <w:lvlText w:val="%8."/>
      <w:lvlJc w:val="left"/>
      <w:pPr>
        <w:ind w:left="6054" w:hanging="360"/>
      </w:pPr>
    </w:lvl>
    <w:lvl w:ilvl="8" w:tplc="0409001B" w:tentative="1">
      <w:start w:val="1"/>
      <w:numFmt w:val="lowerRoman"/>
      <w:lvlText w:val="%9."/>
      <w:lvlJc w:val="right"/>
      <w:pPr>
        <w:ind w:left="6774" w:hanging="180"/>
      </w:pPr>
    </w:lvl>
  </w:abstractNum>
  <w:abstractNum w:abstractNumId="23" w15:restartNumberingAfterBreak="0">
    <w:nsid w:val="3A3543AC"/>
    <w:multiLevelType w:val="hybridMultilevel"/>
    <w:tmpl w:val="9A1C990E"/>
    <w:lvl w:ilvl="0" w:tplc="D09C72D2">
      <w:start w:val="1"/>
      <w:numFmt w:val="lowerRoman"/>
      <w:lvlText w:val="%1."/>
      <w:lvlJc w:val="left"/>
      <w:pPr>
        <w:ind w:left="2160" w:hanging="360"/>
      </w:pPr>
      <w:rPr>
        <w:rFonts w:cs="Times New Roman"/>
      </w:rPr>
    </w:lvl>
    <w:lvl w:ilvl="1" w:tplc="04090019">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4" w15:restartNumberingAfterBreak="0">
    <w:nsid w:val="3A581052"/>
    <w:multiLevelType w:val="hybridMultilevel"/>
    <w:tmpl w:val="BC1E5836"/>
    <w:lvl w:ilvl="0" w:tplc="CE46E59C">
      <w:start w:val="1"/>
      <w:numFmt w:val="lowerLetter"/>
      <w:lvlText w:val="%1)"/>
      <w:lvlJc w:val="left"/>
      <w:pPr>
        <w:tabs>
          <w:tab w:val="num" w:pos="2880"/>
        </w:tabs>
        <w:ind w:left="288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B112A22"/>
    <w:multiLevelType w:val="hybridMultilevel"/>
    <w:tmpl w:val="0E729288"/>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3B450AF5"/>
    <w:multiLevelType w:val="hybridMultilevel"/>
    <w:tmpl w:val="679E856E"/>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3EBC70B9"/>
    <w:multiLevelType w:val="hybridMultilevel"/>
    <w:tmpl w:val="86D40152"/>
    <w:lvl w:ilvl="0" w:tplc="D09C72D2">
      <w:start w:val="1"/>
      <w:numFmt w:val="lowerRoman"/>
      <w:lvlText w:val="%1."/>
      <w:lvlJc w:val="left"/>
      <w:pPr>
        <w:tabs>
          <w:tab w:val="num" w:pos="720"/>
        </w:tabs>
        <w:ind w:left="720" w:hanging="360"/>
      </w:pPr>
      <w:rPr>
        <w:rFonts w:cs="Times New Roman"/>
      </w:rPr>
    </w:lvl>
    <w:lvl w:ilvl="1" w:tplc="902A1052">
      <w:start w:val="1"/>
      <w:numFmt w:val="lowerLetter"/>
      <w:lvlText w:val="%2)"/>
      <w:lvlJc w:val="left"/>
      <w:pPr>
        <w:tabs>
          <w:tab w:val="num" w:pos="720"/>
        </w:tabs>
        <w:ind w:left="720" w:hanging="360"/>
      </w:pPr>
      <w:rPr>
        <w:rFonts w:cs="Times New Roman"/>
      </w:rPr>
    </w:lvl>
    <w:lvl w:ilvl="2" w:tplc="1658B72A">
      <w:start w:val="1"/>
      <w:numFmt w:val="lowerRoman"/>
      <w:lvlText w:val="%3."/>
      <w:lvlJc w:val="right"/>
      <w:pPr>
        <w:tabs>
          <w:tab w:val="num" w:pos="1440"/>
        </w:tabs>
        <w:ind w:left="1440" w:hanging="180"/>
      </w:pPr>
      <w:rPr>
        <w:rFonts w:cs="Times New Roman"/>
        <w:i w:val="0"/>
      </w:rPr>
    </w:lvl>
    <w:lvl w:ilvl="3" w:tplc="0409000F">
      <w:start w:val="1"/>
      <w:numFmt w:val="decimal"/>
      <w:lvlText w:val="%4."/>
      <w:lvlJc w:val="left"/>
      <w:pPr>
        <w:tabs>
          <w:tab w:val="num" w:pos="2160"/>
        </w:tabs>
        <w:ind w:left="2160" w:hanging="360"/>
      </w:pPr>
      <w:rPr>
        <w:rFonts w:cs="Times New Roman"/>
      </w:rPr>
    </w:lvl>
    <w:lvl w:ilvl="4" w:tplc="04090019">
      <w:start w:val="1"/>
      <w:numFmt w:val="lowerLetter"/>
      <w:lvlText w:val="%5."/>
      <w:lvlJc w:val="left"/>
      <w:pPr>
        <w:tabs>
          <w:tab w:val="num" w:pos="2880"/>
        </w:tabs>
        <w:ind w:left="2880" w:hanging="360"/>
      </w:pPr>
      <w:rPr>
        <w:rFonts w:cs="Times New Roman"/>
      </w:rPr>
    </w:lvl>
    <w:lvl w:ilvl="5" w:tplc="0409001B">
      <w:start w:val="1"/>
      <w:numFmt w:val="lowerRoman"/>
      <w:lvlText w:val="%6."/>
      <w:lvlJc w:val="right"/>
      <w:pPr>
        <w:tabs>
          <w:tab w:val="num" w:pos="3600"/>
        </w:tabs>
        <w:ind w:left="3600" w:hanging="180"/>
      </w:pPr>
      <w:rPr>
        <w:rFonts w:cs="Times New Roman"/>
      </w:rPr>
    </w:lvl>
    <w:lvl w:ilvl="6" w:tplc="0409000F">
      <w:start w:val="1"/>
      <w:numFmt w:val="decimal"/>
      <w:lvlText w:val="%7."/>
      <w:lvlJc w:val="left"/>
      <w:pPr>
        <w:tabs>
          <w:tab w:val="num" w:pos="4320"/>
        </w:tabs>
        <w:ind w:left="4320" w:hanging="360"/>
      </w:pPr>
      <w:rPr>
        <w:rFonts w:cs="Times New Roman"/>
      </w:rPr>
    </w:lvl>
    <w:lvl w:ilvl="7" w:tplc="04090019">
      <w:start w:val="1"/>
      <w:numFmt w:val="lowerLetter"/>
      <w:lvlText w:val="%8."/>
      <w:lvlJc w:val="left"/>
      <w:pPr>
        <w:tabs>
          <w:tab w:val="num" w:pos="5040"/>
        </w:tabs>
        <w:ind w:left="5040" w:hanging="360"/>
      </w:pPr>
      <w:rPr>
        <w:rFonts w:cs="Times New Roman"/>
      </w:rPr>
    </w:lvl>
    <w:lvl w:ilvl="8" w:tplc="0409001B">
      <w:start w:val="1"/>
      <w:numFmt w:val="lowerRoman"/>
      <w:lvlText w:val="%9."/>
      <w:lvlJc w:val="right"/>
      <w:pPr>
        <w:tabs>
          <w:tab w:val="num" w:pos="5760"/>
        </w:tabs>
        <w:ind w:left="5760" w:hanging="180"/>
      </w:pPr>
      <w:rPr>
        <w:rFonts w:cs="Times New Roman"/>
      </w:rPr>
    </w:lvl>
  </w:abstractNum>
  <w:abstractNum w:abstractNumId="28" w15:restartNumberingAfterBreak="0">
    <w:nsid w:val="411B65F2"/>
    <w:multiLevelType w:val="hybridMultilevel"/>
    <w:tmpl w:val="5F022EC6"/>
    <w:lvl w:ilvl="0" w:tplc="08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1B90F5C"/>
    <w:multiLevelType w:val="hybridMultilevel"/>
    <w:tmpl w:val="13FE4BC0"/>
    <w:lvl w:ilvl="0" w:tplc="04090017">
      <w:start w:val="1"/>
      <w:numFmt w:val="lowerLetter"/>
      <w:lvlText w:val="%1)"/>
      <w:lvlJc w:val="left"/>
      <w:pPr>
        <w:tabs>
          <w:tab w:val="num" w:pos="720"/>
        </w:tabs>
        <w:ind w:left="720" w:hanging="360"/>
      </w:pPr>
      <w:rPr>
        <w:b w:val="0"/>
        <w:bCs w:val="0"/>
        <w:sz w:val="22"/>
        <w:szCs w:val="22"/>
      </w:rPr>
    </w:lvl>
    <w:lvl w:ilvl="1" w:tplc="04090003">
      <w:start w:val="1"/>
      <w:numFmt w:val="bullet"/>
      <w:lvlText w:val="o"/>
      <w:lvlJc w:val="left"/>
      <w:pPr>
        <w:tabs>
          <w:tab w:val="num" w:pos="1800"/>
        </w:tabs>
        <w:ind w:left="1800" w:hanging="360"/>
      </w:pPr>
      <w:rPr>
        <w:rFonts w:ascii="Courier New" w:hAnsi="Courier New" w:cs="Times New Roman" w:hint="default"/>
      </w:rPr>
    </w:lvl>
    <w:lvl w:ilvl="2" w:tplc="04090005">
      <w:start w:val="1"/>
      <w:numFmt w:val="bullet"/>
      <w:lvlText w:val=""/>
      <w:lvlJc w:val="left"/>
      <w:pPr>
        <w:tabs>
          <w:tab w:val="num" w:pos="2520"/>
        </w:tabs>
        <w:ind w:left="2520" w:hanging="360"/>
      </w:pPr>
      <w:rPr>
        <w:rFonts w:ascii="Wingdings" w:hAnsi="Wingdings" w:hint="default"/>
      </w:rPr>
    </w:lvl>
    <w:lvl w:ilvl="3" w:tplc="04090001">
      <w:start w:val="1"/>
      <w:numFmt w:val="bullet"/>
      <w:lvlText w:val=""/>
      <w:lvlJc w:val="left"/>
      <w:pPr>
        <w:tabs>
          <w:tab w:val="num" w:pos="3240"/>
        </w:tabs>
        <w:ind w:left="3240" w:hanging="360"/>
      </w:pPr>
      <w:rPr>
        <w:rFonts w:ascii="Symbol" w:hAnsi="Symbol" w:hint="default"/>
      </w:rPr>
    </w:lvl>
    <w:lvl w:ilvl="4" w:tplc="04090003">
      <w:start w:val="1"/>
      <w:numFmt w:val="bullet"/>
      <w:lvlText w:val="o"/>
      <w:lvlJc w:val="left"/>
      <w:pPr>
        <w:tabs>
          <w:tab w:val="num" w:pos="3960"/>
        </w:tabs>
        <w:ind w:left="3960" w:hanging="360"/>
      </w:pPr>
      <w:rPr>
        <w:rFonts w:ascii="Courier New" w:hAnsi="Courier New" w:cs="Times New Roman" w:hint="default"/>
      </w:rPr>
    </w:lvl>
    <w:lvl w:ilvl="5" w:tplc="04090005">
      <w:start w:val="1"/>
      <w:numFmt w:val="bullet"/>
      <w:lvlText w:val=""/>
      <w:lvlJc w:val="left"/>
      <w:pPr>
        <w:tabs>
          <w:tab w:val="num" w:pos="4680"/>
        </w:tabs>
        <w:ind w:left="4680" w:hanging="360"/>
      </w:pPr>
      <w:rPr>
        <w:rFonts w:ascii="Wingdings" w:hAnsi="Wingdings" w:hint="default"/>
      </w:rPr>
    </w:lvl>
    <w:lvl w:ilvl="6" w:tplc="04090001">
      <w:start w:val="1"/>
      <w:numFmt w:val="bullet"/>
      <w:lvlText w:val=""/>
      <w:lvlJc w:val="left"/>
      <w:pPr>
        <w:tabs>
          <w:tab w:val="num" w:pos="5400"/>
        </w:tabs>
        <w:ind w:left="5400" w:hanging="360"/>
      </w:pPr>
      <w:rPr>
        <w:rFonts w:ascii="Symbol" w:hAnsi="Symbol" w:hint="default"/>
      </w:rPr>
    </w:lvl>
    <w:lvl w:ilvl="7" w:tplc="04090003">
      <w:start w:val="1"/>
      <w:numFmt w:val="bullet"/>
      <w:lvlText w:val="o"/>
      <w:lvlJc w:val="left"/>
      <w:pPr>
        <w:tabs>
          <w:tab w:val="num" w:pos="6120"/>
        </w:tabs>
        <w:ind w:left="6120" w:hanging="360"/>
      </w:pPr>
      <w:rPr>
        <w:rFonts w:ascii="Courier New" w:hAnsi="Courier New" w:cs="Times New Roman" w:hint="default"/>
      </w:rPr>
    </w:lvl>
    <w:lvl w:ilvl="8" w:tplc="04090005">
      <w:start w:val="1"/>
      <w:numFmt w:val="bullet"/>
      <w:lvlText w:val=""/>
      <w:lvlJc w:val="left"/>
      <w:pPr>
        <w:tabs>
          <w:tab w:val="num" w:pos="6840"/>
        </w:tabs>
        <w:ind w:left="6840" w:hanging="360"/>
      </w:pPr>
      <w:rPr>
        <w:rFonts w:ascii="Wingdings" w:hAnsi="Wingdings" w:hint="default"/>
      </w:rPr>
    </w:lvl>
  </w:abstractNum>
  <w:abstractNum w:abstractNumId="30" w15:restartNumberingAfterBreak="0">
    <w:nsid w:val="444300F3"/>
    <w:multiLevelType w:val="hybridMultilevel"/>
    <w:tmpl w:val="10ACDBC4"/>
    <w:lvl w:ilvl="0" w:tplc="0409000F">
      <w:start w:val="1"/>
      <w:numFmt w:val="decimal"/>
      <w:lvlText w:val="%1."/>
      <w:lvlJc w:val="left"/>
      <w:pPr>
        <w:tabs>
          <w:tab w:val="num" w:pos="720"/>
        </w:tabs>
        <w:ind w:left="720" w:hanging="360"/>
      </w:pPr>
      <w:rPr>
        <w:rFonts w:cs="Times New Roman"/>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31" w15:restartNumberingAfterBreak="0">
    <w:nsid w:val="45B60F98"/>
    <w:multiLevelType w:val="hybridMultilevel"/>
    <w:tmpl w:val="FB28FA70"/>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46840BD8"/>
    <w:multiLevelType w:val="hybridMultilevel"/>
    <w:tmpl w:val="9F340ED6"/>
    <w:lvl w:ilvl="0" w:tplc="04090017">
      <w:start w:val="1"/>
      <w:numFmt w:val="lowerLetter"/>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18060714">
      <w:start w:val="1"/>
      <w:numFmt w:val="upperRoman"/>
      <w:lvlText w:val="%3."/>
      <w:lvlJc w:val="left"/>
      <w:pPr>
        <w:ind w:left="2700" w:hanging="720"/>
      </w:pPr>
      <w:rPr>
        <w:rFonts w:hint="default"/>
      </w:rPr>
    </w:lvl>
    <w:lvl w:ilvl="3" w:tplc="8FCAE178">
      <w:start w:val="1"/>
      <w:numFmt w:val="upperLetter"/>
      <w:lvlText w:val="%4."/>
      <w:lvlJc w:val="left"/>
      <w:pPr>
        <w:ind w:left="2880" w:hanging="360"/>
      </w:pPr>
      <w:rPr>
        <w:rFonts w:hint="default"/>
      </w:rPr>
    </w:lvl>
    <w:lvl w:ilvl="4" w:tplc="3294D0D2">
      <w:start w:val="4"/>
      <w:numFmt w:val="decimal"/>
      <w:lvlText w:val="%5"/>
      <w:lvlJc w:val="left"/>
      <w:pPr>
        <w:ind w:left="3600" w:hanging="360"/>
      </w:pPr>
      <w:rPr>
        <w:rFonts w:eastAsiaTheme="minorHAnsi" w:hint="default"/>
      </w:rPr>
    </w:lvl>
    <w:lvl w:ilvl="5" w:tplc="E0E2F6A8">
      <w:start w:val="1"/>
      <w:numFmt w:val="decimal"/>
      <w:lvlText w:val="%6-"/>
      <w:lvlJc w:val="left"/>
      <w:pPr>
        <w:ind w:left="4500" w:hanging="360"/>
      </w:pPr>
      <w:rPr>
        <w:rFonts w:hint="default"/>
      </w:r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15:restartNumberingAfterBreak="0">
    <w:nsid w:val="48AC36A4"/>
    <w:multiLevelType w:val="hybridMultilevel"/>
    <w:tmpl w:val="031A5C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4A9A40EB"/>
    <w:multiLevelType w:val="hybridMultilevel"/>
    <w:tmpl w:val="15FEFDC0"/>
    <w:lvl w:ilvl="0" w:tplc="40DC97A2">
      <w:start w:val="1"/>
      <w:numFmt w:val="lowerLetter"/>
      <w:lvlText w:val="%1)"/>
      <w:lvlJc w:val="left"/>
      <w:pPr>
        <w:ind w:left="1352"/>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6310B0C8">
      <w:start w:val="1"/>
      <w:numFmt w:val="lowerRoman"/>
      <w:lvlText w:val="%2."/>
      <w:lvlJc w:val="left"/>
      <w:pPr>
        <w:ind w:left="17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76980DB6">
      <w:start w:val="1"/>
      <w:numFmt w:val="lowerRoman"/>
      <w:lvlText w:val="%3"/>
      <w:lvlJc w:val="left"/>
      <w:pPr>
        <w:ind w:left="222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478C37DA">
      <w:start w:val="1"/>
      <w:numFmt w:val="decimal"/>
      <w:lvlText w:val="%4"/>
      <w:lvlJc w:val="left"/>
      <w:pPr>
        <w:ind w:left="294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59AE026">
      <w:start w:val="1"/>
      <w:numFmt w:val="lowerLetter"/>
      <w:lvlText w:val="%5"/>
      <w:lvlJc w:val="left"/>
      <w:pPr>
        <w:ind w:left="366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B27838D2">
      <w:start w:val="1"/>
      <w:numFmt w:val="lowerRoman"/>
      <w:lvlText w:val="%6"/>
      <w:lvlJc w:val="left"/>
      <w:pPr>
        <w:ind w:left="438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1EB2FE9A">
      <w:start w:val="1"/>
      <w:numFmt w:val="decimal"/>
      <w:lvlText w:val="%7"/>
      <w:lvlJc w:val="left"/>
      <w:pPr>
        <w:ind w:left="510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60C02B2">
      <w:start w:val="1"/>
      <w:numFmt w:val="lowerLetter"/>
      <w:lvlText w:val="%8"/>
      <w:lvlJc w:val="left"/>
      <w:pPr>
        <w:ind w:left="582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AFC477BE">
      <w:start w:val="1"/>
      <w:numFmt w:val="lowerRoman"/>
      <w:lvlText w:val="%9"/>
      <w:lvlJc w:val="left"/>
      <w:pPr>
        <w:ind w:left="654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35" w15:restartNumberingAfterBreak="0">
    <w:nsid w:val="4E4B5EA0"/>
    <w:multiLevelType w:val="hybridMultilevel"/>
    <w:tmpl w:val="AD089F00"/>
    <w:lvl w:ilvl="0" w:tplc="A05A186E">
      <w:start w:val="1"/>
      <w:numFmt w:val="decimal"/>
      <w:lvlText w:val="%1."/>
      <w:lvlJc w:val="left"/>
      <w:pPr>
        <w:ind w:left="360" w:hanging="360"/>
      </w:pPr>
      <w:rPr>
        <w:rFonts w:hint="default"/>
        <w:b w:val="0"/>
        <w:bCs w:val="0"/>
        <w:i w:val="0"/>
        <w:color w:val="auto"/>
        <w:sz w:val="22"/>
        <w:szCs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6" w15:restartNumberingAfterBreak="0">
    <w:nsid w:val="541E51E0"/>
    <w:multiLevelType w:val="hybridMultilevel"/>
    <w:tmpl w:val="9CCCECF0"/>
    <w:lvl w:ilvl="0" w:tplc="0409000F">
      <w:start w:val="1"/>
      <w:numFmt w:val="decimal"/>
      <w:lvlText w:val="%1."/>
      <w:lvlJc w:val="left"/>
      <w:pPr>
        <w:tabs>
          <w:tab w:val="num" w:pos="360"/>
        </w:tabs>
        <w:ind w:left="360" w:hanging="360"/>
      </w:pPr>
      <w:rPr>
        <w:rFonts w:cs="Times New Roman"/>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37" w15:restartNumberingAfterBreak="0">
    <w:nsid w:val="5B3A020F"/>
    <w:multiLevelType w:val="hybridMultilevel"/>
    <w:tmpl w:val="8B26C8D4"/>
    <w:lvl w:ilvl="0" w:tplc="04090017">
      <w:start w:val="1"/>
      <w:numFmt w:val="lowerLetter"/>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5CE4514C"/>
    <w:multiLevelType w:val="hybridMultilevel"/>
    <w:tmpl w:val="0DBAEFE8"/>
    <w:lvl w:ilvl="0" w:tplc="3A3467FA">
      <w:start w:val="1"/>
      <w:numFmt w:val="decimal"/>
      <w:lvlText w:val="%1."/>
      <w:lvlJc w:val="left"/>
      <w:pPr>
        <w:tabs>
          <w:tab w:val="num" w:pos="4860"/>
        </w:tabs>
        <w:ind w:left="4860" w:hanging="360"/>
      </w:pPr>
      <w:rPr>
        <w:rFonts w:cs="Times New Roman"/>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5D2054A0"/>
    <w:multiLevelType w:val="hybridMultilevel"/>
    <w:tmpl w:val="676E7B5A"/>
    <w:lvl w:ilvl="0" w:tplc="B162A008">
      <w:start w:val="1"/>
      <w:numFmt w:val="decimal"/>
      <w:lvlText w:val="%1."/>
      <w:lvlJc w:val="left"/>
      <w:pPr>
        <w:tabs>
          <w:tab w:val="num" w:pos="426"/>
        </w:tabs>
        <w:ind w:left="426" w:hanging="360"/>
      </w:pPr>
      <w:rPr>
        <w:rFonts w:hint="default"/>
        <w:b w:val="0"/>
        <w:bCs w:val="0"/>
        <w:i w:val="0"/>
        <w:color w:val="auto"/>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8892107"/>
    <w:multiLevelType w:val="hybridMultilevel"/>
    <w:tmpl w:val="165656DA"/>
    <w:lvl w:ilvl="0" w:tplc="39887EE2">
      <w:start w:val="1"/>
      <w:numFmt w:val="decimal"/>
      <w:lvlText w:val="%1."/>
      <w:lvlJc w:val="left"/>
      <w:pPr>
        <w:tabs>
          <w:tab w:val="num" w:pos="426"/>
        </w:tabs>
        <w:ind w:left="426" w:hanging="360"/>
      </w:pPr>
      <w:rPr>
        <w:rFonts w:ascii="Times New Roman" w:eastAsiaTheme="minorHAnsi" w:hAnsi="Times New Roman" w:cs="Times New Roman"/>
        <w:b w:val="0"/>
        <w:bCs w:val="0"/>
        <w:i w:val="0"/>
        <w:color w:val="auto"/>
        <w:sz w:val="22"/>
        <w:szCs w:val="22"/>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04147A1"/>
    <w:multiLevelType w:val="hybridMultilevel"/>
    <w:tmpl w:val="531003C8"/>
    <w:lvl w:ilvl="0" w:tplc="6E9A8F32">
      <w:start w:val="1"/>
      <w:numFmt w:val="decimal"/>
      <w:lvlText w:val="%1."/>
      <w:lvlJc w:val="left"/>
      <w:pPr>
        <w:ind w:left="360" w:hanging="360"/>
      </w:pPr>
      <w:rPr>
        <w:rFonts w:hint="default"/>
        <w:b w:val="0"/>
        <w:bCs w:val="0"/>
        <w:i w:val="0"/>
        <w:color w:val="auto"/>
        <w:sz w:val="24"/>
        <w:szCs w:val="22"/>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2" w15:restartNumberingAfterBreak="0">
    <w:nsid w:val="7AD91F18"/>
    <w:multiLevelType w:val="hybridMultilevel"/>
    <w:tmpl w:val="BCAEED38"/>
    <w:lvl w:ilvl="0" w:tplc="C8C0F640">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3"/>
  </w:num>
  <w:num w:numId="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16"/>
  </w:num>
  <w:num w:numId="5">
    <w:abstractNumId w:val="33"/>
  </w:num>
  <w:num w:numId="6">
    <w:abstractNumId w:val="20"/>
  </w:num>
  <w:num w:numId="7">
    <w:abstractNumId w:val="7"/>
  </w:num>
  <w:num w:numId="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5"/>
  </w:num>
  <w:num w:numId="10">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0"/>
  </w:num>
  <w:num w:numId="14">
    <w:abstractNumId w:val="39"/>
  </w:num>
  <w:num w:numId="15">
    <w:abstractNumId w:val="9"/>
  </w:num>
  <w:num w:numId="16">
    <w:abstractNumId w:val="4"/>
  </w:num>
  <w:num w:numId="17">
    <w:abstractNumId w:val="32"/>
  </w:num>
  <w:num w:numId="18">
    <w:abstractNumId w:val="37"/>
  </w:num>
  <w:num w:numId="19">
    <w:abstractNumId w:val="41"/>
  </w:num>
  <w:num w:numId="20">
    <w:abstractNumId w:val="22"/>
  </w:num>
  <w:num w:numId="21">
    <w:abstractNumId w:val="0"/>
  </w:num>
  <w:num w:numId="22">
    <w:abstractNumId w:val="42"/>
  </w:num>
  <w:num w:numId="23">
    <w:abstractNumId w:val="1"/>
  </w:num>
  <w:num w:numId="24">
    <w:abstractNumId w:val="29"/>
  </w:num>
  <w:num w:numId="25">
    <w:abstractNumId w:val="31"/>
  </w:num>
  <w:num w:numId="26">
    <w:abstractNumId w:val="6"/>
  </w:num>
  <w:num w:numId="27">
    <w:abstractNumId w:val="14"/>
  </w:num>
  <w:num w:numId="28">
    <w:abstractNumId w:val="26"/>
  </w:num>
  <w:num w:numId="29">
    <w:abstractNumId w:val="2"/>
  </w:num>
  <w:num w:numId="30">
    <w:abstractNumId w:val="19"/>
  </w:num>
  <w:num w:numId="31">
    <w:abstractNumId w:val="34"/>
  </w:num>
  <w:num w:numId="32">
    <w:abstractNumId w:val="21"/>
  </w:num>
  <w:num w:numId="33">
    <w:abstractNumId w:val="8"/>
  </w:num>
  <w:num w:numId="34">
    <w:abstractNumId w:val="12"/>
  </w:num>
  <w:num w:numId="35">
    <w:abstractNumId w:val="17"/>
  </w:num>
  <w:num w:numId="36">
    <w:abstractNumId w:val="15"/>
  </w:num>
  <w:num w:numId="37">
    <w:abstractNumId w:val="25"/>
  </w:num>
  <w:num w:numId="38">
    <w:abstractNumId w:val="23"/>
  </w:num>
  <w:num w:numId="39">
    <w:abstractNumId w:val="24"/>
  </w:num>
  <w:num w:numId="40">
    <w:abstractNumId w:val="18"/>
  </w:num>
  <w:num w:numId="41">
    <w:abstractNumId w:val="11"/>
  </w:num>
  <w:num w:numId="42">
    <w:abstractNumId w:val="38"/>
  </w:num>
  <w:num w:numId="43">
    <w:abstractNumId w:val="28"/>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removePersonalInformation/>
  <w:removeDateAndTime/>
  <w:defaultTabStop w:val="720"/>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32329"/>
    <w:rsid w:val="000005F4"/>
    <w:rsid w:val="0000193D"/>
    <w:rsid w:val="00003E38"/>
    <w:rsid w:val="00003E75"/>
    <w:rsid w:val="00007875"/>
    <w:rsid w:val="00016FA6"/>
    <w:rsid w:val="00022852"/>
    <w:rsid w:val="000233DA"/>
    <w:rsid w:val="00024698"/>
    <w:rsid w:val="000248C1"/>
    <w:rsid w:val="00026A5B"/>
    <w:rsid w:val="00030654"/>
    <w:rsid w:val="00032B02"/>
    <w:rsid w:val="0003491A"/>
    <w:rsid w:val="00036EF0"/>
    <w:rsid w:val="000407F4"/>
    <w:rsid w:val="000411F4"/>
    <w:rsid w:val="000423B6"/>
    <w:rsid w:val="0005473D"/>
    <w:rsid w:val="00055C9E"/>
    <w:rsid w:val="00070C25"/>
    <w:rsid w:val="00070D6B"/>
    <w:rsid w:val="0007178F"/>
    <w:rsid w:val="00073F88"/>
    <w:rsid w:val="000772C0"/>
    <w:rsid w:val="000776A6"/>
    <w:rsid w:val="00081AC0"/>
    <w:rsid w:val="0008479A"/>
    <w:rsid w:val="00084D48"/>
    <w:rsid w:val="0008614F"/>
    <w:rsid w:val="000A2B12"/>
    <w:rsid w:val="000A463A"/>
    <w:rsid w:val="000A66B2"/>
    <w:rsid w:val="000A7118"/>
    <w:rsid w:val="000A7121"/>
    <w:rsid w:val="000B0B31"/>
    <w:rsid w:val="000B444F"/>
    <w:rsid w:val="000C1396"/>
    <w:rsid w:val="000C38BE"/>
    <w:rsid w:val="000C77D3"/>
    <w:rsid w:val="000D1AB2"/>
    <w:rsid w:val="000D3EDC"/>
    <w:rsid w:val="000D54EA"/>
    <w:rsid w:val="000D5F11"/>
    <w:rsid w:val="000D7187"/>
    <w:rsid w:val="000E0B93"/>
    <w:rsid w:val="000E2D09"/>
    <w:rsid w:val="000E4CFC"/>
    <w:rsid w:val="000F2B3B"/>
    <w:rsid w:val="000F4A33"/>
    <w:rsid w:val="000F53CD"/>
    <w:rsid w:val="00103BBB"/>
    <w:rsid w:val="001041A8"/>
    <w:rsid w:val="0010432A"/>
    <w:rsid w:val="00106873"/>
    <w:rsid w:val="00110935"/>
    <w:rsid w:val="00113582"/>
    <w:rsid w:val="0011554A"/>
    <w:rsid w:val="001310B1"/>
    <w:rsid w:val="001333A1"/>
    <w:rsid w:val="00133A31"/>
    <w:rsid w:val="0013784A"/>
    <w:rsid w:val="0014184A"/>
    <w:rsid w:val="00145812"/>
    <w:rsid w:val="001463B7"/>
    <w:rsid w:val="001520FD"/>
    <w:rsid w:val="001608D5"/>
    <w:rsid w:val="00163648"/>
    <w:rsid w:val="001638B9"/>
    <w:rsid w:val="00165310"/>
    <w:rsid w:val="001728CA"/>
    <w:rsid w:val="001749B9"/>
    <w:rsid w:val="0018108C"/>
    <w:rsid w:val="00187E4E"/>
    <w:rsid w:val="001910AD"/>
    <w:rsid w:val="00191CE1"/>
    <w:rsid w:val="00193A14"/>
    <w:rsid w:val="001951E7"/>
    <w:rsid w:val="001A0A5A"/>
    <w:rsid w:val="001A25FA"/>
    <w:rsid w:val="001A77B6"/>
    <w:rsid w:val="001B5EF1"/>
    <w:rsid w:val="001B77F5"/>
    <w:rsid w:val="001C007B"/>
    <w:rsid w:val="001C2DAF"/>
    <w:rsid w:val="001C43D1"/>
    <w:rsid w:val="001C53A2"/>
    <w:rsid w:val="001C6F2A"/>
    <w:rsid w:val="001D058A"/>
    <w:rsid w:val="001D60AD"/>
    <w:rsid w:val="001D646F"/>
    <w:rsid w:val="001E21CC"/>
    <w:rsid w:val="001E3094"/>
    <w:rsid w:val="001E3B07"/>
    <w:rsid w:val="001E71EC"/>
    <w:rsid w:val="001F3D35"/>
    <w:rsid w:val="001F48E9"/>
    <w:rsid w:val="001F5E9E"/>
    <w:rsid w:val="001F73B0"/>
    <w:rsid w:val="00201A89"/>
    <w:rsid w:val="00202382"/>
    <w:rsid w:val="0020457B"/>
    <w:rsid w:val="00204C75"/>
    <w:rsid w:val="0020557A"/>
    <w:rsid w:val="0021043C"/>
    <w:rsid w:val="00211F70"/>
    <w:rsid w:val="00213965"/>
    <w:rsid w:val="00215B16"/>
    <w:rsid w:val="00217F41"/>
    <w:rsid w:val="00220BFA"/>
    <w:rsid w:val="00222304"/>
    <w:rsid w:val="00222498"/>
    <w:rsid w:val="00223609"/>
    <w:rsid w:val="0022419F"/>
    <w:rsid w:val="00227116"/>
    <w:rsid w:val="00231459"/>
    <w:rsid w:val="00232167"/>
    <w:rsid w:val="00234105"/>
    <w:rsid w:val="00241D18"/>
    <w:rsid w:val="00244236"/>
    <w:rsid w:val="002442E5"/>
    <w:rsid w:val="00245965"/>
    <w:rsid w:val="002472D8"/>
    <w:rsid w:val="002473BA"/>
    <w:rsid w:val="00250916"/>
    <w:rsid w:val="002615E8"/>
    <w:rsid w:val="00261AC5"/>
    <w:rsid w:val="00263D2F"/>
    <w:rsid w:val="00264416"/>
    <w:rsid w:val="00267231"/>
    <w:rsid w:val="00273B6A"/>
    <w:rsid w:val="002764E7"/>
    <w:rsid w:val="00276E9D"/>
    <w:rsid w:val="0027707F"/>
    <w:rsid w:val="00280BE8"/>
    <w:rsid w:val="00280E96"/>
    <w:rsid w:val="0028127C"/>
    <w:rsid w:val="0028249E"/>
    <w:rsid w:val="002910B5"/>
    <w:rsid w:val="00293D38"/>
    <w:rsid w:val="00294A96"/>
    <w:rsid w:val="002A1CA0"/>
    <w:rsid w:val="002A202B"/>
    <w:rsid w:val="002A3F80"/>
    <w:rsid w:val="002B0FC2"/>
    <w:rsid w:val="002B25E7"/>
    <w:rsid w:val="002B2840"/>
    <w:rsid w:val="002B50FF"/>
    <w:rsid w:val="002C2EDE"/>
    <w:rsid w:val="002C3123"/>
    <w:rsid w:val="002C6589"/>
    <w:rsid w:val="002D40DB"/>
    <w:rsid w:val="002D6291"/>
    <w:rsid w:val="002E793B"/>
    <w:rsid w:val="002F10F4"/>
    <w:rsid w:val="002F6B87"/>
    <w:rsid w:val="002F6CE2"/>
    <w:rsid w:val="002F6DBF"/>
    <w:rsid w:val="003001DE"/>
    <w:rsid w:val="003007D6"/>
    <w:rsid w:val="003012BE"/>
    <w:rsid w:val="003026EB"/>
    <w:rsid w:val="00305212"/>
    <w:rsid w:val="00306044"/>
    <w:rsid w:val="00310714"/>
    <w:rsid w:val="00313C3C"/>
    <w:rsid w:val="003214B8"/>
    <w:rsid w:val="00322F3E"/>
    <w:rsid w:val="00327222"/>
    <w:rsid w:val="0032752F"/>
    <w:rsid w:val="00327F1B"/>
    <w:rsid w:val="003304D0"/>
    <w:rsid w:val="00332329"/>
    <w:rsid w:val="00337E7D"/>
    <w:rsid w:val="0034053B"/>
    <w:rsid w:val="003415DF"/>
    <w:rsid w:val="00341BCD"/>
    <w:rsid w:val="00342FEA"/>
    <w:rsid w:val="003435BC"/>
    <w:rsid w:val="00345F33"/>
    <w:rsid w:val="003519C3"/>
    <w:rsid w:val="0035716F"/>
    <w:rsid w:val="00357615"/>
    <w:rsid w:val="00360FE6"/>
    <w:rsid w:val="00362568"/>
    <w:rsid w:val="00363AFA"/>
    <w:rsid w:val="00363D80"/>
    <w:rsid w:val="00364DEF"/>
    <w:rsid w:val="00370AE8"/>
    <w:rsid w:val="0037470A"/>
    <w:rsid w:val="00374B45"/>
    <w:rsid w:val="003822DE"/>
    <w:rsid w:val="003847D1"/>
    <w:rsid w:val="00385178"/>
    <w:rsid w:val="00385299"/>
    <w:rsid w:val="003855E4"/>
    <w:rsid w:val="0039710B"/>
    <w:rsid w:val="00397221"/>
    <w:rsid w:val="003A05C8"/>
    <w:rsid w:val="003A08C2"/>
    <w:rsid w:val="003A1991"/>
    <w:rsid w:val="003A227B"/>
    <w:rsid w:val="003A2DCD"/>
    <w:rsid w:val="003A62F9"/>
    <w:rsid w:val="003B3BF2"/>
    <w:rsid w:val="003B3FA3"/>
    <w:rsid w:val="003B7FE8"/>
    <w:rsid w:val="003C238D"/>
    <w:rsid w:val="003C400B"/>
    <w:rsid w:val="003C438A"/>
    <w:rsid w:val="003C4E62"/>
    <w:rsid w:val="003D017C"/>
    <w:rsid w:val="003D1F7C"/>
    <w:rsid w:val="003D3884"/>
    <w:rsid w:val="003D622B"/>
    <w:rsid w:val="003E1015"/>
    <w:rsid w:val="003E3298"/>
    <w:rsid w:val="003E6DF2"/>
    <w:rsid w:val="003E7A5C"/>
    <w:rsid w:val="003E7FB6"/>
    <w:rsid w:val="003F4827"/>
    <w:rsid w:val="003F77D6"/>
    <w:rsid w:val="00400277"/>
    <w:rsid w:val="00407451"/>
    <w:rsid w:val="004113B8"/>
    <w:rsid w:val="0041457A"/>
    <w:rsid w:val="00417C40"/>
    <w:rsid w:val="00420E0C"/>
    <w:rsid w:val="0042524D"/>
    <w:rsid w:val="00426018"/>
    <w:rsid w:val="00426A8E"/>
    <w:rsid w:val="00433988"/>
    <w:rsid w:val="00434710"/>
    <w:rsid w:val="00440353"/>
    <w:rsid w:val="00440D9D"/>
    <w:rsid w:val="0044560A"/>
    <w:rsid w:val="00453D5F"/>
    <w:rsid w:val="004542FA"/>
    <w:rsid w:val="00455375"/>
    <w:rsid w:val="0046087C"/>
    <w:rsid w:val="0046608C"/>
    <w:rsid w:val="00466C96"/>
    <w:rsid w:val="00470617"/>
    <w:rsid w:val="004712A7"/>
    <w:rsid w:val="004728CE"/>
    <w:rsid w:val="00473BB2"/>
    <w:rsid w:val="00475032"/>
    <w:rsid w:val="004766FB"/>
    <w:rsid w:val="00481B6D"/>
    <w:rsid w:val="004869E8"/>
    <w:rsid w:val="00486D88"/>
    <w:rsid w:val="00490617"/>
    <w:rsid w:val="00491BD9"/>
    <w:rsid w:val="0049270A"/>
    <w:rsid w:val="004A0622"/>
    <w:rsid w:val="004A5D5F"/>
    <w:rsid w:val="004A79AE"/>
    <w:rsid w:val="004B44DE"/>
    <w:rsid w:val="004B7320"/>
    <w:rsid w:val="004C056E"/>
    <w:rsid w:val="004C49D7"/>
    <w:rsid w:val="004C693F"/>
    <w:rsid w:val="004D02BE"/>
    <w:rsid w:val="004D105C"/>
    <w:rsid w:val="004D10BB"/>
    <w:rsid w:val="004D5D4A"/>
    <w:rsid w:val="004D6422"/>
    <w:rsid w:val="004E01E5"/>
    <w:rsid w:val="004E1582"/>
    <w:rsid w:val="004E2277"/>
    <w:rsid w:val="004E4BB4"/>
    <w:rsid w:val="004E6050"/>
    <w:rsid w:val="004E6DD1"/>
    <w:rsid w:val="004E7E39"/>
    <w:rsid w:val="004F4C52"/>
    <w:rsid w:val="004F70E1"/>
    <w:rsid w:val="00501AA0"/>
    <w:rsid w:val="0050497F"/>
    <w:rsid w:val="005138E0"/>
    <w:rsid w:val="005145C1"/>
    <w:rsid w:val="00515F01"/>
    <w:rsid w:val="00520D71"/>
    <w:rsid w:val="0052178A"/>
    <w:rsid w:val="005226B0"/>
    <w:rsid w:val="00526C5C"/>
    <w:rsid w:val="0052748D"/>
    <w:rsid w:val="00532C7B"/>
    <w:rsid w:val="00532CCB"/>
    <w:rsid w:val="0053429F"/>
    <w:rsid w:val="00534C24"/>
    <w:rsid w:val="00535715"/>
    <w:rsid w:val="0053629A"/>
    <w:rsid w:val="00546488"/>
    <w:rsid w:val="005467C0"/>
    <w:rsid w:val="00560980"/>
    <w:rsid w:val="00562972"/>
    <w:rsid w:val="00580150"/>
    <w:rsid w:val="0058615F"/>
    <w:rsid w:val="00586AE3"/>
    <w:rsid w:val="005876B0"/>
    <w:rsid w:val="0058779B"/>
    <w:rsid w:val="00591DC7"/>
    <w:rsid w:val="00592C7C"/>
    <w:rsid w:val="00595432"/>
    <w:rsid w:val="005A1777"/>
    <w:rsid w:val="005A434D"/>
    <w:rsid w:val="005A7D9F"/>
    <w:rsid w:val="005B0F14"/>
    <w:rsid w:val="005B1802"/>
    <w:rsid w:val="005B2A6A"/>
    <w:rsid w:val="005B35E4"/>
    <w:rsid w:val="005B3D4E"/>
    <w:rsid w:val="005B4049"/>
    <w:rsid w:val="005B41BD"/>
    <w:rsid w:val="005B5C77"/>
    <w:rsid w:val="005B6760"/>
    <w:rsid w:val="005C0869"/>
    <w:rsid w:val="005C48D1"/>
    <w:rsid w:val="005C4EF7"/>
    <w:rsid w:val="005D0AC0"/>
    <w:rsid w:val="005D1C95"/>
    <w:rsid w:val="005D7D71"/>
    <w:rsid w:val="005E0D65"/>
    <w:rsid w:val="005E2132"/>
    <w:rsid w:val="005E4E28"/>
    <w:rsid w:val="005F5755"/>
    <w:rsid w:val="005F5CA4"/>
    <w:rsid w:val="006002D4"/>
    <w:rsid w:val="006003AE"/>
    <w:rsid w:val="00605893"/>
    <w:rsid w:val="00605E4C"/>
    <w:rsid w:val="006110DE"/>
    <w:rsid w:val="00612C1F"/>
    <w:rsid w:val="0061331E"/>
    <w:rsid w:val="006151EC"/>
    <w:rsid w:val="00624B7A"/>
    <w:rsid w:val="00624EF3"/>
    <w:rsid w:val="00626366"/>
    <w:rsid w:val="00627054"/>
    <w:rsid w:val="00632B6F"/>
    <w:rsid w:val="00633385"/>
    <w:rsid w:val="0063469C"/>
    <w:rsid w:val="00641048"/>
    <w:rsid w:val="00643632"/>
    <w:rsid w:val="00643752"/>
    <w:rsid w:val="006452BB"/>
    <w:rsid w:val="0064687F"/>
    <w:rsid w:val="00650438"/>
    <w:rsid w:val="00650995"/>
    <w:rsid w:val="006546CA"/>
    <w:rsid w:val="0065546D"/>
    <w:rsid w:val="00661EEF"/>
    <w:rsid w:val="00663000"/>
    <w:rsid w:val="00666914"/>
    <w:rsid w:val="0067155A"/>
    <w:rsid w:val="00671FD3"/>
    <w:rsid w:val="00672189"/>
    <w:rsid w:val="006728B6"/>
    <w:rsid w:val="0067303B"/>
    <w:rsid w:val="00675E3A"/>
    <w:rsid w:val="00682335"/>
    <w:rsid w:val="00687FAA"/>
    <w:rsid w:val="006933E4"/>
    <w:rsid w:val="006958EB"/>
    <w:rsid w:val="00697595"/>
    <w:rsid w:val="006B188B"/>
    <w:rsid w:val="006B2FEA"/>
    <w:rsid w:val="006B6E27"/>
    <w:rsid w:val="006B7D4D"/>
    <w:rsid w:val="006C0A85"/>
    <w:rsid w:val="006C18FE"/>
    <w:rsid w:val="006C2832"/>
    <w:rsid w:val="006C5477"/>
    <w:rsid w:val="006C619C"/>
    <w:rsid w:val="006C6ED4"/>
    <w:rsid w:val="006C781D"/>
    <w:rsid w:val="006D109C"/>
    <w:rsid w:val="006D1771"/>
    <w:rsid w:val="006D4105"/>
    <w:rsid w:val="006D419E"/>
    <w:rsid w:val="006D5CC5"/>
    <w:rsid w:val="006D622F"/>
    <w:rsid w:val="006E0D70"/>
    <w:rsid w:val="006E3126"/>
    <w:rsid w:val="006E43E5"/>
    <w:rsid w:val="006E604F"/>
    <w:rsid w:val="006E74DF"/>
    <w:rsid w:val="006F2156"/>
    <w:rsid w:val="006F2B17"/>
    <w:rsid w:val="006F4DD4"/>
    <w:rsid w:val="006F79BA"/>
    <w:rsid w:val="00701E34"/>
    <w:rsid w:val="00702485"/>
    <w:rsid w:val="007025B0"/>
    <w:rsid w:val="00703CD4"/>
    <w:rsid w:val="007061E6"/>
    <w:rsid w:val="0071243F"/>
    <w:rsid w:val="00715CBC"/>
    <w:rsid w:val="00716CA7"/>
    <w:rsid w:val="007173A8"/>
    <w:rsid w:val="007173B0"/>
    <w:rsid w:val="007201CE"/>
    <w:rsid w:val="007215A2"/>
    <w:rsid w:val="0073289D"/>
    <w:rsid w:val="00742B1E"/>
    <w:rsid w:val="00744CAD"/>
    <w:rsid w:val="00754463"/>
    <w:rsid w:val="007579D5"/>
    <w:rsid w:val="00761183"/>
    <w:rsid w:val="00763CDF"/>
    <w:rsid w:val="00774B68"/>
    <w:rsid w:val="00781C87"/>
    <w:rsid w:val="00782012"/>
    <w:rsid w:val="007826F9"/>
    <w:rsid w:val="00783544"/>
    <w:rsid w:val="0078427B"/>
    <w:rsid w:val="00784741"/>
    <w:rsid w:val="00785A8C"/>
    <w:rsid w:val="007946D9"/>
    <w:rsid w:val="00794820"/>
    <w:rsid w:val="007950F0"/>
    <w:rsid w:val="00796184"/>
    <w:rsid w:val="007978C8"/>
    <w:rsid w:val="007A2432"/>
    <w:rsid w:val="007A2ED5"/>
    <w:rsid w:val="007A5F1B"/>
    <w:rsid w:val="007A70B5"/>
    <w:rsid w:val="007A786F"/>
    <w:rsid w:val="007B41F5"/>
    <w:rsid w:val="007C37AB"/>
    <w:rsid w:val="007D027B"/>
    <w:rsid w:val="007D1736"/>
    <w:rsid w:val="007D4169"/>
    <w:rsid w:val="007E0FA9"/>
    <w:rsid w:val="007E2111"/>
    <w:rsid w:val="007E332F"/>
    <w:rsid w:val="007E3E7E"/>
    <w:rsid w:val="007E473F"/>
    <w:rsid w:val="007F2B56"/>
    <w:rsid w:val="007F6340"/>
    <w:rsid w:val="007F649F"/>
    <w:rsid w:val="008014C6"/>
    <w:rsid w:val="0080251F"/>
    <w:rsid w:val="00806837"/>
    <w:rsid w:val="0080717E"/>
    <w:rsid w:val="008102BF"/>
    <w:rsid w:val="00810B8A"/>
    <w:rsid w:val="00815E36"/>
    <w:rsid w:val="00816230"/>
    <w:rsid w:val="00816AEA"/>
    <w:rsid w:val="00820C75"/>
    <w:rsid w:val="00822942"/>
    <w:rsid w:val="008260A0"/>
    <w:rsid w:val="0083306E"/>
    <w:rsid w:val="00835684"/>
    <w:rsid w:val="00836DC1"/>
    <w:rsid w:val="00844272"/>
    <w:rsid w:val="00844EB5"/>
    <w:rsid w:val="008455CE"/>
    <w:rsid w:val="00846B14"/>
    <w:rsid w:val="00847389"/>
    <w:rsid w:val="0085064D"/>
    <w:rsid w:val="00851785"/>
    <w:rsid w:val="00851CE2"/>
    <w:rsid w:val="00853724"/>
    <w:rsid w:val="008603F3"/>
    <w:rsid w:val="00860DCF"/>
    <w:rsid w:val="00861A5C"/>
    <w:rsid w:val="008636E8"/>
    <w:rsid w:val="0086444A"/>
    <w:rsid w:val="008648A5"/>
    <w:rsid w:val="00865172"/>
    <w:rsid w:val="008655BC"/>
    <w:rsid w:val="008707F3"/>
    <w:rsid w:val="00870DFE"/>
    <w:rsid w:val="00871415"/>
    <w:rsid w:val="008725A6"/>
    <w:rsid w:val="00873BFB"/>
    <w:rsid w:val="00875F25"/>
    <w:rsid w:val="00881550"/>
    <w:rsid w:val="00881903"/>
    <w:rsid w:val="00881986"/>
    <w:rsid w:val="008839DB"/>
    <w:rsid w:val="00885F27"/>
    <w:rsid w:val="00886A8B"/>
    <w:rsid w:val="00886DE8"/>
    <w:rsid w:val="0089290A"/>
    <w:rsid w:val="00895851"/>
    <w:rsid w:val="008A0E4E"/>
    <w:rsid w:val="008A25B1"/>
    <w:rsid w:val="008A520B"/>
    <w:rsid w:val="008A5AC7"/>
    <w:rsid w:val="008B0353"/>
    <w:rsid w:val="008B44AA"/>
    <w:rsid w:val="008B5922"/>
    <w:rsid w:val="008B5B11"/>
    <w:rsid w:val="008C16EE"/>
    <w:rsid w:val="008C397A"/>
    <w:rsid w:val="008C44F6"/>
    <w:rsid w:val="008C535F"/>
    <w:rsid w:val="008C5A32"/>
    <w:rsid w:val="008C7CDB"/>
    <w:rsid w:val="008D76A3"/>
    <w:rsid w:val="008E0505"/>
    <w:rsid w:val="008E0CC8"/>
    <w:rsid w:val="008E646B"/>
    <w:rsid w:val="008E7118"/>
    <w:rsid w:val="008F0158"/>
    <w:rsid w:val="00902331"/>
    <w:rsid w:val="00904CB5"/>
    <w:rsid w:val="00910A65"/>
    <w:rsid w:val="0091209E"/>
    <w:rsid w:val="009140A0"/>
    <w:rsid w:val="009147F3"/>
    <w:rsid w:val="0091668E"/>
    <w:rsid w:val="00920A68"/>
    <w:rsid w:val="00920BF8"/>
    <w:rsid w:val="009224F8"/>
    <w:rsid w:val="00922924"/>
    <w:rsid w:val="00923176"/>
    <w:rsid w:val="00925630"/>
    <w:rsid w:val="00926A20"/>
    <w:rsid w:val="00926F5B"/>
    <w:rsid w:val="00934A36"/>
    <w:rsid w:val="00941DB2"/>
    <w:rsid w:val="00942C6F"/>
    <w:rsid w:val="00943F42"/>
    <w:rsid w:val="009451EF"/>
    <w:rsid w:val="0095093A"/>
    <w:rsid w:val="00954E3D"/>
    <w:rsid w:val="009574DA"/>
    <w:rsid w:val="0095756C"/>
    <w:rsid w:val="00957645"/>
    <w:rsid w:val="00960B79"/>
    <w:rsid w:val="00961056"/>
    <w:rsid w:val="00967058"/>
    <w:rsid w:val="00967300"/>
    <w:rsid w:val="00967507"/>
    <w:rsid w:val="0097060D"/>
    <w:rsid w:val="00970DDB"/>
    <w:rsid w:val="009751BF"/>
    <w:rsid w:val="00980F51"/>
    <w:rsid w:val="00981029"/>
    <w:rsid w:val="00981316"/>
    <w:rsid w:val="00981857"/>
    <w:rsid w:val="0098307F"/>
    <w:rsid w:val="009879A5"/>
    <w:rsid w:val="00991DEB"/>
    <w:rsid w:val="00991FE1"/>
    <w:rsid w:val="0099451C"/>
    <w:rsid w:val="00994DE2"/>
    <w:rsid w:val="009A0A30"/>
    <w:rsid w:val="009A193A"/>
    <w:rsid w:val="009A1A21"/>
    <w:rsid w:val="009A2DAE"/>
    <w:rsid w:val="009A57FD"/>
    <w:rsid w:val="009A6D6D"/>
    <w:rsid w:val="009A6FF5"/>
    <w:rsid w:val="009B2BC3"/>
    <w:rsid w:val="009C4A81"/>
    <w:rsid w:val="009C5553"/>
    <w:rsid w:val="009C55B2"/>
    <w:rsid w:val="009D0ED2"/>
    <w:rsid w:val="009D125A"/>
    <w:rsid w:val="009D3665"/>
    <w:rsid w:val="009D45E9"/>
    <w:rsid w:val="009D5E99"/>
    <w:rsid w:val="009D7C8A"/>
    <w:rsid w:val="009E1923"/>
    <w:rsid w:val="009E1C28"/>
    <w:rsid w:val="009E23AF"/>
    <w:rsid w:val="009E4850"/>
    <w:rsid w:val="009E589D"/>
    <w:rsid w:val="009E7E1C"/>
    <w:rsid w:val="009E7EA8"/>
    <w:rsid w:val="009F1517"/>
    <w:rsid w:val="009F3969"/>
    <w:rsid w:val="009F7171"/>
    <w:rsid w:val="009F7201"/>
    <w:rsid w:val="009F78F3"/>
    <w:rsid w:val="00A06C4F"/>
    <w:rsid w:val="00A07358"/>
    <w:rsid w:val="00A1022E"/>
    <w:rsid w:val="00A14D54"/>
    <w:rsid w:val="00A16D86"/>
    <w:rsid w:val="00A20402"/>
    <w:rsid w:val="00A22E76"/>
    <w:rsid w:val="00A238A1"/>
    <w:rsid w:val="00A24477"/>
    <w:rsid w:val="00A24A98"/>
    <w:rsid w:val="00A25F98"/>
    <w:rsid w:val="00A30D50"/>
    <w:rsid w:val="00A31FD8"/>
    <w:rsid w:val="00A34F8D"/>
    <w:rsid w:val="00A364E1"/>
    <w:rsid w:val="00A4007A"/>
    <w:rsid w:val="00A45352"/>
    <w:rsid w:val="00A45514"/>
    <w:rsid w:val="00A46791"/>
    <w:rsid w:val="00A52627"/>
    <w:rsid w:val="00A5429F"/>
    <w:rsid w:val="00A54894"/>
    <w:rsid w:val="00A56113"/>
    <w:rsid w:val="00A56390"/>
    <w:rsid w:val="00A574A8"/>
    <w:rsid w:val="00A6064F"/>
    <w:rsid w:val="00A60A21"/>
    <w:rsid w:val="00A618FF"/>
    <w:rsid w:val="00A619CC"/>
    <w:rsid w:val="00A65C66"/>
    <w:rsid w:val="00A72FD6"/>
    <w:rsid w:val="00A7546D"/>
    <w:rsid w:val="00A82E62"/>
    <w:rsid w:val="00A83672"/>
    <w:rsid w:val="00A91C6F"/>
    <w:rsid w:val="00AA0B8C"/>
    <w:rsid w:val="00AA2005"/>
    <w:rsid w:val="00AA2E59"/>
    <w:rsid w:val="00AA2EB4"/>
    <w:rsid w:val="00AA3972"/>
    <w:rsid w:val="00AA547F"/>
    <w:rsid w:val="00AA5D0B"/>
    <w:rsid w:val="00AA6483"/>
    <w:rsid w:val="00AA71EC"/>
    <w:rsid w:val="00AA7782"/>
    <w:rsid w:val="00AA790A"/>
    <w:rsid w:val="00AB270D"/>
    <w:rsid w:val="00AB27A8"/>
    <w:rsid w:val="00AC0B41"/>
    <w:rsid w:val="00AC0D50"/>
    <w:rsid w:val="00AC123B"/>
    <w:rsid w:val="00AC5135"/>
    <w:rsid w:val="00AD0BC2"/>
    <w:rsid w:val="00AD16D0"/>
    <w:rsid w:val="00AD2A4C"/>
    <w:rsid w:val="00AD4097"/>
    <w:rsid w:val="00AD4751"/>
    <w:rsid w:val="00AD68EB"/>
    <w:rsid w:val="00AE0183"/>
    <w:rsid w:val="00AE0C0E"/>
    <w:rsid w:val="00AE3F08"/>
    <w:rsid w:val="00AE5692"/>
    <w:rsid w:val="00AE57C6"/>
    <w:rsid w:val="00AF0578"/>
    <w:rsid w:val="00AF107E"/>
    <w:rsid w:val="00AF25F9"/>
    <w:rsid w:val="00AF71BC"/>
    <w:rsid w:val="00B000D4"/>
    <w:rsid w:val="00B00B5D"/>
    <w:rsid w:val="00B11B1F"/>
    <w:rsid w:val="00B12A82"/>
    <w:rsid w:val="00B14799"/>
    <w:rsid w:val="00B212D1"/>
    <w:rsid w:val="00B21F9C"/>
    <w:rsid w:val="00B24296"/>
    <w:rsid w:val="00B25125"/>
    <w:rsid w:val="00B25F6F"/>
    <w:rsid w:val="00B267B9"/>
    <w:rsid w:val="00B3052E"/>
    <w:rsid w:val="00B3128A"/>
    <w:rsid w:val="00B314A0"/>
    <w:rsid w:val="00B3617F"/>
    <w:rsid w:val="00B364A7"/>
    <w:rsid w:val="00B36E50"/>
    <w:rsid w:val="00B45BC9"/>
    <w:rsid w:val="00B468D2"/>
    <w:rsid w:val="00B47517"/>
    <w:rsid w:val="00B52622"/>
    <w:rsid w:val="00B535F9"/>
    <w:rsid w:val="00B53769"/>
    <w:rsid w:val="00B56D32"/>
    <w:rsid w:val="00B57AA0"/>
    <w:rsid w:val="00B6307B"/>
    <w:rsid w:val="00B71E95"/>
    <w:rsid w:val="00B7470A"/>
    <w:rsid w:val="00B75C32"/>
    <w:rsid w:val="00B803E7"/>
    <w:rsid w:val="00B82927"/>
    <w:rsid w:val="00B83689"/>
    <w:rsid w:val="00B8563C"/>
    <w:rsid w:val="00B941C5"/>
    <w:rsid w:val="00B95B58"/>
    <w:rsid w:val="00B95FAA"/>
    <w:rsid w:val="00B96682"/>
    <w:rsid w:val="00BA362E"/>
    <w:rsid w:val="00BA4756"/>
    <w:rsid w:val="00BB3888"/>
    <w:rsid w:val="00BB3D7A"/>
    <w:rsid w:val="00BB57F7"/>
    <w:rsid w:val="00BC0C67"/>
    <w:rsid w:val="00BC20B2"/>
    <w:rsid w:val="00BC3288"/>
    <w:rsid w:val="00BC5724"/>
    <w:rsid w:val="00BD1C96"/>
    <w:rsid w:val="00BD34EA"/>
    <w:rsid w:val="00BD3C7F"/>
    <w:rsid w:val="00BD402A"/>
    <w:rsid w:val="00BD531E"/>
    <w:rsid w:val="00BD7F19"/>
    <w:rsid w:val="00BE2500"/>
    <w:rsid w:val="00BE6D88"/>
    <w:rsid w:val="00BE7156"/>
    <w:rsid w:val="00BE7409"/>
    <w:rsid w:val="00BF0195"/>
    <w:rsid w:val="00BF2442"/>
    <w:rsid w:val="00BF4833"/>
    <w:rsid w:val="00BF5998"/>
    <w:rsid w:val="00C003E3"/>
    <w:rsid w:val="00C0093B"/>
    <w:rsid w:val="00C00C18"/>
    <w:rsid w:val="00C0159D"/>
    <w:rsid w:val="00C01D4D"/>
    <w:rsid w:val="00C05711"/>
    <w:rsid w:val="00C07EEE"/>
    <w:rsid w:val="00C14252"/>
    <w:rsid w:val="00C15C05"/>
    <w:rsid w:val="00C20188"/>
    <w:rsid w:val="00C23219"/>
    <w:rsid w:val="00C332CC"/>
    <w:rsid w:val="00C37F1C"/>
    <w:rsid w:val="00C408AC"/>
    <w:rsid w:val="00C428BA"/>
    <w:rsid w:val="00C46113"/>
    <w:rsid w:val="00C51C8E"/>
    <w:rsid w:val="00C52BF5"/>
    <w:rsid w:val="00C54097"/>
    <w:rsid w:val="00C554D7"/>
    <w:rsid w:val="00C604F7"/>
    <w:rsid w:val="00C605E9"/>
    <w:rsid w:val="00C60EDD"/>
    <w:rsid w:val="00C61414"/>
    <w:rsid w:val="00C62AAE"/>
    <w:rsid w:val="00C64103"/>
    <w:rsid w:val="00C67C6F"/>
    <w:rsid w:val="00C67CCA"/>
    <w:rsid w:val="00C749EC"/>
    <w:rsid w:val="00C75A3B"/>
    <w:rsid w:val="00C771F8"/>
    <w:rsid w:val="00C82CA0"/>
    <w:rsid w:val="00C9231C"/>
    <w:rsid w:val="00C9352B"/>
    <w:rsid w:val="00C93B85"/>
    <w:rsid w:val="00C96208"/>
    <w:rsid w:val="00C9662F"/>
    <w:rsid w:val="00CA1605"/>
    <w:rsid w:val="00CA26DE"/>
    <w:rsid w:val="00CA4AD0"/>
    <w:rsid w:val="00CA5DFD"/>
    <w:rsid w:val="00CB0952"/>
    <w:rsid w:val="00CC1813"/>
    <w:rsid w:val="00CC544C"/>
    <w:rsid w:val="00CC5A4F"/>
    <w:rsid w:val="00CD1ABE"/>
    <w:rsid w:val="00CD3024"/>
    <w:rsid w:val="00CD3C17"/>
    <w:rsid w:val="00CE0C8C"/>
    <w:rsid w:val="00CF2E32"/>
    <w:rsid w:val="00CF414A"/>
    <w:rsid w:val="00CF79C4"/>
    <w:rsid w:val="00D04EE4"/>
    <w:rsid w:val="00D06B3A"/>
    <w:rsid w:val="00D06B92"/>
    <w:rsid w:val="00D10836"/>
    <w:rsid w:val="00D13FD3"/>
    <w:rsid w:val="00D16283"/>
    <w:rsid w:val="00D200A0"/>
    <w:rsid w:val="00D22E6E"/>
    <w:rsid w:val="00D23BBF"/>
    <w:rsid w:val="00D30019"/>
    <w:rsid w:val="00D33049"/>
    <w:rsid w:val="00D36EAA"/>
    <w:rsid w:val="00D37EBD"/>
    <w:rsid w:val="00D4014C"/>
    <w:rsid w:val="00D41E53"/>
    <w:rsid w:val="00D467B5"/>
    <w:rsid w:val="00D502DD"/>
    <w:rsid w:val="00D525D9"/>
    <w:rsid w:val="00D52AD0"/>
    <w:rsid w:val="00D53D26"/>
    <w:rsid w:val="00D53FB0"/>
    <w:rsid w:val="00D54395"/>
    <w:rsid w:val="00D552BA"/>
    <w:rsid w:val="00D578F6"/>
    <w:rsid w:val="00D63B7E"/>
    <w:rsid w:val="00D64806"/>
    <w:rsid w:val="00D71F28"/>
    <w:rsid w:val="00D7292F"/>
    <w:rsid w:val="00D739C8"/>
    <w:rsid w:val="00D74D0A"/>
    <w:rsid w:val="00D75F49"/>
    <w:rsid w:val="00D76260"/>
    <w:rsid w:val="00D828F5"/>
    <w:rsid w:val="00D82B23"/>
    <w:rsid w:val="00D82ED3"/>
    <w:rsid w:val="00D86100"/>
    <w:rsid w:val="00D864C4"/>
    <w:rsid w:val="00D8757B"/>
    <w:rsid w:val="00D8791F"/>
    <w:rsid w:val="00D91EBF"/>
    <w:rsid w:val="00D97B14"/>
    <w:rsid w:val="00DA1770"/>
    <w:rsid w:val="00DA1A7F"/>
    <w:rsid w:val="00DA2524"/>
    <w:rsid w:val="00DB1A21"/>
    <w:rsid w:val="00DC66E6"/>
    <w:rsid w:val="00DD7849"/>
    <w:rsid w:val="00DD78AC"/>
    <w:rsid w:val="00DE23CE"/>
    <w:rsid w:val="00DE3384"/>
    <w:rsid w:val="00DE3C9D"/>
    <w:rsid w:val="00DE3E0E"/>
    <w:rsid w:val="00DE62E0"/>
    <w:rsid w:val="00DE67B2"/>
    <w:rsid w:val="00DF04A7"/>
    <w:rsid w:val="00DF2798"/>
    <w:rsid w:val="00E107CA"/>
    <w:rsid w:val="00E2099A"/>
    <w:rsid w:val="00E21187"/>
    <w:rsid w:val="00E2333B"/>
    <w:rsid w:val="00E24103"/>
    <w:rsid w:val="00E26F87"/>
    <w:rsid w:val="00E30F17"/>
    <w:rsid w:val="00E35814"/>
    <w:rsid w:val="00E47EC9"/>
    <w:rsid w:val="00E5239F"/>
    <w:rsid w:val="00E55489"/>
    <w:rsid w:val="00E5731B"/>
    <w:rsid w:val="00E621E8"/>
    <w:rsid w:val="00E74F23"/>
    <w:rsid w:val="00E80123"/>
    <w:rsid w:val="00E80B05"/>
    <w:rsid w:val="00E81844"/>
    <w:rsid w:val="00E8202B"/>
    <w:rsid w:val="00E83F6C"/>
    <w:rsid w:val="00E850DE"/>
    <w:rsid w:val="00E925BF"/>
    <w:rsid w:val="00E952DB"/>
    <w:rsid w:val="00EA2563"/>
    <w:rsid w:val="00EA3176"/>
    <w:rsid w:val="00EA5C3F"/>
    <w:rsid w:val="00EB0341"/>
    <w:rsid w:val="00EB3CDE"/>
    <w:rsid w:val="00EB4DC2"/>
    <w:rsid w:val="00EB5CB6"/>
    <w:rsid w:val="00EB7684"/>
    <w:rsid w:val="00EC2A1F"/>
    <w:rsid w:val="00EC7732"/>
    <w:rsid w:val="00ED2F9B"/>
    <w:rsid w:val="00ED541C"/>
    <w:rsid w:val="00ED5CE6"/>
    <w:rsid w:val="00ED63C0"/>
    <w:rsid w:val="00EE4933"/>
    <w:rsid w:val="00EE5C9A"/>
    <w:rsid w:val="00EF3E17"/>
    <w:rsid w:val="00EF3FBB"/>
    <w:rsid w:val="00EF4853"/>
    <w:rsid w:val="00EF6094"/>
    <w:rsid w:val="00EF7E28"/>
    <w:rsid w:val="00F00462"/>
    <w:rsid w:val="00F04885"/>
    <w:rsid w:val="00F07809"/>
    <w:rsid w:val="00F07B57"/>
    <w:rsid w:val="00F10393"/>
    <w:rsid w:val="00F11195"/>
    <w:rsid w:val="00F16A71"/>
    <w:rsid w:val="00F16CB1"/>
    <w:rsid w:val="00F210CB"/>
    <w:rsid w:val="00F2241D"/>
    <w:rsid w:val="00F243D5"/>
    <w:rsid w:val="00F243F2"/>
    <w:rsid w:val="00F260CD"/>
    <w:rsid w:val="00F307C0"/>
    <w:rsid w:val="00F30F20"/>
    <w:rsid w:val="00F32F88"/>
    <w:rsid w:val="00F37625"/>
    <w:rsid w:val="00F41AB5"/>
    <w:rsid w:val="00F43F5B"/>
    <w:rsid w:val="00F44CFA"/>
    <w:rsid w:val="00F55B1E"/>
    <w:rsid w:val="00F566F3"/>
    <w:rsid w:val="00F57231"/>
    <w:rsid w:val="00F613BA"/>
    <w:rsid w:val="00F6141C"/>
    <w:rsid w:val="00F63749"/>
    <w:rsid w:val="00F67E4F"/>
    <w:rsid w:val="00F7300E"/>
    <w:rsid w:val="00F74F11"/>
    <w:rsid w:val="00F822E0"/>
    <w:rsid w:val="00F830D5"/>
    <w:rsid w:val="00F87F24"/>
    <w:rsid w:val="00F93C8F"/>
    <w:rsid w:val="00F960E9"/>
    <w:rsid w:val="00F96C15"/>
    <w:rsid w:val="00FA2E11"/>
    <w:rsid w:val="00FA38F9"/>
    <w:rsid w:val="00FA4D22"/>
    <w:rsid w:val="00FA5B89"/>
    <w:rsid w:val="00FA75C1"/>
    <w:rsid w:val="00FB2B73"/>
    <w:rsid w:val="00FB4223"/>
    <w:rsid w:val="00FC2E5F"/>
    <w:rsid w:val="00FC493E"/>
    <w:rsid w:val="00FC4D5E"/>
    <w:rsid w:val="00FC60AD"/>
    <w:rsid w:val="00FD1074"/>
    <w:rsid w:val="00FD583B"/>
    <w:rsid w:val="00FD7B76"/>
    <w:rsid w:val="00FE0B18"/>
    <w:rsid w:val="00FE50E6"/>
    <w:rsid w:val="00FE6C46"/>
    <w:rsid w:val="00FF1436"/>
    <w:rsid w:val="00FF1F1C"/>
    <w:rsid w:val="00FF278C"/>
    <w:rsid w:val="00FF4BD5"/>
    <w:rsid w:val="00FF52A5"/>
    <w:rsid w:val="00FF5F50"/>
    <w:rsid w:val="00FF68F7"/>
    <w:rsid w:val="00FF7F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37500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133A3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133A3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link w:val="Heading3Char"/>
    <w:uiPriority w:val="9"/>
    <w:qFormat/>
    <w:rsid w:val="00626366"/>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99"/>
    <w:qFormat/>
    <w:rsid w:val="00332329"/>
    <w:pPr>
      <w:ind w:left="720"/>
      <w:contextualSpacing/>
    </w:pPr>
  </w:style>
  <w:style w:type="paragraph" w:styleId="BodyText2">
    <w:name w:val="Body Text 2"/>
    <w:basedOn w:val="Normal"/>
    <w:link w:val="BodyText2Char"/>
    <w:rsid w:val="00836DC1"/>
    <w:pPr>
      <w:spacing w:after="0" w:line="240" w:lineRule="auto"/>
      <w:jc w:val="center"/>
    </w:pPr>
    <w:rPr>
      <w:rFonts w:ascii="Times New Roman" w:eastAsia="MS Mincho" w:hAnsi="Times New Roman" w:cs="Times New Roman"/>
      <w:b/>
      <w:sz w:val="32"/>
      <w:szCs w:val="20"/>
    </w:rPr>
  </w:style>
  <w:style w:type="character" w:customStyle="1" w:styleId="BodyText2Char">
    <w:name w:val="Body Text 2 Char"/>
    <w:basedOn w:val="DefaultParagraphFont"/>
    <w:link w:val="BodyText2"/>
    <w:rsid w:val="00836DC1"/>
    <w:rPr>
      <w:rFonts w:ascii="Times New Roman" w:eastAsia="MS Mincho" w:hAnsi="Times New Roman" w:cs="Times New Roman"/>
      <w:b/>
      <w:sz w:val="32"/>
      <w:szCs w:val="20"/>
    </w:rPr>
  </w:style>
  <w:style w:type="paragraph" w:styleId="BodyText">
    <w:name w:val="Body Text"/>
    <w:basedOn w:val="Normal"/>
    <w:link w:val="BodyTextChar"/>
    <w:rsid w:val="00836DC1"/>
    <w:pPr>
      <w:spacing w:after="0" w:line="240" w:lineRule="auto"/>
      <w:jc w:val="center"/>
    </w:pPr>
    <w:rPr>
      <w:rFonts w:ascii="Times New Roman" w:eastAsia="MS Mincho" w:hAnsi="Times New Roman" w:cs="Times New Roman"/>
      <w:sz w:val="24"/>
      <w:szCs w:val="20"/>
    </w:rPr>
  </w:style>
  <w:style w:type="character" w:customStyle="1" w:styleId="BodyTextChar">
    <w:name w:val="Body Text Char"/>
    <w:basedOn w:val="DefaultParagraphFont"/>
    <w:link w:val="BodyText"/>
    <w:rsid w:val="00836DC1"/>
    <w:rPr>
      <w:rFonts w:ascii="Times New Roman" w:eastAsia="MS Mincho" w:hAnsi="Times New Roman" w:cs="Times New Roman"/>
      <w:sz w:val="24"/>
      <w:szCs w:val="20"/>
    </w:rPr>
  </w:style>
  <w:style w:type="paragraph" w:styleId="TOC1">
    <w:name w:val="toc 1"/>
    <w:basedOn w:val="Normal"/>
    <w:next w:val="Normal"/>
    <w:autoRedefine/>
    <w:semiHidden/>
    <w:rsid w:val="00836DC1"/>
    <w:pPr>
      <w:spacing w:after="0" w:line="360" w:lineRule="auto"/>
      <w:jc w:val="both"/>
    </w:pPr>
    <w:rPr>
      <w:rFonts w:ascii="Arial" w:eastAsia="MS Mincho" w:hAnsi="Arial" w:cs="Times New Roman"/>
      <w:sz w:val="24"/>
      <w:szCs w:val="24"/>
    </w:rPr>
  </w:style>
  <w:style w:type="paragraph" w:customStyle="1" w:styleId="Char4">
    <w:name w:val="Char4"/>
    <w:basedOn w:val="Normal"/>
    <w:rsid w:val="00836DC1"/>
    <w:pPr>
      <w:spacing w:line="240" w:lineRule="exact"/>
      <w:jc w:val="both"/>
    </w:pPr>
    <w:rPr>
      <w:rFonts w:ascii="Tahoma" w:eastAsia="MS Mincho" w:hAnsi="Tahoma" w:cs="Times New Roman"/>
      <w:sz w:val="20"/>
      <w:szCs w:val="20"/>
    </w:rPr>
  </w:style>
  <w:style w:type="paragraph" w:styleId="FootnoteText">
    <w:name w:val="footnote text"/>
    <w:basedOn w:val="Normal"/>
    <w:link w:val="FootnoteTextChar"/>
    <w:uiPriority w:val="99"/>
    <w:semiHidden/>
    <w:rsid w:val="00EF3FBB"/>
    <w:pPr>
      <w:spacing w:after="0" w:line="240" w:lineRule="auto"/>
    </w:pPr>
    <w:rPr>
      <w:rFonts w:ascii="Times New Roman" w:eastAsia="MS Mincho" w:hAnsi="Times New Roman" w:cs="Times New Roman"/>
      <w:sz w:val="20"/>
      <w:szCs w:val="20"/>
    </w:rPr>
  </w:style>
  <w:style w:type="character" w:customStyle="1" w:styleId="FootnoteTextChar">
    <w:name w:val="Footnote Text Char"/>
    <w:basedOn w:val="DefaultParagraphFont"/>
    <w:link w:val="FootnoteText"/>
    <w:uiPriority w:val="99"/>
    <w:rsid w:val="00EF3FBB"/>
    <w:rPr>
      <w:rFonts w:ascii="Times New Roman" w:eastAsia="MS Mincho" w:hAnsi="Times New Roman" w:cs="Times New Roman"/>
      <w:sz w:val="20"/>
      <w:szCs w:val="20"/>
    </w:rPr>
  </w:style>
  <w:style w:type="character" w:styleId="FootnoteReference">
    <w:name w:val="footnote reference"/>
    <w:uiPriority w:val="99"/>
    <w:semiHidden/>
    <w:rsid w:val="00EF3FBB"/>
    <w:rPr>
      <w:vertAlign w:val="superscript"/>
    </w:rPr>
  </w:style>
  <w:style w:type="character" w:customStyle="1" w:styleId="ListParagraphChar">
    <w:name w:val="List Paragraph Char"/>
    <w:link w:val="ListParagraph"/>
    <w:uiPriority w:val="34"/>
    <w:locked/>
    <w:rsid w:val="00EF3FBB"/>
  </w:style>
  <w:style w:type="character" w:styleId="CommentReference">
    <w:name w:val="annotation reference"/>
    <w:uiPriority w:val="99"/>
    <w:rsid w:val="00EF6094"/>
    <w:rPr>
      <w:sz w:val="16"/>
      <w:szCs w:val="16"/>
    </w:rPr>
  </w:style>
  <w:style w:type="paragraph" w:styleId="CommentText">
    <w:name w:val="annotation text"/>
    <w:basedOn w:val="Normal"/>
    <w:link w:val="CommentTextChar"/>
    <w:uiPriority w:val="99"/>
    <w:rsid w:val="00EF6094"/>
    <w:pPr>
      <w:spacing w:after="0" w:line="240" w:lineRule="auto"/>
    </w:pPr>
    <w:rPr>
      <w:rFonts w:ascii="Times New Roman" w:eastAsia="Times New Roman" w:hAnsi="Times New Roman" w:cs="Times New Roman"/>
      <w:sz w:val="20"/>
      <w:szCs w:val="20"/>
      <w:lang w:val="sq-AL"/>
    </w:rPr>
  </w:style>
  <w:style w:type="character" w:customStyle="1" w:styleId="CommentTextChar">
    <w:name w:val="Comment Text Char"/>
    <w:basedOn w:val="DefaultParagraphFont"/>
    <w:link w:val="CommentText"/>
    <w:uiPriority w:val="99"/>
    <w:rsid w:val="00EF6094"/>
    <w:rPr>
      <w:rFonts w:ascii="Times New Roman" w:eastAsia="Times New Roman" w:hAnsi="Times New Roman" w:cs="Times New Roman"/>
      <w:sz w:val="20"/>
      <w:szCs w:val="20"/>
      <w:lang w:val="sq-AL"/>
    </w:rPr>
  </w:style>
  <w:style w:type="paragraph" w:styleId="BalloonText">
    <w:name w:val="Balloon Text"/>
    <w:basedOn w:val="Normal"/>
    <w:link w:val="BalloonTextChar"/>
    <w:uiPriority w:val="99"/>
    <w:semiHidden/>
    <w:unhideWhenUsed/>
    <w:rsid w:val="00EF609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F6094"/>
    <w:rPr>
      <w:rFonts w:ascii="Segoe UI" w:hAnsi="Segoe UI" w:cs="Segoe UI"/>
      <w:sz w:val="18"/>
      <w:szCs w:val="18"/>
    </w:rPr>
  </w:style>
  <w:style w:type="paragraph" w:customStyle="1" w:styleId="Default">
    <w:name w:val="Default"/>
    <w:uiPriority w:val="99"/>
    <w:rsid w:val="00EF6094"/>
    <w:pPr>
      <w:autoSpaceDE w:val="0"/>
      <w:autoSpaceDN w:val="0"/>
      <w:adjustRightInd w:val="0"/>
      <w:spacing w:after="0" w:line="240" w:lineRule="auto"/>
    </w:pPr>
    <w:rPr>
      <w:rFonts w:ascii="Arial" w:eastAsia="MS Mincho" w:hAnsi="Arial" w:cs="Arial"/>
      <w:color w:val="000000"/>
      <w:sz w:val="24"/>
      <w:szCs w:val="24"/>
    </w:rPr>
  </w:style>
  <w:style w:type="paragraph" w:styleId="CommentSubject">
    <w:name w:val="annotation subject"/>
    <w:basedOn w:val="CommentText"/>
    <w:next w:val="CommentText"/>
    <w:link w:val="CommentSubjectChar"/>
    <w:uiPriority w:val="99"/>
    <w:semiHidden/>
    <w:unhideWhenUsed/>
    <w:rsid w:val="009A1A21"/>
    <w:pPr>
      <w:spacing w:after="160"/>
    </w:pPr>
    <w:rPr>
      <w:rFonts w:asciiTheme="minorHAnsi" w:eastAsiaTheme="minorHAnsi" w:hAnsiTheme="minorHAnsi" w:cstheme="minorBidi"/>
      <w:b/>
      <w:bCs/>
      <w:lang w:val="en-US"/>
    </w:rPr>
  </w:style>
  <w:style w:type="character" w:customStyle="1" w:styleId="CommentSubjectChar">
    <w:name w:val="Comment Subject Char"/>
    <w:basedOn w:val="CommentTextChar"/>
    <w:link w:val="CommentSubject"/>
    <w:uiPriority w:val="99"/>
    <w:semiHidden/>
    <w:rsid w:val="009A1A21"/>
    <w:rPr>
      <w:rFonts w:ascii="Times New Roman" w:eastAsia="Times New Roman" w:hAnsi="Times New Roman" w:cs="Times New Roman"/>
      <w:b/>
      <w:bCs/>
      <w:sz w:val="20"/>
      <w:szCs w:val="20"/>
      <w:lang w:val="sq-AL"/>
    </w:rPr>
  </w:style>
  <w:style w:type="paragraph" w:styleId="HTMLPreformatted">
    <w:name w:val="HTML Preformatted"/>
    <w:basedOn w:val="Normal"/>
    <w:link w:val="HTMLPreformattedChar"/>
    <w:uiPriority w:val="99"/>
    <w:unhideWhenUsed/>
    <w:rsid w:val="00AE01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AE0183"/>
    <w:rPr>
      <w:rFonts w:ascii="Courier New" w:eastAsia="Times New Roman" w:hAnsi="Courier New" w:cs="Courier New"/>
      <w:sz w:val="20"/>
      <w:szCs w:val="20"/>
    </w:rPr>
  </w:style>
  <w:style w:type="character" w:customStyle="1" w:styleId="y2iqfc">
    <w:name w:val="y2iqfc"/>
    <w:basedOn w:val="DefaultParagraphFont"/>
    <w:rsid w:val="00AE0183"/>
  </w:style>
  <w:style w:type="character" w:customStyle="1" w:styleId="Heading3Char">
    <w:name w:val="Heading 3 Char"/>
    <w:basedOn w:val="DefaultParagraphFont"/>
    <w:link w:val="Heading3"/>
    <w:uiPriority w:val="9"/>
    <w:rsid w:val="00626366"/>
    <w:rPr>
      <w:rFonts w:ascii="Times New Roman" w:eastAsia="Times New Roman" w:hAnsi="Times New Roman" w:cs="Times New Roman"/>
      <w:b/>
      <w:bCs/>
      <w:sz w:val="27"/>
      <w:szCs w:val="27"/>
    </w:rPr>
  </w:style>
  <w:style w:type="paragraph" w:customStyle="1" w:styleId="CM4">
    <w:name w:val="CM4"/>
    <w:basedOn w:val="Normal"/>
    <w:next w:val="Normal"/>
    <w:uiPriority w:val="99"/>
    <w:rsid w:val="006C0A85"/>
    <w:pPr>
      <w:autoSpaceDE w:val="0"/>
      <w:autoSpaceDN w:val="0"/>
      <w:adjustRightInd w:val="0"/>
      <w:spacing w:after="0" w:line="240" w:lineRule="auto"/>
    </w:pPr>
    <w:rPr>
      <w:rFonts w:ascii="EUAlbertina" w:eastAsia="MS Mincho" w:hAnsi="EUAlbertina" w:cs="EUAlbertina"/>
      <w:sz w:val="24"/>
      <w:szCs w:val="24"/>
    </w:rPr>
  </w:style>
  <w:style w:type="character" w:customStyle="1" w:styleId="Heading2Char">
    <w:name w:val="Heading 2 Char"/>
    <w:basedOn w:val="DefaultParagraphFont"/>
    <w:link w:val="Heading2"/>
    <w:uiPriority w:val="9"/>
    <w:rsid w:val="00133A31"/>
    <w:rPr>
      <w:rFonts w:asciiTheme="majorHAnsi" w:eastAsiaTheme="majorEastAsia" w:hAnsiTheme="majorHAnsi" w:cstheme="majorBidi"/>
      <w:color w:val="2E74B5" w:themeColor="accent1" w:themeShade="BF"/>
      <w:sz w:val="26"/>
      <w:szCs w:val="26"/>
    </w:rPr>
  </w:style>
  <w:style w:type="character" w:customStyle="1" w:styleId="Heading1Char">
    <w:name w:val="Heading 1 Char"/>
    <w:basedOn w:val="DefaultParagraphFont"/>
    <w:link w:val="Heading1"/>
    <w:uiPriority w:val="9"/>
    <w:rsid w:val="00133A31"/>
    <w:rPr>
      <w:rFonts w:asciiTheme="majorHAnsi" w:eastAsiaTheme="majorEastAsia" w:hAnsiTheme="majorHAnsi" w:cstheme="majorBidi"/>
      <w:color w:val="2E74B5" w:themeColor="accent1" w:themeShade="BF"/>
      <w:sz w:val="32"/>
      <w:szCs w:val="32"/>
    </w:rPr>
  </w:style>
  <w:style w:type="paragraph" w:styleId="NormalWeb">
    <w:name w:val="Normal (Web)"/>
    <w:basedOn w:val="Normal"/>
    <w:uiPriority w:val="99"/>
    <w:semiHidden/>
    <w:unhideWhenUsed/>
    <w:rsid w:val="00DE67B2"/>
    <w:pPr>
      <w:spacing w:before="100" w:beforeAutospacing="1" w:after="100" w:afterAutospacing="1" w:line="240" w:lineRule="auto"/>
    </w:pPr>
    <w:rPr>
      <w:rFonts w:ascii="Times New Roman" w:eastAsia="Times New Roman" w:hAnsi="Times New Roman" w:cs="Times New Roman"/>
      <w:sz w:val="24"/>
      <w:szCs w:val="24"/>
    </w:rPr>
  </w:style>
  <w:style w:type="paragraph" w:styleId="Revision">
    <w:name w:val="Revision"/>
    <w:hidden/>
    <w:uiPriority w:val="99"/>
    <w:semiHidden/>
    <w:rsid w:val="00C52BF5"/>
    <w:pPr>
      <w:spacing w:after="0" w:line="240" w:lineRule="auto"/>
    </w:pPr>
  </w:style>
  <w:style w:type="paragraph" w:styleId="Header">
    <w:name w:val="header"/>
    <w:basedOn w:val="Normal"/>
    <w:link w:val="HeaderChar"/>
    <w:uiPriority w:val="99"/>
    <w:unhideWhenUsed/>
    <w:rsid w:val="00B535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B535F9"/>
  </w:style>
  <w:style w:type="paragraph" w:styleId="Footer">
    <w:name w:val="footer"/>
    <w:basedOn w:val="Normal"/>
    <w:link w:val="FooterChar"/>
    <w:uiPriority w:val="99"/>
    <w:unhideWhenUsed/>
    <w:rsid w:val="00B535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B535F9"/>
  </w:style>
  <w:style w:type="paragraph" w:customStyle="1" w:styleId="footnotedescription">
    <w:name w:val="footnote description"/>
    <w:next w:val="Normal"/>
    <w:link w:val="footnotedescriptionChar"/>
    <w:hidden/>
    <w:rsid w:val="00F87F24"/>
    <w:pPr>
      <w:spacing w:after="0"/>
      <w:ind w:left="76"/>
    </w:pPr>
    <w:rPr>
      <w:rFonts w:ascii="Times New Roman" w:eastAsia="Times New Roman" w:hAnsi="Times New Roman" w:cs="Times New Roman"/>
      <w:color w:val="000000"/>
      <w:sz w:val="20"/>
      <w:lang w:val="sq-AL" w:eastAsia="sq-AL"/>
    </w:rPr>
  </w:style>
  <w:style w:type="character" w:customStyle="1" w:styleId="footnotedescriptionChar">
    <w:name w:val="footnote description Char"/>
    <w:link w:val="footnotedescription"/>
    <w:rsid w:val="00F87F24"/>
    <w:rPr>
      <w:rFonts w:ascii="Times New Roman" w:eastAsia="Times New Roman" w:hAnsi="Times New Roman" w:cs="Times New Roman"/>
      <w:color w:val="000000"/>
      <w:sz w:val="20"/>
      <w:lang w:val="sq-AL" w:eastAsia="sq-AL"/>
    </w:rPr>
  </w:style>
  <w:style w:type="character" w:customStyle="1" w:styleId="footnotemark">
    <w:name w:val="footnote mark"/>
    <w:hidden/>
    <w:rsid w:val="00F87F24"/>
    <w:rPr>
      <w:rFonts w:ascii="Arial" w:eastAsia="Arial" w:hAnsi="Arial" w:cs="Arial"/>
      <w:color w:val="000000"/>
      <w:sz w:val="20"/>
      <w:vertAlign w:val="superscript"/>
    </w:rPr>
  </w:style>
  <w:style w:type="paragraph" w:customStyle="1" w:styleId="CM1">
    <w:name w:val="CM1"/>
    <w:basedOn w:val="Default"/>
    <w:next w:val="Default"/>
    <w:uiPriority w:val="99"/>
    <w:rsid w:val="007D4169"/>
    <w:rPr>
      <w:rFonts w:ascii="Times New Roman" w:eastAsiaTheme="minorHAnsi" w:hAnsi="Times New Roman" w:cs="Times New Roman"/>
      <w:color w:val="auto"/>
    </w:rPr>
  </w:style>
  <w:style w:type="paragraph" w:customStyle="1" w:styleId="CM3">
    <w:name w:val="CM3"/>
    <w:basedOn w:val="Default"/>
    <w:next w:val="Default"/>
    <w:uiPriority w:val="99"/>
    <w:rsid w:val="007D4169"/>
    <w:rPr>
      <w:rFonts w:ascii="Times New Roman" w:eastAsiaTheme="minorHAnsi" w:hAnsi="Times New Roman" w:cs="Times New Roman"/>
      <w:color w:val="auto"/>
    </w:rPr>
  </w:style>
  <w:style w:type="character" w:styleId="Hyperlink">
    <w:name w:val="Hyperlink"/>
    <w:basedOn w:val="DefaultParagraphFont"/>
    <w:uiPriority w:val="99"/>
    <w:unhideWhenUsed/>
    <w:rsid w:val="006546CA"/>
    <w:rPr>
      <w:color w:val="0563C1" w:themeColor="hyperlink"/>
      <w:u w:val="single"/>
    </w:rPr>
  </w:style>
  <w:style w:type="character" w:customStyle="1" w:styleId="longtext">
    <w:name w:val="long_text"/>
    <w:basedOn w:val="DefaultParagraphFont"/>
    <w:rsid w:val="006F79BA"/>
  </w:style>
  <w:style w:type="paragraph" w:customStyle="1" w:styleId="TITULL4">
    <w:name w:val="TITULL 4"/>
    <w:basedOn w:val="Normal"/>
    <w:uiPriority w:val="99"/>
    <w:rsid w:val="005B6760"/>
    <w:pPr>
      <w:keepLines/>
      <w:tabs>
        <w:tab w:val="left" w:pos="100"/>
      </w:tabs>
      <w:suppressAutoHyphens/>
      <w:autoSpaceDE w:val="0"/>
      <w:autoSpaceDN w:val="0"/>
      <w:adjustRightInd w:val="0"/>
      <w:spacing w:after="0" w:line="280" w:lineRule="atLeast"/>
      <w:jc w:val="center"/>
      <w:textAlignment w:val="center"/>
    </w:pPr>
    <w:rPr>
      <w:rFonts w:ascii="Futura Lt BT" w:hAnsi="Futura Lt BT" w:cs="Futura Lt BT"/>
      <w:color w:val="000000"/>
      <w:sz w:val="24"/>
      <w:szCs w:val="24"/>
    </w:rPr>
  </w:style>
  <w:style w:type="character" w:customStyle="1" w:styleId="hps">
    <w:name w:val="hps"/>
    <w:basedOn w:val="DefaultParagraphFont"/>
    <w:rsid w:val="000A66B2"/>
  </w:style>
  <w:style w:type="character" w:styleId="FollowedHyperlink">
    <w:name w:val="FollowedHyperlink"/>
    <w:basedOn w:val="DefaultParagraphFont"/>
    <w:uiPriority w:val="99"/>
    <w:semiHidden/>
    <w:unhideWhenUsed/>
    <w:rsid w:val="00701E34"/>
    <w:rPr>
      <w:color w:val="954F72" w:themeColor="followedHyperlink"/>
      <w:u w:val="single"/>
    </w:rPr>
  </w:style>
  <w:style w:type="paragraph" w:customStyle="1" w:styleId="ti-art">
    <w:name w:val="ti-art"/>
    <w:basedOn w:val="Normal"/>
    <w:rsid w:val="00AD2A4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ormal1">
    <w:name w:val="Normal1"/>
    <w:basedOn w:val="Normal"/>
    <w:rsid w:val="00AD2A4C"/>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39"/>
    <w:rsid w:val="00AC0D50"/>
    <w:pPr>
      <w:spacing w:after="0" w:line="240" w:lineRule="auto"/>
    </w:pPr>
    <w:rPr>
      <w:lang w:val="sq-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530799">
      <w:bodyDiv w:val="1"/>
      <w:marLeft w:val="0"/>
      <w:marRight w:val="0"/>
      <w:marTop w:val="0"/>
      <w:marBottom w:val="0"/>
      <w:divBdr>
        <w:top w:val="none" w:sz="0" w:space="0" w:color="auto"/>
        <w:left w:val="none" w:sz="0" w:space="0" w:color="auto"/>
        <w:bottom w:val="none" w:sz="0" w:space="0" w:color="auto"/>
        <w:right w:val="none" w:sz="0" w:space="0" w:color="auto"/>
      </w:divBdr>
    </w:div>
    <w:div w:id="223493616">
      <w:bodyDiv w:val="1"/>
      <w:marLeft w:val="0"/>
      <w:marRight w:val="0"/>
      <w:marTop w:val="0"/>
      <w:marBottom w:val="0"/>
      <w:divBdr>
        <w:top w:val="none" w:sz="0" w:space="0" w:color="auto"/>
        <w:left w:val="none" w:sz="0" w:space="0" w:color="auto"/>
        <w:bottom w:val="none" w:sz="0" w:space="0" w:color="auto"/>
        <w:right w:val="none" w:sz="0" w:space="0" w:color="auto"/>
      </w:divBdr>
    </w:div>
    <w:div w:id="235556571">
      <w:bodyDiv w:val="1"/>
      <w:marLeft w:val="0"/>
      <w:marRight w:val="0"/>
      <w:marTop w:val="0"/>
      <w:marBottom w:val="0"/>
      <w:divBdr>
        <w:top w:val="none" w:sz="0" w:space="0" w:color="auto"/>
        <w:left w:val="none" w:sz="0" w:space="0" w:color="auto"/>
        <w:bottom w:val="none" w:sz="0" w:space="0" w:color="auto"/>
        <w:right w:val="none" w:sz="0" w:space="0" w:color="auto"/>
      </w:divBdr>
    </w:div>
    <w:div w:id="243147585">
      <w:bodyDiv w:val="1"/>
      <w:marLeft w:val="0"/>
      <w:marRight w:val="0"/>
      <w:marTop w:val="0"/>
      <w:marBottom w:val="0"/>
      <w:divBdr>
        <w:top w:val="none" w:sz="0" w:space="0" w:color="auto"/>
        <w:left w:val="none" w:sz="0" w:space="0" w:color="auto"/>
        <w:bottom w:val="none" w:sz="0" w:space="0" w:color="auto"/>
        <w:right w:val="none" w:sz="0" w:space="0" w:color="auto"/>
      </w:divBdr>
    </w:div>
    <w:div w:id="365058788">
      <w:bodyDiv w:val="1"/>
      <w:marLeft w:val="0"/>
      <w:marRight w:val="0"/>
      <w:marTop w:val="0"/>
      <w:marBottom w:val="0"/>
      <w:divBdr>
        <w:top w:val="none" w:sz="0" w:space="0" w:color="auto"/>
        <w:left w:val="none" w:sz="0" w:space="0" w:color="auto"/>
        <w:bottom w:val="none" w:sz="0" w:space="0" w:color="auto"/>
        <w:right w:val="none" w:sz="0" w:space="0" w:color="auto"/>
      </w:divBdr>
      <w:divsChild>
        <w:div w:id="983237138">
          <w:marLeft w:val="0"/>
          <w:marRight w:val="0"/>
          <w:marTop w:val="0"/>
          <w:marBottom w:val="0"/>
          <w:divBdr>
            <w:top w:val="none" w:sz="0" w:space="0" w:color="auto"/>
            <w:left w:val="none" w:sz="0" w:space="0" w:color="auto"/>
            <w:bottom w:val="none" w:sz="0" w:space="0" w:color="auto"/>
            <w:right w:val="none" w:sz="0" w:space="0" w:color="auto"/>
          </w:divBdr>
        </w:div>
        <w:div w:id="1973629466">
          <w:marLeft w:val="0"/>
          <w:marRight w:val="0"/>
          <w:marTop w:val="0"/>
          <w:marBottom w:val="0"/>
          <w:divBdr>
            <w:top w:val="none" w:sz="0" w:space="0" w:color="auto"/>
            <w:left w:val="none" w:sz="0" w:space="0" w:color="auto"/>
            <w:bottom w:val="none" w:sz="0" w:space="0" w:color="auto"/>
            <w:right w:val="none" w:sz="0" w:space="0" w:color="auto"/>
          </w:divBdr>
        </w:div>
        <w:div w:id="761295972">
          <w:marLeft w:val="0"/>
          <w:marRight w:val="0"/>
          <w:marTop w:val="0"/>
          <w:marBottom w:val="0"/>
          <w:divBdr>
            <w:top w:val="none" w:sz="0" w:space="0" w:color="auto"/>
            <w:left w:val="none" w:sz="0" w:space="0" w:color="auto"/>
            <w:bottom w:val="none" w:sz="0" w:space="0" w:color="auto"/>
            <w:right w:val="none" w:sz="0" w:space="0" w:color="auto"/>
          </w:divBdr>
        </w:div>
        <w:div w:id="1143347763">
          <w:marLeft w:val="0"/>
          <w:marRight w:val="0"/>
          <w:marTop w:val="0"/>
          <w:marBottom w:val="0"/>
          <w:divBdr>
            <w:top w:val="none" w:sz="0" w:space="0" w:color="auto"/>
            <w:left w:val="none" w:sz="0" w:space="0" w:color="auto"/>
            <w:bottom w:val="none" w:sz="0" w:space="0" w:color="auto"/>
            <w:right w:val="none" w:sz="0" w:space="0" w:color="auto"/>
          </w:divBdr>
        </w:div>
        <w:div w:id="422146033">
          <w:marLeft w:val="0"/>
          <w:marRight w:val="0"/>
          <w:marTop w:val="0"/>
          <w:marBottom w:val="0"/>
          <w:divBdr>
            <w:top w:val="none" w:sz="0" w:space="0" w:color="auto"/>
            <w:left w:val="none" w:sz="0" w:space="0" w:color="auto"/>
            <w:bottom w:val="none" w:sz="0" w:space="0" w:color="auto"/>
            <w:right w:val="none" w:sz="0" w:space="0" w:color="auto"/>
          </w:divBdr>
        </w:div>
        <w:div w:id="497112507">
          <w:marLeft w:val="0"/>
          <w:marRight w:val="0"/>
          <w:marTop w:val="0"/>
          <w:marBottom w:val="0"/>
          <w:divBdr>
            <w:top w:val="none" w:sz="0" w:space="0" w:color="auto"/>
            <w:left w:val="none" w:sz="0" w:space="0" w:color="auto"/>
            <w:bottom w:val="none" w:sz="0" w:space="0" w:color="auto"/>
            <w:right w:val="none" w:sz="0" w:space="0" w:color="auto"/>
          </w:divBdr>
        </w:div>
        <w:div w:id="31083039">
          <w:marLeft w:val="0"/>
          <w:marRight w:val="0"/>
          <w:marTop w:val="0"/>
          <w:marBottom w:val="0"/>
          <w:divBdr>
            <w:top w:val="none" w:sz="0" w:space="0" w:color="auto"/>
            <w:left w:val="none" w:sz="0" w:space="0" w:color="auto"/>
            <w:bottom w:val="none" w:sz="0" w:space="0" w:color="auto"/>
            <w:right w:val="none" w:sz="0" w:space="0" w:color="auto"/>
          </w:divBdr>
        </w:div>
      </w:divsChild>
    </w:div>
    <w:div w:id="435171299">
      <w:bodyDiv w:val="1"/>
      <w:marLeft w:val="0"/>
      <w:marRight w:val="0"/>
      <w:marTop w:val="0"/>
      <w:marBottom w:val="0"/>
      <w:divBdr>
        <w:top w:val="none" w:sz="0" w:space="0" w:color="auto"/>
        <w:left w:val="none" w:sz="0" w:space="0" w:color="auto"/>
        <w:bottom w:val="none" w:sz="0" w:space="0" w:color="auto"/>
        <w:right w:val="none" w:sz="0" w:space="0" w:color="auto"/>
      </w:divBdr>
    </w:div>
    <w:div w:id="496071730">
      <w:bodyDiv w:val="1"/>
      <w:marLeft w:val="0"/>
      <w:marRight w:val="0"/>
      <w:marTop w:val="0"/>
      <w:marBottom w:val="0"/>
      <w:divBdr>
        <w:top w:val="none" w:sz="0" w:space="0" w:color="auto"/>
        <w:left w:val="none" w:sz="0" w:space="0" w:color="auto"/>
        <w:bottom w:val="none" w:sz="0" w:space="0" w:color="auto"/>
        <w:right w:val="none" w:sz="0" w:space="0" w:color="auto"/>
      </w:divBdr>
    </w:div>
    <w:div w:id="527451405">
      <w:bodyDiv w:val="1"/>
      <w:marLeft w:val="0"/>
      <w:marRight w:val="0"/>
      <w:marTop w:val="0"/>
      <w:marBottom w:val="0"/>
      <w:divBdr>
        <w:top w:val="none" w:sz="0" w:space="0" w:color="auto"/>
        <w:left w:val="none" w:sz="0" w:space="0" w:color="auto"/>
        <w:bottom w:val="none" w:sz="0" w:space="0" w:color="auto"/>
        <w:right w:val="none" w:sz="0" w:space="0" w:color="auto"/>
      </w:divBdr>
    </w:div>
    <w:div w:id="679890311">
      <w:bodyDiv w:val="1"/>
      <w:marLeft w:val="0"/>
      <w:marRight w:val="0"/>
      <w:marTop w:val="0"/>
      <w:marBottom w:val="0"/>
      <w:divBdr>
        <w:top w:val="none" w:sz="0" w:space="0" w:color="auto"/>
        <w:left w:val="none" w:sz="0" w:space="0" w:color="auto"/>
        <w:bottom w:val="none" w:sz="0" w:space="0" w:color="auto"/>
        <w:right w:val="none" w:sz="0" w:space="0" w:color="auto"/>
      </w:divBdr>
    </w:div>
    <w:div w:id="812941019">
      <w:bodyDiv w:val="1"/>
      <w:marLeft w:val="0"/>
      <w:marRight w:val="0"/>
      <w:marTop w:val="0"/>
      <w:marBottom w:val="0"/>
      <w:divBdr>
        <w:top w:val="none" w:sz="0" w:space="0" w:color="auto"/>
        <w:left w:val="none" w:sz="0" w:space="0" w:color="auto"/>
        <w:bottom w:val="none" w:sz="0" w:space="0" w:color="auto"/>
        <w:right w:val="none" w:sz="0" w:space="0" w:color="auto"/>
      </w:divBdr>
    </w:div>
    <w:div w:id="815342056">
      <w:bodyDiv w:val="1"/>
      <w:marLeft w:val="0"/>
      <w:marRight w:val="0"/>
      <w:marTop w:val="0"/>
      <w:marBottom w:val="0"/>
      <w:divBdr>
        <w:top w:val="none" w:sz="0" w:space="0" w:color="auto"/>
        <w:left w:val="none" w:sz="0" w:space="0" w:color="auto"/>
        <w:bottom w:val="none" w:sz="0" w:space="0" w:color="auto"/>
        <w:right w:val="none" w:sz="0" w:space="0" w:color="auto"/>
      </w:divBdr>
    </w:div>
    <w:div w:id="849485489">
      <w:bodyDiv w:val="1"/>
      <w:marLeft w:val="0"/>
      <w:marRight w:val="0"/>
      <w:marTop w:val="0"/>
      <w:marBottom w:val="0"/>
      <w:divBdr>
        <w:top w:val="none" w:sz="0" w:space="0" w:color="auto"/>
        <w:left w:val="none" w:sz="0" w:space="0" w:color="auto"/>
        <w:bottom w:val="none" w:sz="0" w:space="0" w:color="auto"/>
        <w:right w:val="none" w:sz="0" w:space="0" w:color="auto"/>
      </w:divBdr>
    </w:div>
    <w:div w:id="952129789">
      <w:bodyDiv w:val="1"/>
      <w:marLeft w:val="0"/>
      <w:marRight w:val="0"/>
      <w:marTop w:val="0"/>
      <w:marBottom w:val="0"/>
      <w:divBdr>
        <w:top w:val="none" w:sz="0" w:space="0" w:color="auto"/>
        <w:left w:val="none" w:sz="0" w:space="0" w:color="auto"/>
        <w:bottom w:val="none" w:sz="0" w:space="0" w:color="auto"/>
        <w:right w:val="none" w:sz="0" w:space="0" w:color="auto"/>
      </w:divBdr>
    </w:div>
    <w:div w:id="990791720">
      <w:bodyDiv w:val="1"/>
      <w:marLeft w:val="0"/>
      <w:marRight w:val="0"/>
      <w:marTop w:val="0"/>
      <w:marBottom w:val="0"/>
      <w:divBdr>
        <w:top w:val="none" w:sz="0" w:space="0" w:color="auto"/>
        <w:left w:val="none" w:sz="0" w:space="0" w:color="auto"/>
        <w:bottom w:val="none" w:sz="0" w:space="0" w:color="auto"/>
        <w:right w:val="none" w:sz="0" w:space="0" w:color="auto"/>
      </w:divBdr>
    </w:div>
    <w:div w:id="1063256798">
      <w:bodyDiv w:val="1"/>
      <w:marLeft w:val="0"/>
      <w:marRight w:val="0"/>
      <w:marTop w:val="0"/>
      <w:marBottom w:val="0"/>
      <w:divBdr>
        <w:top w:val="none" w:sz="0" w:space="0" w:color="auto"/>
        <w:left w:val="none" w:sz="0" w:space="0" w:color="auto"/>
        <w:bottom w:val="none" w:sz="0" w:space="0" w:color="auto"/>
        <w:right w:val="none" w:sz="0" w:space="0" w:color="auto"/>
      </w:divBdr>
    </w:div>
    <w:div w:id="1090153033">
      <w:bodyDiv w:val="1"/>
      <w:marLeft w:val="0"/>
      <w:marRight w:val="0"/>
      <w:marTop w:val="0"/>
      <w:marBottom w:val="0"/>
      <w:divBdr>
        <w:top w:val="none" w:sz="0" w:space="0" w:color="auto"/>
        <w:left w:val="none" w:sz="0" w:space="0" w:color="auto"/>
        <w:bottom w:val="none" w:sz="0" w:space="0" w:color="auto"/>
        <w:right w:val="none" w:sz="0" w:space="0" w:color="auto"/>
      </w:divBdr>
    </w:div>
    <w:div w:id="1216967660">
      <w:bodyDiv w:val="1"/>
      <w:marLeft w:val="0"/>
      <w:marRight w:val="0"/>
      <w:marTop w:val="0"/>
      <w:marBottom w:val="0"/>
      <w:divBdr>
        <w:top w:val="none" w:sz="0" w:space="0" w:color="auto"/>
        <w:left w:val="none" w:sz="0" w:space="0" w:color="auto"/>
        <w:bottom w:val="none" w:sz="0" w:space="0" w:color="auto"/>
        <w:right w:val="none" w:sz="0" w:space="0" w:color="auto"/>
      </w:divBdr>
    </w:div>
    <w:div w:id="1230844350">
      <w:bodyDiv w:val="1"/>
      <w:marLeft w:val="0"/>
      <w:marRight w:val="0"/>
      <w:marTop w:val="0"/>
      <w:marBottom w:val="0"/>
      <w:divBdr>
        <w:top w:val="none" w:sz="0" w:space="0" w:color="auto"/>
        <w:left w:val="none" w:sz="0" w:space="0" w:color="auto"/>
        <w:bottom w:val="none" w:sz="0" w:space="0" w:color="auto"/>
        <w:right w:val="none" w:sz="0" w:space="0" w:color="auto"/>
      </w:divBdr>
    </w:div>
    <w:div w:id="1239679516">
      <w:bodyDiv w:val="1"/>
      <w:marLeft w:val="0"/>
      <w:marRight w:val="0"/>
      <w:marTop w:val="0"/>
      <w:marBottom w:val="0"/>
      <w:divBdr>
        <w:top w:val="none" w:sz="0" w:space="0" w:color="auto"/>
        <w:left w:val="none" w:sz="0" w:space="0" w:color="auto"/>
        <w:bottom w:val="none" w:sz="0" w:space="0" w:color="auto"/>
        <w:right w:val="none" w:sz="0" w:space="0" w:color="auto"/>
      </w:divBdr>
    </w:div>
    <w:div w:id="1299721911">
      <w:bodyDiv w:val="1"/>
      <w:marLeft w:val="0"/>
      <w:marRight w:val="0"/>
      <w:marTop w:val="0"/>
      <w:marBottom w:val="0"/>
      <w:divBdr>
        <w:top w:val="none" w:sz="0" w:space="0" w:color="auto"/>
        <w:left w:val="none" w:sz="0" w:space="0" w:color="auto"/>
        <w:bottom w:val="none" w:sz="0" w:space="0" w:color="auto"/>
        <w:right w:val="none" w:sz="0" w:space="0" w:color="auto"/>
      </w:divBdr>
    </w:div>
    <w:div w:id="1400901232">
      <w:bodyDiv w:val="1"/>
      <w:marLeft w:val="0"/>
      <w:marRight w:val="0"/>
      <w:marTop w:val="0"/>
      <w:marBottom w:val="0"/>
      <w:divBdr>
        <w:top w:val="none" w:sz="0" w:space="0" w:color="auto"/>
        <w:left w:val="none" w:sz="0" w:space="0" w:color="auto"/>
        <w:bottom w:val="none" w:sz="0" w:space="0" w:color="auto"/>
        <w:right w:val="none" w:sz="0" w:space="0" w:color="auto"/>
      </w:divBdr>
    </w:div>
    <w:div w:id="1414163815">
      <w:bodyDiv w:val="1"/>
      <w:marLeft w:val="0"/>
      <w:marRight w:val="0"/>
      <w:marTop w:val="0"/>
      <w:marBottom w:val="0"/>
      <w:divBdr>
        <w:top w:val="none" w:sz="0" w:space="0" w:color="auto"/>
        <w:left w:val="none" w:sz="0" w:space="0" w:color="auto"/>
        <w:bottom w:val="none" w:sz="0" w:space="0" w:color="auto"/>
        <w:right w:val="none" w:sz="0" w:space="0" w:color="auto"/>
      </w:divBdr>
    </w:div>
    <w:div w:id="1484663429">
      <w:bodyDiv w:val="1"/>
      <w:marLeft w:val="0"/>
      <w:marRight w:val="0"/>
      <w:marTop w:val="0"/>
      <w:marBottom w:val="0"/>
      <w:divBdr>
        <w:top w:val="none" w:sz="0" w:space="0" w:color="auto"/>
        <w:left w:val="none" w:sz="0" w:space="0" w:color="auto"/>
        <w:bottom w:val="none" w:sz="0" w:space="0" w:color="auto"/>
        <w:right w:val="none" w:sz="0" w:space="0" w:color="auto"/>
      </w:divBdr>
    </w:div>
    <w:div w:id="1500005984">
      <w:bodyDiv w:val="1"/>
      <w:marLeft w:val="0"/>
      <w:marRight w:val="0"/>
      <w:marTop w:val="0"/>
      <w:marBottom w:val="0"/>
      <w:divBdr>
        <w:top w:val="none" w:sz="0" w:space="0" w:color="auto"/>
        <w:left w:val="none" w:sz="0" w:space="0" w:color="auto"/>
        <w:bottom w:val="none" w:sz="0" w:space="0" w:color="auto"/>
        <w:right w:val="none" w:sz="0" w:space="0" w:color="auto"/>
      </w:divBdr>
    </w:div>
    <w:div w:id="1527451989">
      <w:bodyDiv w:val="1"/>
      <w:marLeft w:val="0"/>
      <w:marRight w:val="0"/>
      <w:marTop w:val="0"/>
      <w:marBottom w:val="0"/>
      <w:divBdr>
        <w:top w:val="none" w:sz="0" w:space="0" w:color="auto"/>
        <w:left w:val="none" w:sz="0" w:space="0" w:color="auto"/>
        <w:bottom w:val="none" w:sz="0" w:space="0" w:color="auto"/>
        <w:right w:val="none" w:sz="0" w:space="0" w:color="auto"/>
      </w:divBdr>
    </w:div>
    <w:div w:id="1644657906">
      <w:bodyDiv w:val="1"/>
      <w:marLeft w:val="0"/>
      <w:marRight w:val="0"/>
      <w:marTop w:val="0"/>
      <w:marBottom w:val="0"/>
      <w:divBdr>
        <w:top w:val="none" w:sz="0" w:space="0" w:color="auto"/>
        <w:left w:val="none" w:sz="0" w:space="0" w:color="auto"/>
        <w:bottom w:val="none" w:sz="0" w:space="0" w:color="auto"/>
        <w:right w:val="none" w:sz="0" w:space="0" w:color="auto"/>
      </w:divBdr>
    </w:div>
    <w:div w:id="1654480058">
      <w:bodyDiv w:val="1"/>
      <w:marLeft w:val="0"/>
      <w:marRight w:val="0"/>
      <w:marTop w:val="0"/>
      <w:marBottom w:val="0"/>
      <w:divBdr>
        <w:top w:val="none" w:sz="0" w:space="0" w:color="auto"/>
        <w:left w:val="none" w:sz="0" w:space="0" w:color="auto"/>
        <w:bottom w:val="none" w:sz="0" w:space="0" w:color="auto"/>
        <w:right w:val="none" w:sz="0" w:space="0" w:color="auto"/>
      </w:divBdr>
    </w:div>
    <w:div w:id="1657029718">
      <w:bodyDiv w:val="1"/>
      <w:marLeft w:val="0"/>
      <w:marRight w:val="0"/>
      <w:marTop w:val="0"/>
      <w:marBottom w:val="0"/>
      <w:divBdr>
        <w:top w:val="none" w:sz="0" w:space="0" w:color="auto"/>
        <w:left w:val="none" w:sz="0" w:space="0" w:color="auto"/>
        <w:bottom w:val="none" w:sz="0" w:space="0" w:color="auto"/>
        <w:right w:val="none" w:sz="0" w:space="0" w:color="auto"/>
      </w:divBdr>
    </w:div>
    <w:div w:id="1693992293">
      <w:bodyDiv w:val="1"/>
      <w:marLeft w:val="0"/>
      <w:marRight w:val="0"/>
      <w:marTop w:val="0"/>
      <w:marBottom w:val="0"/>
      <w:divBdr>
        <w:top w:val="none" w:sz="0" w:space="0" w:color="auto"/>
        <w:left w:val="none" w:sz="0" w:space="0" w:color="auto"/>
        <w:bottom w:val="none" w:sz="0" w:space="0" w:color="auto"/>
        <w:right w:val="none" w:sz="0" w:space="0" w:color="auto"/>
      </w:divBdr>
    </w:div>
    <w:div w:id="1748184906">
      <w:bodyDiv w:val="1"/>
      <w:marLeft w:val="0"/>
      <w:marRight w:val="0"/>
      <w:marTop w:val="0"/>
      <w:marBottom w:val="0"/>
      <w:divBdr>
        <w:top w:val="none" w:sz="0" w:space="0" w:color="auto"/>
        <w:left w:val="none" w:sz="0" w:space="0" w:color="auto"/>
        <w:bottom w:val="none" w:sz="0" w:space="0" w:color="auto"/>
        <w:right w:val="none" w:sz="0" w:space="0" w:color="auto"/>
      </w:divBdr>
    </w:div>
    <w:div w:id="1774666213">
      <w:bodyDiv w:val="1"/>
      <w:marLeft w:val="0"/>
      <w:marRight w:val="0"/>
      <w:marTop w:val="0"/>
      <w:marBottom w:val="0"/>
      <w:divBdr>
        <w:top w:val="none" w:sz="0" w:space="0" w:color="auto"/>
        <w:left w:val="none" w:sz="0" w:space="0" w:color="auto"/>
        <w:bottom w:val="none" w:sz="0" w:space="0" w:color="auto"/>
        <w:right w:val="none" w:sz="0" w:space="0" w:color="auto"/>
      </w:divBdr>
    </w:div>
    <w:div w:id="1788575045">
      <w:bodyDiv w:val="1"/>
      <w:marLeft w:val="0"/>
      <w:marRight w:val="0"/>
      <w:marTop w:val="0"/>
      <w:marBottom w:val="0"/>
      <w:divBdr>
        <w:top w:val="none" w:sz="0" w:space="0" w:color="auto"/>
        <w:left w:val="none" w:sz="0" w:space="0" w:color="auto"/>
        <w:bottom w:val="none" w:sz="0" w:space="0" w:color="auto"/>
        <w:right w:val="none" w:sz="0" w:space="0" w:color="auto"/>
      </w:divBdr>
    </w:div>
    <w:div w:id="1947496340">
      <w:bodyDiv w:val="1"/>
      <w:marLeft w:val="0"/>
      <w:marRight w:val="0"/>
      <w:marTop w:val="0"/>
      <w:marBottom w:val="0"/>
      <w:divBdr>
        <w:top w:val="none" w:sz="0" w:space="0" w:color="auto"/>
        <w:left w:val="none" w:sz="0" w:space="0" w:color="auto"/>
        <w:bottom w:val="none" w:sz="0" w:space="0" w:color="auto"/>
        <w:right w:val="none" w:sz="0" w:space="0" w:color="auto"/>
      </w:divBdr>
    </w:div>
    <w:div w:id="1956322532">
      <w:bodyDiv w:val="1"/>
      <w:marLeft w:val="0"/>
      <w:marRight w:val="0"/>
      <w:marTop w:val="0"/>
      <w:marBottom w:val="0"/>
      <w:divBdr>
        <w:top w:val="none" w:sz="0" w:space="0" w:color="auto"/>
        <w:left w:val="none" w:sz="0" w:space="0" w:color="auto"/>
        <w:bottom w:val="none" w:sz="0" w:space="0" w:color="auto"/>
        <w:right w:val="none" w:sz="0" w:space="0" w:color="auto"/>
      </w:divBdr>
    </w:div>
    <w:div w:id="1967466993">
      <w:bodyDiv w:val="1"/>
      <w:marLeft w:val="0"/>
      <w:marRight w:val="0"/>
      <w:marTop w:val="0"/>
      <w:marBottom w:val="0"/>
      <w:divBdr>
        <w:top w:val="none" w:sz="0" w:space="0" w:color="auto"/>
        <w:left w:val="none" w:sz="0" w:space="0" w:color="auto"/>
        <w:bottom w:val="none" w:sz="0" w:space="0" w:color="auto"/>
        <w:right w:val="none" w:sz="0" w:space="0" w:color="auto"/>
      </w:divBdr>
    </w:div>
    <w:div w:id="2027711414">
      <w:bodyDiv w:val="1"/>
      <w:marLeft w:val="0"/>
      <w:marRight w:val="0"/>
      <w:marTop w:val="0"/>
      <w:marBottom w:val="0"/>
      <w:divBdr>
        <w:top w:val="none" w:sz="0" w:space="0" w:color="auto"/>
        <w:left w:val="none" w:sz="0" w:space="0" w:color="auto"/>
        <w:bottom w:val="none" w:sz="0" w:space="0" w:color="auto"/>
        <w:right w:val="none" w:sz="0" w:space="0" w:color="auto"/>
      </w:divBdr>
    </w:div>
    <w:div w:id="2030714313">
      <w:bodyDiv w:val="1"/>
      <w:marLeft w:val="0"/>
      <w:marRight w:val="0"/>
      <w:marTop w:val="0"/>
      <w:marBottom w:val="0"/>
      <w:divBdr>
        <w:top w:val="none" w:sz="0" w:space="0" w:color="auto"/>
        <w:left w:val="none" w:sz="0" w:space="0" w:color="auto"/>
        <w:bottom w:val="none" w:sz="0" w:space="0" w:color="auto"/>
        <w:right w:val="none" w:sz="0" w:space="0" w:color="auto"/>
      </w:divBdr>
    </w:div>
    <w:div w:id="2096052999">
      <w:bodyDiv w:val="1"/>
      <w:marLeft w:val="0"/>
      <w:marRight w:val="0"/>
      <w:marTop w:val="0"/>
      <w:marBottom w:val="0"/>
      <w:divBdr>
        <w:top w:val="none" w:sz="0" w:space="0" w:color="auto"/>
        <w:left w:val="none" w:sz="0" w:space="0" w:color="auto"/>
        <w:bottom w:val="none" w:sz="0" w:space="0" w:color="auto"/>
        <w:right w:val="none" w:sz="0" w:space="0" w:color="auto"/>
      </w:divBdr>
    </w:div>
    <w:div w:id="2099983009">
      <w:bodyDiv w:val="1"/>
      <w:marLeft w:val="0"/>
      <w:marRight w:val="0"/>
      <w:marTop w:val="0"/>
      <w:marBottom w:val="0"/>
      <w:divBdr>
        <w:top w:val="none" w:sz="0" w:space="0" w:color="auto"/>
        <w:left w:val="none" w:sz="0" w:space="0" w:color="auto"/>
        <w:bottom w:val="none" w:sz="0" w:space="0" w:color="auto"/>
        <w:right w:val="none" w:sz="0" w:space="0" w:color="auto"/>
      </w:divBdr>
      <w:divsChild>
        <w:div w:id="1128859535">
          <w:marLeft w:val="0"/>
          <w:marRight w:val="0"/>
          <w:marTop w:val="0"/>
          <w:marBottom w:val="0"/>
          <w:divBdr>
            <w:top w:val="none" w:sz="0" w:space="0" w:color="auto"/>
            <w:left w:val="none" w:sz="0" w:space="0" w:color="auto"/>
            <w:bottom w:val="none" w:sz="0" w:space="0" w:color="auto"/>
            <w:right w:val="none" w:sz="0" w:space="0" w:color="auto"/>
          </w:divBdr>
          <w:divsChild>
            <w:div w:id="1323661509">
              <w:marLeft w:val="0"/>
              <w:marRight w:val="0"/>
              <w:marTop w:val="0"/>
              <w:marBottom w:val="0"/>
              <w:divBdr>
                <w:top w:val="none" w:sz="0" w:space="0" w:color="auto"/>
                <w:left w:val="none" w:sz="0" w:space="0" w:color="auto"/>
                <w:bottom w:val="none" w:sz="0" w:space="0" w:color="auto"/>
                <w:right w:val="none" w:sz="0" w:space="0" w:color="auto"/>
              </w:divBdr>
              <w:divsChild>
                <w:div w:id="713699547">
                  <w:marLeft w:val="0"/>
                  <w:marRight w:val="0"/>
                  <w:marTop w:val="0"/>
                  <w:marBottom w:val="0"/>
                  <w:divBdr>
                    <w:top w:val="none" w:sz="0" w:space="0" w:color="auto"/>
                    <w:left w:val="none" w:sz="0" w:space="0" w:color="auto"/>
                    <w:bottom w:val="none" w:sz="0" w:space="0" w:color="auto"/>
                    <w:right w:val="none" w:sz="0" w:space="0" w:color="auto"/>
                  </w:divBdr>
                </w:div>
                <w:div w:id="1578130808">
                  <w:marLeft w:val="0"/>
                  <w:marRight w:val="0"/>
                  <w:marTop w:val="0"/>
                  <w:marBottom w:val="0"/>
                  <w:divBdr>
                    <w:top w:val="none" w:sz="0" w:space="0" w:color="auto"/>
                    <w:left w:val="none" w:sz="0" w:space="0" w:color="auto"/>
                    <w:bottom w:val="none" w:sz="0" w:space="0" w:color="auto"/>
                    <w:right w:val="none" w:sz="0" w:space="0" w:color="auto"/>
                  </w:divBdr>
                </w:div>
                <w:div w:id="1981643115">
                  <w:marLeft w:val="0"/>
                  <w:marRight w:val="0"/>
                  <w:marTop w:val="0"/>
                  <w:marBottom w:val="0"/>
                  <w:divBdr>
                    <w:top w:val="none" w:sz="0" w:space="0" w:color="auto"/>
                    <w:left w:val="none" w:sz="0" w:space="0" w:color="auto"/>
                    <w:bottom w:val="none" w:sz="0" w:space="0" w:color="auto"/>
                    <w:right w:val="none" w:sz="0" w:space="0" w:color="auto"/>
                  </w:divBdr>
                </w:div>
                <w:div w:id="511913138">
                  <w:marLeft w:val="0"/>
                  <w:marRight w:val="0"/>
                  <w:marTop w:val="0"/>
                  <w:marBottom w:val="0"/>
                  <w:divBdr>
                    <w:top w:val="none" w:sz="0" w:space="0" w:color="auto"/>
                    <w:left w:val="none" w:sz="0" w:space="0" w:color="auto"/>
                    <w:bottom w:val="none" w:sz="0" w:space="0" w:color="auto"/>
                    <w:right w:val="none" w:sz="0" w:space="0" w:color="auto"/>
                  </w:divBdr>
                </w:div>
                <w:div w:id="1304310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4838385">
          <w:marLeft w:val="0"/>
          <w:marRight w:val="0"/>
          <w:marTop w:val="0"/>
          <w:marBottom w:val="0"/>
          <w:divBdr>
            <w:top w:val="none" w:sz="0" w:space="0" w:color="auto"/>
            <w:left w:val="none" w:sz="0" w:space="0" w:color="auto"/>
            <w:bottom w:val="none" w:sz="0" w:space="0" w:color="auto"/>
            <w:right w:val="none" w:sz="0" w:space="0" w:color="auto"/>
          </w:divBdr>
          <w:divsChild>
            <w:div w:id="1495298539">
              <w:marLeft w:val="0"/>
              <w:marRight w:val="0"/>
              <w:marTop w:val="0"/>
              <w:marBottom w:val="0"/>
              <w:divBdr>
                <w:top w:val="none" w:sz="0" w:space="0" w:color="auto"/>
                <w:left w:val="none" w:sz="0" w:space="0" w:color="auto"/>
                <w:bottom w:val="none" w:sz="0" w:space="0" w:color="auto"/>
                <w:right w:val="none" w:sz="0" w:space="0" w:color="auto"/>
              </w:divBdr>
              <w:divsChild>
                <w:div w:id="259029005">
                  <w:marLeft w:val="0"/>
                  <w:marRight w:val="0"/>
                  <w:marTop w:val="0"/>
                  <w:marBottom w:val="0"/>
                  <w:divBdr>
                    <w:top w:val="none" w:sz="0" w:space="0" w:color="auto"/>
                    <w:left w:val="none" w:sz="0" w:space="0" w:color="auto"/>
                    <w:bottom w:val="none" w:sz="0" w:space="0" w:color="auto"/>
                    <w:right w:val="none" w:sz="0" w:space="0" w:color="auto"/>
                  </w:divBdr>
                </w:div>
                <w:div w:id="763459578">
                  <w:marLeft w:val="0"/>
                  <w:marRight w:val="0"/>
                  <w:marTop w:val="0"/>
                  <w:marBottom w:val="0"/>
                  <w:divBdr>
                    <w:top w:val="none" w:sz="0" w:space="0" w:color="auto"/>
                    <w:left w:val="none" w:sz="0" w:space="0" w:color="auto"/>
                    <w:bottom w:val="none" w:sz="0" w:space="0" w:color="auto"/>
                    <w:right w:val="none" w:sz="0" w:space="0" w:color="auto"/>
                  </w:divBdr>
                </w:div>
                <w:div w:id="1692300929">
                  <w:marLeft w:val="0"/>
                  <w:marRight w:val="0"/>
                  <w:marTop w:val="0"/>
                  <w:marBottom w:val="0"/>
                  <w:divBdr>
                    <w:top w:val="none" w:sz="0" w:space="0" w:color="auto"/>
                    <w:left w:val="none" w:sz="0" w:space="0" w:color="auto"/>
                    <w:bottom w:val="none" w:sz="0" w:space="0" w:color="auto"/>
                    <w:right w:val="none" w:sz="0" w:space="0" w:color="auto"/>
                  </w:divBdr>
                </w:div>
                <w:div w:id="1592621545">
                  <w:marLeft w:val="0"/>
                  <w:marRight w:val="0"/>
                  <w:marTop w:val="0"/>
                  <w:marBottom w:val="0"/>
                  <w:divBdr>
                    <w:top w:val="none" w:sz="0" w:space="0" w:color="auto"/>
                    <w:left w:val="none" w:sz="0" w:space="0" w:color="auto"/>
                    <w:bottom w:val="none" w:sz="0" w:space="0" w:color="auto"/>
                    <w:right w:val="none" w:sz="0" w:space="0" w:color="auto"/>
                  </w:divBdr>
                </w:div>
                <w:div w:id="332532769">
                  <w:marLeft w:val="0"/>
                  <w:marRight w:val="0"/>
                  <w:marTop w:val="0"/>
                  <w:marBottom w:val="0"/>
                  <w:divBdr>
                    <w:top w:val="none" w:sz="0" w:space="0" w:color="auto"/>
                    <w:left w:val="none" w:sz="0" w:space="0" w:color="auto"/>
                    <w:bottom w:val="none" w:sz="0" w:space="0" w:color="auto"/>
                    <w:right w:val="none" w:sz="0" w:space="0" w:color="auto"/>
                  </w:divBdr>
                </w:div>
                <w:div w:id="1656836017">
                  <w:marLeft w:val="0"/>
                  <w:marRight w:val="0"/>
                  <w:marTop w:val="0"/>
                  <w:marBottom w:val="0"/>
                  <w:divBdr>
                    <w:top w:val="none" w:sz="0" w:space="0" w:color="auto"/>
                    <w:left w:val="none" w:sz="0" w:space="0" w:color="auto"/>
                    <w:bottom w:val="none" w:sz="0" w:space="0" w:color="auto"/>
                    <w:right w:val="none" w:sz="0" w:space="0" w:color="auto"/>
                  </w:divBdr>
                </w:div>
                <w:div w:id="1267808338">
                  <w:marLeft w:val="0"/>
                  <w:marRight w:val="0"/>
                  <w:marTop w:val="0"/>
                  <w:marBottom w:val="0"/>
                  <w:divBdr>
                    <w:top w:val="none" w:sz="0" w:space="0" w:color="auto"/>
                    <w:left w:val="none" w:sz="0" w:space="0" w:color="auto"/>
                    <w:bottom w:val="none" w:sz="0" w:space="0" w:color="auto"/>
                    <w:right w:val="none" w:sz="0" w:space="0" w:color="auto"/>
                  </w:divBdr>
                </w:div>
                <w:div w:id="795414157">
                  <w:marLeft w:val="0"/>
                  <w:marRight w:val="0"/>
                  <w:marTop w:val="0"/>
                  <w:marBottom w:val="0"/>
                  <w:divBdr>
                    <w:top w:val="none" w:sz="0" w:space="0" w:color="auto"/>
                    <w:left w:val="none" w:sz="0" w:space="0" w:color="auto"/>
                    <w:bottom w:val="none" w:sz="0" w:space="0" w:color="auto"/>
                    <w:right w:val="none" w:sz="0" w:space="0" w:color="auto"/>
                  </w:divBdr>
                </w:div>
                <w:div w:id="1106196785">
                  <w:marLeft w:val="0"/>
                  <w:marRight w:val="0"/>
                  <w:marTop w:val="0"/>
                  <w:marBottom w:val="0"/>
                  <w:divBdr>
                    <w:top w:val="none" w:sz="0" w:space="0" w:color="auto"/>
                    <w:left w:val="none" w:sz="0" w:space="0" w:color="auto"/>
                    <w:bottom w:val="none" w:sz="0" w:space="0" w:color="auto"/>
                    <w:right w:val="none" w:sz="0" w:space="0" w:color="auto"/>
                  </w:divBdr>
                </w:div>
                <w:div w:id="444931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7216981">
          <w:marLeft w:val="0"/>
          <w:marRight w:val="0"/>
          <w:marTop w:val="0"/>
          <w:marBottom w:val="0"/>
          <w:divBdr>
            <w:top w:val="none" w:sz="0" w:space="0" w:color="auto"/>
            <w:left w:val="none" w:sz="0" w:space="0" w:color="auto"/>
            <w:bottom w:val="none" w:sz="0" w:space="0" w:color="auto"/>
            <w:right w:val="none" w:sz="0" w:space="0" w:color="auto"/>
          </w:divBdr>
          <w:divsChild>
            <w:div w:id="696976446">
              <w:marLeft w:val="0"/>
              <w:marRight w:val="0"/>
              <w:marTop w:val="0"/>
              <w:marBottom w:val="0"/>
              <w:divBdr>
                <w:top w:val="none" w:sz="0" w:space="0" w:color="auto"/>
                <w:left w:val="none" w:sz="0" w:space="0" w:color="auto"/>
                <w:bottom w:val="none" w:sz="0" w:space="0" w:color="auto"/>
                <w:right w:val="none" w:sz="0" w:space="0" w:color="auto"/>
              </w:divBdr>
              <w:divsChild>
                <w:div w:id="809246210">
                  <w:marLeft w:val="0"/>
                  <w:marRight w:val="0"/>
                  <w:marTop w:val="0"/>
                  <w:marBottom w:val="0"/>
                  <w:divBdr>
                    <w:top w:val="none" w:sz="0" w:space="0" w:color="auto"/>
                    <w:left w:val="none" w:sz="0" w:space="0" w:color="auto"/>
                    <w:bottom w:val="none" w:sz="0" w:space="0" w:color="auto"/>
                    <w:right w:val="none" w:sz="0" w:space="0" w:color="auto"/>
                  </w:divBdr>
                </w:div>
                <w:div w:id="1383482928">
                  <w:marLeft w:val="0"/>
                  <w:marRight w:val="0"/>
                  <w:marTop w:val="0"/>
                  <w:marBottom w:val="0"/>
                  <w:divBdr>
                    <w:top w:val="none" w:sz="0" w:space="0" w:color="auto"/>
                    <w:left w:val="none" w:sz="0" w:space="0" w:color="auto"/>
                    <w:bottom w:val="none" w:sz="0" w:space="0" w:color="auto"/>
                    <w:right w:val="none" w:sz="0" w:space="0" w:color="auto"/>
                  </w:divBdr>
                </w:div>
                <w:div w:id="744957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9200793">
          <w:marLeft w:val="0"/>
          <w:marRight w:val="0"/>
          <w:marTop w:val="0"/>
          <w:marBottom w:val="0"/>
          <w:divBdr>
            <w:top w:val="none" w:sz="0" w:space="0" w:color="auto"/>
            <w:left w:val="none" w:sz="0" w:space="0" w:color="auto"/>
            <w:bottom w:val="none" w:sz="0" w:space="0" w:color="auto"/>
            <w:right w:val="none" w:sz="0" w:space="0" w:color="auto"/>
          </w:divBdr>
          <w:divsChild>
            <w:div w:id="1406954807">
              <w:marLeft w:val="0"/>
              <w:marRight w:val="0"/>
              <w:marTop w:val="0"/>
              <w:marBottom w:val="0"/>
              <w:divBdr>
                <w:top w:val="none" w:sz="0" w:space="0" w:color="auto"/>
                <w:left w:val="none" w:sz="0" w:space="0" w:color="auto"/>
                <w:bottom w:val="none" w:sz="0" w:space="0" w:color="auto"/>
                <w:right w:val="none" w:sz="0" w:space="0" w:color="auto"/>
              </w:divBdr>
              <w:divsChild>
                <w:div w:id="2000306537">
                  <w:marLeft w:val="0"/>
                  <w:marRight w:val="0"/>
                  <w:marTop w:val="0"/>
                  <w:marBottom w:val="0"/>
                  <w:divBdr>
                    <w:top w:val="none" w:sz="0" w:space="0" w:color="auto"/>
                    <w:left w:val="none" w:sz="0" w:space="0" w:color="auto"/>
                    <w:bottom w:val="none" w:sz="0" w:space="0" w:color="auto"/>
                    <w:right w:val="none" w:sz="0" w:space="0" w:color="auto"/>
                  </w:divBdr>
                </w:div>
                <w:div w:id="1923953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6804981">
      <w:bodyDiv w:val="1"/>
      <w:marLeft w:val="0"/>
      <w:marRight w:val="0"/>
      <w:marTop w:val="0"/>
      <w:marBottom w:val="0"/>
      <w:divBdr>
        <w:top w:val="none" w:sz="0" w:space="0" w:color="auto"/>
        <w:left w:val="none" w:sz="0" w:space="0" w:color="auto"/>
        <w:bottom w:val="none" w:sz="0" w:space="0" w:color="auto"/>
        <w:right w:val="none" w:sz="0" w:space="0" w:color="auto"/>
      </w:divBdr>
    </w:div>
    <w:div w:id="2111317986">
      <w:bodyDiv w:val="1"/>
      <w:marLeft w:val="0"/>
      <w:marRight w:val="0"/>
      <w:marTop w:val="0"/>
      <w:marBottom w:val="0"/>
      <w:divBdr>
        <w:top w:val="none" w:sz="0" w:space="0" w:color="auto"/>
        <w:left w:val="none" w:sz="0" w:space="0" w:color="auto"/>
        <w:bottom w:val="none" w:sz="0" w:space="0" w:color="auto"/>
        <w:right w:val="none" w:sz="0" w:space="0" w:color="auto"/>
      </w:divBdr>
    </w:div>
    <w:div w:id="2131583000">
      <w:bodyDiv w:val="1"/>
      <w:marLeft w:val="0"/>
      <w:marRight w:val="0"/>
      <w:marTop w:val="0"/>
      <w:marBottom w:val="0"/>
      <w:divBdr>
        <w:top w:val="none" w:sz="0" w:space="0" w:color="auto"/>
        <w:left w:val="none" w:sz="0" w:space="0" w:color="auto"/>
        <w:bottom w:val="none" w:sz="0" w:space="0" w:color="auto"/>
        <w:right w:val="none" w:sz="0" w:space="0" w:color="auto"/>
      </w:divBdr>
    </w:div>
    <w:div w:id="21317773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Akt ligjor" ma:contentTypeID="0x01010080716BE30D554ECDBB1EF233ED6D983D"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Date_x0020_publikimi xmlns="0e656187-b300-4fb0-8bf4-3a50f872073c" xsi:nil="true"/>
    <Nr_x002e__x0020_akti xmlns="0e656187-b300-4fb0-8bf4-3a50f872073c">57</Nr_x002e__x0020_akti>
    <Data_x0020_e_x0020_Krijimit xmlns="0e656187-b300-4fb0-8bf4-3a50f872073c">2022-12-28T14:11:33Z</Data_x0020_e_x0020_Krijimit>
    <URL xmlns="0e656187-b300-4fb0-8bf4-3a50f872073c" xsi:nil="true"/>
    <Institucion_x0020_Pergjegjes xmlns="0e656187-b300-4fb0-8bf4-3a50f872073c">http://qbz.gov.al/resource/authority/legal-institution/8|banka-e-shqiperise</Institucion_x0020_Pergjegjes>
    <Lloji_x0020_i_x0020_aktit xmlns="0e656187-b300-4fb0-8bf4-3a50f872073c">Akt bazë</Lloji_x0020_i_x0020_aktit>
    <Tipi_x0020_i_x0020_aktit xmlns="0e656187-b300-4fb0-8bf4-3a50f872073c" xsi:nil="true"/>
    <P_x00eb_rshkrimi xmlns="0e656187-b300-4fb0-8bf4-3a50f872073c" xsi:nil="true"/>
    <Data_x0020_e_x0020_FZ xmlns="0e656187-b300-4fb0-8bf4-3a50f872073c" xsi:nil="true"/>
    <Akte_x0020_ekstra xmlns="0e656187-b300-4fb0-8bf4-3a50f872073c">false</Akte_x0020_ekstra>
    <Nr_x002e__x0020_FZ xmlns="0e656187-b300-4fb0-8bf4-3a50f872073c" xsi:nil="true"/>
    <Krijuesi xmlns="0e656187-b300-4fb0-8bf4-3a50f872073c">entela.suli</Krijuesi>
    <Date_x0020_protokolli xmlns="0e656187-b300-4fb0-8bf4-3a50f872073c">2022-12-27T23:00:00Z</Date_x0020_protokolli>
    <Titulli xmlns="0e656187-b300-4fb0-8bf4-3a50f872073c">Për miratimin e rregullores "Për ushtrimin e veprimtarisë dhe mbikëqyrjen e institucioneve të parasë elektronike"</Titulli>
    <Modifikuesi xmlns="0e656187-b300-4fb0-8bf4-3a50f872073c">jorina.kryeziu</Modifikuesi>
    <Nr_x002e__x0020_prot_x0020_QBZ xmlns="0e656187-b300-4fb0-8bf4-3a50f872073c">1917/1</Nr_x002e__x0020_prot_x0020_QBZ>
    <Data_x0020_e_x0020_Modifikimit xmlns="0e656187-b300-4fb0-8bf4-3a50f872073c">2023-01-04T10:35:14Z</Data_x0020_e_x0020_Modifikimit>
    <Dekretuar xmlns="0e656187-b300-4fb0-8bf4-3a50f872073c">false</Dekretuar>
    <Data xmlns="0e656187-b300-4fb0-8bf4-3a50f872073c">2022-12-20T23:00:00Z</Data>
    <Nr_x002e__x0020_protokolli_x0020_i_x0020_aktit xmlns="0e656187-b300-4fb0-8bf4-3a50f872073c">5591</Nr_x002e__x0020_protokolli_x0020_i_x0020_aktit>
    <Data_x0020_e_x0020_Aksesimit_x0020_t_x00eb__x0020_Fundit xmlns="0e656187-b300-4fb0-8bf4-3a50f872073c" xsi:nil="true"/>
    <Eligible_x0020_To_x0020_Select xmlns="0e656187-b300-4fb0-8bf4-3a50f872073c">true</Eligible_x0020_To_x0020_Select>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Akt ligjor" ma:contentTypeID="0x01010080716BE30D554ECDBB1EF233ED6D983D"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29BE31-F25E-436E-9FFE-976336C2342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A5EB4AA0-EF6A-44AD-B354-C64757C32FC7}">
  <ds:schemaRefs>
    <ds:schemaRef ds:uri="http://purl.org/dc/dcmitype/"/>
    <ds:schemaRef ds:uri="http://purl.org/dc/terms/"/>
    <ds:schemaRef ds:uri="http://schemas.microsoft.com/office/2006/metadata/properties"/>
    <ds:schemaRef ds:uri="http://schemas.microsoft.com/office/2006/documentManagement/types"/>
    <ds:schemaRef ds:uri="http://purl.org/dc/elements/1.1/"/>
    <ds:schemaRef ds:uri="0e656187-b300-4fb0-8bf4-3a50f872073c"/>
    <ds:schemaRef ds:uri="http://schemas.openxmlformats.org/package/2006/metadata/core-properties"/>
    <ds:schemaRef ds:uri="http://www.w3.org/XML/1998/namespace"/>
  </ds:schemaRefs>
</ds:datastoreItem>
</file>

<file path=customXml/itemProps3.xml><?xml version="1.0" encoding="utf-8"?>
<ds:datastoreItem xmlns:ds="http://schemas.openxmlformats.org/officeDocument/2006/customXml" ds:itemID="{F0C4ED37-B2E0-4479-A955-16D01E36108B}">
  <ds:schemaRefs>
    <ds:schemaRef ds:uri="http://schemas.microsoft.com/sharepoint/v3/contenttype/forms"/>
  </ds:schemaRefs>
</ds:datastoreItem>
</file>

<file path=customXml/itemProps4.xml><?xml version="1.0" encoding="utf-8"?>
<ds:datastoreItem xmlns:ds="http://schemas.openxmlformats.org/officeDocument/2006/customXml" ds:itemID="{4A7A0B8C-2894-4910-85FB-8256159B5C92}">
  <ds:schemaRefs>
    <ds:schemaRef ds:uri="http://schemas.microsoft.com/sharepoint/v3/contenttype/forms"/>
  </ds:schemaRefs>
</ds:datastoreItem>
</file>

<file path=customXml/itemProps5.xml><?xml version="1.0" encoding="utf-8"?>
<ds:datastoreItem xmlns:ds="http://schemas.openxmlformats.org/officeDocument/2006/customXml" ds:itemID="{860C09CC-7B36-4930-A1D8-DD77D90705D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6.xml><?xml version="1.0" encoding="utf-8"?>
<ds:datastoreItem xmlns:ds="http://schemas.openxmlformats.org/officeDocument/2006/customXml" ds:itemID="{6AF27507-A27B-46B0-8F6F-1630C7510F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7069</Words>
  <Characters>40299</Characters>
  <Application>Microsoft Office Word</Application>
  <DocSecurity>0</DocSecurity>
  <Lines>335</Lines>
  <Paragraphs>94</Paragraphs>
  <ScaleCrop>false</ScaleCrop>
  <HeadingPairs>
    <vt:vector size="2" baseType="variant">
      <vt:variant>
        <vt:lpstr>Title</vt:lpstr>
      </vt:variant>
      <vt:variant>
        <vt:i4>1</vt:i4>
      </vt:variant>
    </vt:vector>
  </HeadingPairs>
  <TitlesOfParts>
    <vt:vector size="1" baseType="lpstr">
      <vt:lpstr>Për miratimin e rregullores "Për ushtrimin e veprimtarisë dhe mbikëqyrjen e institucioneve të parasë elektronike"</vt:lpstr>
    </vt:vector>
  </TitlesOfParts>
  <Company/>
  <LinksUpToDate>false</LinksUpToDate>
  <CharactersWithSpaces>47274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Për miratimin e rregullores "Për ushtrimin e veprimtarisë dhe mbikëqyrjen e institucioneve të parasë elektronike"</dc:title>
  <cp:lastModifiedBy/>
  <cp:revision>1</cp:revision>
  <dcterms:created xsi:type="dcterms:W3CDTF">2022-11-23T15:07:00Z</dcterms:created>
  <dcterms:modified xsi:type="dcterms:W3CDTF">2023-01-04T11:00:00Z</dcterms:modified>
</cp:coreProperties>
</file>