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0FC832" w14:textId="77777777" w:rsidR="007E6D65" w:rsidRPr="007E6D65" w:rsidRDefault="00580240" w:rsidP="007E6D65">
      <w:pPr>
        <w:spacing w:after="0" w:line="240" w:lineRule="auto"/>
        <w:ind w:firstLine="284"/>
        <w:jc w:val="center"/>
        <w:rPr>
          <w:rFonts w:ascii="Garamond" w:eastAsia="Times New Roman" w:hAnsi="Garamond" w:cs="Times New Roman"/>
          <w:b/>
          <w:bCs/>
          <w:sz w:val="24"/>
          <w:szCs w:val="24"/>
        </w:rPr>
      </w:pPr>
      <w:r w:rsidRPr="007E6D65">
        <w:rPr>
          <w:rFonts w:ascii="Garamond" w:hAnsi="Garamond" w:cs="Times New Roman"/>
          <w:b/>
          <w:bCs/>
          <w:color w:val="000000"/>
          <w:sz w:val="24"/>
          <w:szCs w:val="24"/>
        </w:rPr>
        <w:t>VENDIM</w:t>
      </w:r>
    </w:p>
    <w:p w14:paraId="17DC57DF" w14:textId="507FF18B" w:rsidR="00580240" w:rsidRPr="007E6D65" w:rsidRDefault="00580240" w:rsidP="007E6D65">
      <w:pPr>
        <w:spacing w:after="0" w:line="240" w:lineRule="auto"/>
        <w:ind w:firstLine="284"/>
        <w:jc w:val="center"/>
        <w:rPr>
          <w:rFonts w:ascii="Garamond" w:eastAsia="Times New Roman" w:hAnsi="Garamond" w:cs="Times New Roman"/>
          <w:b/>
          <w:bCs/>
          <w:sz w:val="24"/>
          <w:szCs w:val="24"/>
        </w:rPr>
      </w:pPr>
      <w:r w:rsidRPr="007E6D65">
        <w:rPr>
          <w:rFonts w:ascii="Garamond" w:hAnsi="Garamond" w:cs="Times New Roman"/>
          <w:b/>
          <w:sz w:val="24"/>
          <w:szCs w:val="24"/>
        </w:rPr>
        <w:t>Nr</w:t>
      </w:r>
      <w:r w:rsidR="00465C5C" w:rsidRPr="007E6D65">
        <w:rPr>
          <w:rFonts w:ascii="Garamond" w:hAnsi="Garamond" w:cs="Times New Roman"/>
          <w:b/>
          <w:sz w:val="24"/>
          <w:szCs w:val="24"/>
        </w:rPr>
        <w:t>. 65</w:t>
      </w:r>
      <w:r w:rsidRPr="007E6D65">
        <w:rPr>
          <w:rFonts w:ascii="Garamond" w:hAnsi="Garamond" w:cs="Times New Roman"/>
          <w:b/>
          <w:sz w:val="24"/>
          <w:szCs w:val="24"/>
        </w:rPr>
        <w:t xml:space="preserve">, datë </w:t>
      </w:r>
      <w:r w:rsidR="00465C5C" w:rsidRPr="007E6D65">
        <w:rPr>
          <w:rFonts w:ascii="Garamond" w:hAnsi="Garamond" w:cs="Times New Roman"/>
          <w:b/>
          <w:sz w:val="24"/>
          <w:szCs w:val="24"/>
        </w:rPr>
        <w:t>21.12</w:t>
      </w:r>
      <w:r w:rsidRPr="007E6D65">
        <w:rPr>
          <w:rFonts w:ascii="Garamond" w:hAnsi="Garamond" w:cs="Times New Roman"/>
          <w:b/>
          <w:sz w:val="24"/>
          <w:szCs w:val="24"/>
        </w:rPr>
        <w:t>.2022</w:t>
      </w:r>
    </w:p>
    <w:p w14:paraId="7B23CDA4" w14:textId="77777777" w:rsidR="00580240" w:rsidRPr="007E6D65" w:rsidRDefault="00580240" w:rsidP="007E6D65">
      <w:pPr>
        <w:spacing w:after="0" w:line="240" w:lineRule="auto"/>
        <w:ind w:firstLine="284"/>
        <w:jc w:val="center"/>
        <w:rPr>
          <w:rFonts w:ascii="Garamond" w:eastAsia="Times New Roman" w:hAnsi="Garamond" w:cs="Times New Roman"/>
          <w:sz w:val="24"/>
          <w:szCs w:val="24"/>
        </w:rPr>
      </w:pPr>
    </w:p>
    <w:p w14:paraId="005D17C4" w14:textId="00D28E08" w:rsidR="00580240" w:rsidRPr="007E6D65" w:rsidRDefault="00197142" w:rsidP="00141A42">
      <w:pPr>
        <w:tabs>
          <w:tab w:val="left" w:pos="6300"/>
        </w:tabs>
        <w:spacing w:after="0" w:line="240" w:lineRule="auto"/>
        <w:jc w:val="center"/>
        <w:outlineLvl w:val="0"/>
        <w:rPr>
          <w:rFonts w:ascii="Garamond" w:eastAsia="Times New Roman" w:hAnsi="Garamond" w:cs="Times New Roman"/>
          <w:b/>
          <w:smallCaps/>
          <w:sz w:val="24"/>
          <w:szCs w:val="24"/>
        </w:rPr>
      </w:pPr>
      <w:r>
        <w:rPr>
          <w:rFonts w:ascii="Garamond" w:eastAsia="Arial Unicode MS" w:hAnsi="Garamond" w:cs="Times New Roman"/>
          <w:b/>
          <w:bCs/>
          <w:smallCaps/>
          <w:sz w:val="24"/>
          <w:szCs w:val="24"/>
        </w:rPr>
        <w:t xml:space="preserve">PËR MIRATIMIN E RREGULLORES </w:t>
      </w:r>
      <w:r w:rsidR="00B24C95">
        <w:rPr>
          <w:rFonts w:ascii="Garamond" w:eastAsia="Times New Roman" w:hAnsi="Garamond" w:cs="Times New Roman"/>
          <w:b/>
          <w:bCs/>
          <w:smallCaps/>
          <w:sz w:val="24"/>
          <w:szCs w:val="24"/>
        </w:rPr>
        <w:t>“</w:t>
      </w:r>
      <w:r w:rsidR="007E6D65" w:rsidRPr="007E6D65">
        <w:rPr>
          <w:rFonts w:ascii="Garamond" w:eastAsia="Times New Roman" w:hAnsi="Garamond" w:cs="Times New Roman"/>
          <w:b/>
          <w:bCs/>
          <w:smallCaps/>
          <w:sz w:val="24"/>
          <w:szCs w:val="24"/>
        </w:rPr>
        <w:t>PËR RAPORTIMIN STATISTIKOR TË MJETEVE DHE DETYRIMEVE TË SHOQËRIVE TË SIGURIMIT</w:t>
      </w:r>
      <w:r w:rsidR="00B24C95">
        <w:rPr>
          <w:rFonts w:ascii="Garamond" w:eastAsia="Times New Roman" w:hAnsi="Garamond" w:cs="Times New Roman"/>
          <w:b/>
          <w:bCs/>
          <w:smallCaps/>
          <w:sz w:val="24"/>
          <w:szCs w:val="24"/>
        </w:rPr>
        <w:t>”</w:t>
      </w:r>
    </w:p>
    <w:p w14:paraId="657AEEE1" w14:textId="78B4B84A" w:rsidR="00580240" w:rsidRPr="007E6D65" w:rsidRDefault="00580240" w:rsidP="007E6D65">
      <w:pPr>
        <w:tabs>
          <w:tab w:val="left" w:pos="6300"/>
        </w:tabs>
        <w:spacing w:after="0" w:line="240" w:lineRule="auto"/>
        <w:ind w:firstLine="284"/>
        <w:jc w:val="center"/>
        <w:outlineLvl w:val="0"/>
        <w:rPr>
          <w:rFonts w:ascii="Garamond" w:hAnsi="Garamond" w:cs="Times New Roman"/>
          <w:sz w:val="24"/>
          <w:szCs w:val="24"/>
        </w:rPr>
      </w:pPr>
      <w:r w:rsidRPr="007E6D65">
        <w:rPr>
          <w:rFonts w:ascii="Garamond" w:eastAsia="Times New Roman" w:hAnsi="Garamond" w:cs="Times New Roman"/>
          <w:b/>
          <w:bCs/>
          <w:smallCaps/>
          <w:sz w:val="24"/>
          <w:szCs w:val="24"/>
        </w:rPr>
        <w:t xml:space="preserve"> </w:t>
      </w:r>
    </w:p>
    <w:p w14:paraId="382B2A2D" w14:textId="0376DDBC" w:rsidR="00580240" w:rsidRPr="007E6D65" w:rsidRDefault="00580240" w:rsidP="007E6D65">
      <w:pPr>
        <w:spacing w:after="0" w:line="240" w:lineRule="auto"/>
        <w:ind w:firstLine="284"/>
        <w:jc w:val="both"/>
        <w:rPr>
          <w:rFonts w:ascii="Garamond" w:hAnsi="Garamond" w:cs="Times New Roman"/>
          <w:sz w:val="24"/>
          <w:szCs w:val="24"/>
        </w:rPr>
      </w:pPr>
      <w:r w:rsidRPr="007E6D65">
        <w:rPr>
          <w:rFonts w:ascii="Garamond" w:hAnsi="Garamond" w:cs="Times New Roman"/>
          <w:sz w:val="24"/>
          <w:szCs w:val="24"/>
        </w:rPr>
        <w:t>Në bazë dhe për zbatim të nenit 43</w:t>
      </w:r>
      <w:r w:rsidR="001020B6" w:rsidRPr="007E6D65">
        <w:rPr>
          <w:rFonts w:ascii="Garamond" w:hAnsi="Garamond" w:cs="Times New Roman"/>
          <w:sz w:val="24"/>
          <w:szCs w:val="24"/>
        </w:rPr>
        <w:t>,</w:t>
      </w:r>
      <w:r w:rsidRPr="007E6D65">
        <w:rPr>
          <w:rFonts w:ascii="Garamond" w:hAnsi="Garamond" w:cs="Times New Roman"/>
          <w:sz w:val="24"/>
          <w:szCs w:val="24"/>
        </w:rPr>
        <w:t xml:space="preserve"> shkronja </w:t>
      </w:r>
      <w:r w:rsidR="00B24C95">
        <w:rPr>
          <w:rFonts w:ascii="Garamond" w:hAnsi="Garamond" w:cs="Times New Roman"/>
          <w:sz w:val="24"/>
          <w:szCs w:val="24"/>
        </w:rPr>
        <w:t>“</w:t>
      </w:r>
      <w:r w:rsidRPr="007E6D65">
        <w:rPr>
          <w:rFonts w:ascii="Garamond" w:hAnsi="Garamond" w:cs="Times New Roman"/>
          <w:sz w:val="24"/>
          <w:szCs w:val="24"/>
        </w:rPr>
        <w:t>c</w:t>
      </w:r>
      <w:r w:rsidR="00B24C95">
        <w:rPr>
          <w:rFonts w:ascii="Garamond" w:hAnsi="Garamond" w:cs="Times New Roman"/>
          <w:sz w:val="24"/>
          <w:szCs w:val="24"/>
        </w:rPr>
        <w:t>”</w:t>
      </w:r>
      <w:r w:rsidRPr="007E6D65">
        <w:rPr>
          <w:rFonts w:ascii="Garamond" w:hAnsi="Garamond" w:cs="Times New Roman"/>
          <w:sz w:val="24"/>
          <w:szCs w:val="24"/>
        </w:rPr>
        <w:t>, të ligjit nr. 8269, datë 23.12.1997</w:t>
      </w:r>
      <w:r w:rsidR="001020B6" w:rsidRPr="007E6D65">
        <w:rPr>
          <w:rFonts w:ascii="Garamond" w:hAnsi="Garamond" w:cs="Times New Roman"/>
          <w:sz w:val="24"/>
          <w:szCs w:val="24"/>
        </w:rPr>
        <w:t>,</w:t>
      </w:r>
      <w:r w:rsidRPr="007E6D65">
        <w:rPr>
          <w:rFonts w:ascii="Garamond" w:hAnsi="Garamond" w:cs="Times New Roman"/>
          <w:sz w:val="24"/>
          <w:szCs w:val="24"/>
        </w:rPr>
        <w:t xml:space="preserve"> </w:t>
      </w:r>
      <w:r w:rsidR="00B24C95">
        <w:rPr>
          <w:rFonts w:ascii="Garamond" w:hAnsi="Garamond" w:cs="Times New Roman"/>
          <w:sz w:val="24"/>
          <w:szCs w:val="24"/>
        </w:rPr>
        <w:t>“</w:t>
      </w:r>
      <w:r w:rsidRPr="007E6D65">
        <w:rPr>
          <w:rFonts w:ascii="Garamond" w:hAnsi="Garamond" w:cs="Times New Roman"/>
          <w:sz w:val="24"/>
          <w:szCs w:val="24"/>
        </w:rPr>
        <w:t>Për Bankën e Shqipërisë</w:t>
      </w:r>
      <w:r w:rsidR="00B24C95">
        <w:rPr>
          <w:rFonts w:ascii="Garamond" w:hAnsi="Garamond" w:cs="Times New Roman"/>
          <w:sz w:val="24"/>
          <w:szCs w:val="24"/>
        </w:rPr>
        <w:t>”</w:t>
      </w:r>
      <w:r w:rsidRPr="007E6D65">
        <w:rPr>
          <w:rFonts w:ascii="Garamond" w:hAnsi="Garamond" w:cs="Times New Roman"/>
          <w:sz w:val="24"/>
          <w:szCs w:val="24"/>
        </w:rPr>
        <w:t xml:space="preserve">, i ndryshuar dhe ligjit nr. 30/2022 </w:t>
      </w:r>
      <w:r w:rsidR="00B24C95">
        <w:rPr>
          <w:rFonts w:ascii="Garamond" w:hAnsi="Garamond" w:cs="Times New Roman"/>
          <w:sz w:val="24"/>
          <w:szCs w:val="24"/>
        </w:rPr>
        <w:t>“</w:t>
      </w:r>
      <w:r w:rsidRPr="007E6D65">
        <w:rPr>
          <w:rFonts w:ascii="Garamond" w:hAnsi="Garamond" w:cs="Times New Roman"/>
          <w:sz w:val="24"/>
          <w:szCs w:val="24"/>
        </w:rPr>
        <w:t>Për miratimin e programit të statistikave zyrtare 2022-2026</w:t>
      </w:r>
      <w:r w:rsidR="00B24C95">
        <w:rPr>
          <w:rFonts w:ascii="Garamond" w:hAnsi="Garamond" w:cs="Times New Roman"/>
          <w:sz w:val="24"/>
          <w:szCs w:val="24"/>
        </w:rPr>
        <w:t>”</w:t>
      </w:r>
      <w:r w:rsidRPr="007E6D65">
        <w:rPr>
          <w:rFonts w:ascii="Garamond" w:hAnsi="Garamond" w:cs="Times New Roman"/>
          <w:sz w:val="24"/>
          <w:szCs w:val="24"/>
        </w:rPr>
        <w:t>, me propozimin e Departamentit të Statistikave Financiare, Këshilli Mbikëqyrës i Bankës së Shqipërisë,</w:t>
      </w:r>
    </w:p>
    <w:p w14:paraId="6AFDD6BD" w14:textId="77777777" w:rsidR="00580240" w:rsidRPr="007E6D65" w:rsidRDefault="00580240" w:rsidP="007E6D65">
      <w:pPr>
        <w:spacing w:after="0" w:line="240" w:lineRule="auto"/>
        <w:ind w:firstLine="284"/>
        <w:jc w:val="both"/>
        <w:rPr>
          <w:rFonts w:ascii="Garamond" w:hAnsi="Garamond" w:cs="Times New Roman"/>
          <w:sz w:val="24"/>
          <w:szCs w:val="24"/>
        </w:rPr>
      </w:pPr>
    </w:p>
    <w:p w14:paraId="2723FB0F" w14:textId="77777777" w:rsidR="00580240" w:rsidRPr="007E6D65" w:rsidRDefault="00580240" w:rsidP="007E6D65">
      <w:pPr>
        <w:spacing w:after="0" w:line="240" w:lineRule="auto"/>
        <w:ind w:firstLine="284"/>
        <w:jc w:val="center"/>
        <w:rPr>
          <w:rFonts w:ascii="Garamond" w:hAnsi="Garamond" w:cs="Times New Roman"/>
          <w:sz w:val="24"/>
          <w:szCs w:val="24"/>
        </w:rPr>
      </w:pPr>
      <w:r w:rsidRPr="007E6D65">
        <w:rPr>
          <w:rFonts w:ascii="Garamond" w:hAnsi="Garamond" w:cs="Times New Roman"/>
          <w:sz w:val="24"/>
          <w:szCs w:val="24"/>
        </w:rPr>
        <w:t>VENDOSI:</w:t>
      </w:r>
    </w:p>
    <w:p w14:paraId="2A634598" w14:textId="77777777" w:rsidR="00580240" w:rsidRPr="007E6D65" w:rsidRDefault="00580240" w:rsidP="007E6D65">
      <w:pPr>
        <w:spacing w:after="0" w:line="240" w:lineRule="auto"/>
        <w:ind w:firstLine="284"/>
        <w:jc w:val="both"/>
        <w:rPr>
          <w:rFonts w:ascii="Garamond" w:hAnsi="Garamond" w:cs="Times New Roman"/>
          <w:b/>
          <w:sz w:val="24"/>
          <w:szCs w:val="24"/>
        </w:rPr>
      </w:pPr>
    </w:p>
    <w:p w14:paraId="3D719536" w14:textId="60892042" w:rsidR="00580240" w:rsidRPr="007E6D65" w:rsidRDefault="007E6D65" w:rsidP="007E6D65">
      <w:pPr>
        <w:spacing w:after="0" w:line="240" w:lineRule="auto"/>
        <w:ind w:firstLine="284"/>
        <w:jc w:val="both"/>
        <w:rPr>
          <w:rFonts w:ascii="Garamond" w:eastAsia="Calibri" w:hAnsi="Garamond" w:cs="Times New Roman"/>
          <w:sz w:val="24"/>
          <w:szCs w:val="24"/>
        </w:rPr>
      </w:pPr>
      <w:r w:rsidRPr="007E6D65">
        <w:rPr>
          <w:rFonts w:ascii="Garamond" w:eastAsia="Arial Unicode MS" w:hAnsi="Garamond" w:cs="Times New Roman"/>
          <w:sz w:val="24"/>
          <w:szCs w:val="24"/>
        </w:rPr>
        <w:t xml:space="preserve">1. </w:t>
      </w:r>
      <w:r w:rsidR="00580240" w:rsidRPr="007E6D65">
        <w:rPr>
          <w:rFonts w:ascii="Garamond" w:eastAsia="Arial Unicode MS" w:hAnsi="Garamond" w:cs="Times New Roman"/>
          <w:sz w:val="24"/>
          <w:szCs w:val="24"/>
        </w:rPr>
        <w:t xml:space="preserve">Të miratojë rregulloren </w:t>
      </w:r>
      <w:r w:rsidR="00B24C95">
        <w:rPr>
          <w:rFonts w:ascii="Garamond" w:eastAsia="Arial Unicode MS" w:hAnsi="Garamond" w:cs="Times New Roman"/>
          <w:sz w:val="24"/>
          <w:szCs w:val="24"/>
        </w:rPr>
        <w:t>“</w:t>
      </w:r>
      <w:r w:rsidR="00465C5C" w:rsidRPr="007E6D65">
        <w:rPr>
          <w:rFonts w:ascii="Garamond" w:hAnsi="Garamond" w:cs="Times New Roman"/>
          <w:sz w:val="24"/>
          <w:szCs w:val="24"/>
        </w:rPr>
        <w:t>Për</w:t>
      </w:r>
      <w:r w:rsidR="00580240" w:rsidRPr="007E6D65">
        <w:rPr>
          <w:rFonts w:ascii="Garamond" w:hAnsi="Garamond" w:cs="Times New Roman"/>
          <w:sz w:val="24"/>
          <w:szCs w:val="24"/>
        </w:rPr>
        <w:t xml:space="preserve"> raportimin statistikor të mjeteve dhe detyrimeve të shoqërive të sigurimit</w:t>
      </w:r>
      <w:r w:rsidR="00B24C95">
        <w:rPr>
          <w:rFonts w:ascii="Garamond" w:eastAsia="Times New Roman" w:hAnsi="Garamond" w:cs="Times New Roman"/>
          <w:sz w:val="24"/>
          <w:szCs w:val="24"/>
        </w:rPr>
        <w:t>”</w:t>
      </w:r>
      <w:r w:rsidR="00580240" w:rsidRPr="007E6D65">
        <w:rPr>
          <w:rFonts w:ascii="Garamond" w:eastAsia="Times New Roman" w:hAnsi="Garamond" w:cs="Times New Roman"/>
          <w:sz w:val="24"/>
          <w:szCs w:val="24"/>
        </w:rPr>
        <w:t>, sipas tekstit bashkëlidhur këtij vendimi.</w:t>
      </w:r>
    </w:p>
    <w:p w14:paraId="50DA2DBF" w14:textId="6AB44F3C" w:rsidR="00580240" w:rsidRPr="007E6D65" w:rsidRDefault="007E6D65" w:rsidP="007E6D65">
      <w:pPr>
        <w:spacing w:after="0" w:line="240" w:lineRule="auto"/>
        <w:ind w:firstLine="284"/>
        <w:jc w:val="both"/>
        <w:rPr>
          <w:rFonts w:ascii="Garamond" w:eastAsia="Arial Unicode MS" w:hAnsi="Garamond" w:cs="Times New Roman"/>
          <w:sz w:val="24"/>
          <w:szCs w:val="24"/>
        </w:rPr>
      </w:pPr>
      <w:r w:rsidRPr="007E6D65">
        <w:rPr>
          <w:rFonts w:ascii="Garamond" w:eastAsia="Arial Unicode MS" w:hAnsi="Garamond" w:cs="Times New Roman"/>
          <w:sz w:val="24"/>
          <w:szCs w:val="24"/>
        </w:rPr>
        <w:t xml:space="preserve">2. </w:t>
      </w:r>
      <w:r w:rsidR="00580240" w:rsidRPr="007E6D65">
        <w:rPr>
          <w:rFonts w:ascii="Garamond" w:eastAsia="Arial Unicode MS" w:hAnsi="Garamond" w:cs="Times New Roman"/>
          <w:sz w:val="24"/>
          <w:szCs w:val="24"/>
        </w:rPr>
        <w:t>Ngarkohet Departamenti i Statistikave Financiare të Bankës së Shqipërisë, për ndjekjen e zbatimit të këtij vendimi.</w:t>
      </w:r>
    </w:p>
    <w:p w14:paraId="4246D0E1" w14:textId="2250ABC2" w:rsidR="00580240" w:rsidRPr="007E6D65" w:rsidRDefault="007E6D65" w:rsidP="007E6D65">
      <w:pPr>
        <w:spacing w:after="0" w:line="240" w:lineRule="auto"/>
        <w:ind w:firstLine="284"/>
        <w:jc w:val="both"/>
        <w:rPr>
          <w:rFonts w:ascii="Garamond" w:eastAsia="Arial Unicode MS" w:hAnsi="Garamond" w:cs="Times New Roman"/>
          <w:sz w:val="24"/>
          <w:szCs w:val="24"/>
        </w:rPr>
      </w:pPr>
      <w:r w:rsidRPr="007E6D65">
        <w:rPr>
          <w:rFonts w:ascii="Garamond" w:eastAsia="Arial Unicode MS" w:hAnsi="Garamond" w:cs="Times New Roman"/>
          <w:sz w:val="24"/>
          <w:szCs w:val="24"/>
        </w:rPr>
        <w:t xml:space="preserve">3. </w:t>
      </w:r>
      <w:r w:rsidR="00580240" w:rsidRPr="007E6D65">
        <w:rPr>
          <w:rFonts w:ascii="Garamond" w:eastAsia="Arial Unicode MS" w:hAnsi="Garamond" w:cs="Times New Roman"/>
          <w:sz w:val="24"/>
          <w:szCs w:val="24"/>
        </w:rPr>
        <w:t>Ngarkohet Kabineti i Guvernatorit dhe Departamenti i Kërkimeve me publikimin e këtij vendimi, përkatësisht në Fletoren Zyrtare të Republikës së Shqipërisë dhe në Buletinin Zyrtar të Bankës së Shqipërisë.</w:t>
      </w:r>
    </w:p>
    <w:p w14:paraId="682FA03E" w14:textId="3FFBCFB0" w:rsidR="00580240" w:rsidRDefault="00580240" w:rsidP="007E6D65">
      <w:pPr>
        <w:spacing w:after="0" w:line="240" w:lineRule="auto"/>
        <w:ind w:firstLine="284"/>
        <w:jc w:val="both"/>
        <w:rPr>
          <w:rFonts w:ascii="Garamond" w:eastAsia="Arial Unicode MS" w:hAnsi="Garamond" w:cs="Times New Roman"/>
          <w:sz w:val="24"/>
          <w:szCs w:val="24"/>
        </w:rPr>
      </w:pPr>
      <w:r w:rsidRPr="007E6D65">
        <w:rPr>
          <w:rFonts w:ascii="Garamond" w:eastAsia="Arial Unicode MS" w:hAnsi="Garamond" w:cs="Times New Roman"/>
          <w:sz w:val="24"/>
          <w:szCs w:val="24"/>
        </w:rPr>
        <w:t>Ky vendim hyn në fuqi 15 ditë pas botimit në Fletoren Zyrtare</w:t>
      </w:r>
      <w:r w:rsidR="00465C5C" w:rsidRPr="007E6D65">
        <w:rPr>
          <w:rFonts w:ascii="Garamond" w:eastAsia="Arial Unicode MS" w:hAnsi="Garamond" w:cs="Times New Roman"/>
          <w:sz w:val="24"/>
          <w:szCs w:val="24"/>
        </w:rPr>
        <w:t>.</w:t>
      </w:r>
    </w:p>
    <w:p w14:paraId="5D1E1C73" w14:textId="77777777" w:rsidR="00AF6468" w:rsidRDefault="00AF6468" w:rsidP="007E6D65">
      <w:pPr>
        <w:spacing w:after="0" w:line="240" w:lineRule="auto"/>
        <w:ind w:firstLine="284"/>
        <w:jc w:val="both"/>
        <w:rPr>
          <w:rFonts w:ascii="Garamond" w:eastAsia="Arial Unicode MS" w:hAnsi="Garamond" w:cs="Times New Roman"/>
          <w:sz w:val="24"/>
          <w:szCs w:val="24"/>
        </w:rPr>
      </w:pPr>
    </w:p>
    <w:p w14:paraId="30949B52" w14:textId="77777777" w:rsidR="00AF6468" w:rsidRDefault="00AF6468" w:rsidP="00AF6468">
      <w:pPr>
        <w:spacing w:after="0" w:line="240" w:lineRule="auto"/>
        <w:ind w:firstLine="284"/>
        <w:jc w:val="right"/>
        <w:rPr>
          <w:rFonts w:ascii="Garamond" w:hAnsi="Garamond" w:cs="Times New Roman"/>
          <w:b/>
          <w:bCs/>
          <w:sz w:val="24"/>
          <w:szCs w:val="24"/>
        </w:rPr>
      </w:pPr>
      <w:r w:rsidRPr="007E6D65">
        <w:rPr>
          <w:rFonts w:ascii="Garamond" w:hAnsi="Garamond" w:cs="Times New Roman"/>
          <w:sz w:val="24"/>
          <w:szCs w:val="24"/>
        </w:rPr>
        <w:t>KRYETAR</w:t>
      </w:r>
      <w:r w:rsidRPr="00AF6468">
        <w:rPr>
          <w:rFonts w:ascii="Garamond" w:hAnsi="Garamond" w:cs="Times New Roman"/>
          <w:b/>
          <w:bCs/>
          <w:sz w:val="24"/>
          <w:szCs w:val="24"/>
        </w:rPr>
        <w:t xml:space="preserve"> </w:t>
      </w:r>
    </w:p>
    <w:p w14:paraId="6736443D" w14:textId="501759D3" w:rsidR="00AF6468" w:rsidRDefault="00AF6468" w:rsidP="00AF6468">
      <w:pPr>
        <w:spacing w:after="0" w:line="240" w:lineRule="auto"/>
        <w:ind w:firstLine="284"/>
        <w:jc w:val="right"/>
        <w:rPr>
          <w:rFonts w:ascii="Garamond" w:eastAsia="Arial Unicode MS" w:hAnsi="Garamond" w:cs="Times New Roman"/>
          <w:sz w:val="24"/>
          <w:szCs w:val="24"/>
        </w:rPr>
      </w:pPr>
      <w:r w:rsidRPr="007E6D65">
        <w:rPr>
          <w:rFonts w:ascii="Garamond" w:hAnsi="Garamond" w:cs="Times New Roman"/>
          <w:b/>
          <w:bCs/>
          <w:sz w:val="24"/>
          <w:szCs w:val="24"/>
        </w:rPr>
        <w:t>Gent Sejko</w:t>
      </w:r>
    </w:p>
    <w:p w14:paraId="27E4B78C" w14:textId="77777777" w:rsidR="00AF6468" w:rsidRDefault="00AF6468" w:rsidP="007E6D65">
      <w:pPr>
        <w:spacing w:after="0" w:line="240" w:lineRule="auto"/>
        <w:ind w:firstLine="284"/>
        <w:jc w:val="both"/>
        <w:rPr>
          <w:rFonts w:ascii="Garamond" w:eastAsia="Arial Unicode MS" w:hAnsi="Garamond" w:cs="Times New Roman"/>
          <w:sz w:val="24"/>
          <w:szCs w:val="24"/>
        </w:rPr>
      </w:pPr>
    </w:p>
    <w:p w14:paraId="6E5D9498" w14:textId="77777777" w:rsidR="00AF6468" w:rsidRDefault="00AF6468" w:rsidP="00AF6468">
      <w:pPr>
        <w:spacing w:after="0" w:line="240" w:lineRule="auto"/>
        <w:ind w:firstLine="284"/>
        <w:jc w:val="center"/>
        <w:rPr>
          <w:rFonts w:ascii="Garamond" w:eastAsia="Arial Unicode MS" w:hAnsi="Garamond" w:cs="Times New Roman"/>
          <w:b/>
          <w:bCs/>
          <w:smallCaps/>
          <w:sz w:val="24"/>
          <w:szCs w:val="24"/>
        </w:rPr>
      </w:pPr>
      <w:r>
        <w:rPr>
          <w:rFonts w:ascii="Garamond" w:eastAsia="Arial Unicode MS" w:hAnsi="Garamond" w:cs="Times New Roman"/>
          <w:b/>
          <w:bCs/>
          <w:smallCaps/>
          <w:sz w:val="24"/>
          <w:szCs w:val="24"/>
        </w:rPr>
        <w:t>RREGULLORE</w:t>
      </w:r>
    </w:p>
    <w:p w14:paraId="52AE1C8C" w14:textId="6F440CE9" w:rsidR="00580240" w:rsidRPr="00AF6468" w:rsidRDefault="00AF6468" w:rsidP="00AF6468">
      <w:pPr>
        <w:spacing w:after="0" w:line="240" w:lineRule="auto"/>
        <w:ind w:firstLine="284"/>
        <w:jc w:val="center"/>
        <w:rPr>
          <w:rFonts w:ascii="Garamond" w:eastAsia="Times New Roman" w:hAnsi="Garamond" w:cs="Times New Roman"/>
          <w:bCs/>
          <w:smallCaps/>
          <w:sz w:val="24"/>
          <w:szCs w:val="24"/>
        </w:rPr>
      </w:pPr>
      <w:r w:rsidRPr="00AF6468">
        <w:rPr>
          <w:rFonts w:ascii="Garamond" w:eastAsia="Times New Roman" w:hAnsi="Garamond" w:cs="Times New Roman"/>
          <w:bCs/>
          <w:smallCaps/>
          <w:sz w:val="24"/>
          <w:szCs w:val="24"/>
        </w:rPr>
        <w:t>PËR RAPORTIMIN STATISTIKOR TË MJETEVE DHE DETYRIMEVE TË SHOQËRIVE TË SIGURIMIT</w:t>
      </w:r>
    </w:p>
    <w:p w14:paraId="1D413401" w14:textId="77777777" w:rsidR="00AF6468" w:rsidRPr="007E6D65" w:rsidRDefault="00AF6468" w:rsidP="007E6D65">
      <w:pPr>
        <w:spacing w:after="0" w:line="240" w:lineRule="auto"/>
        <w:ind w:firstLine="284"/>
        <w:rPr>
          <w:rFonts w:ascii="Garamond" w:hAnsi="Garamond" w:cs="Times New Roman"/>
          <w:b/>
          <w:bCs/>
          <w:sz w:val="24"/>
          <w:szCs w:val="24"/>
        </w:rPr>
      </w:pPr>
    </w:p>
    <w:p w14:paraId="2BE3AE43"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7E6D65">
        <w:rPr>
          <w:rFonts w:ascii="Garamond" w:hAnsi="Garamond" w:cs="Times New Roman"/>
          <w:bCs/>
          <w:color w:val="000000"/>
          <w:sz w:val="24"/>
          <w:szCs w:val="24"/>
        </w:rPr>
        <w:t>Neni 1</w:t>
      </w:r>
    </w:p>
    <w:p w14:paraId="58A11921"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Objekti dhe fusha e veprimit</w:t>
      </w:r>
    </w:p>
    <w:p w14:paraId="374DEA32"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431E4686"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Rregullorja përcakton kërkesat e raportimit në lidhje me informacionin statistikor të mjeteve dhe detyrimeve të shoqërive të sigurimit që ushtrojnë aktivitet në territorin e Republikës së Shqipërisë. </w:t>
      </w:r>
    </w:p>
    <w:p w14:paraId="7B844BA8"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1D576917"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7E6D65">
        <w:rPr>
          <w:rFonts w:ascii="Garamond" w:hAnsi="Garamond" w:cs="Times New Roman"/>
          <w:bCs/>
          <w:color w:val="000000"/>
          <w:sz w:val="24"/>
          <w:szCs w:val="24"/>
        </w:rPr>
        <w:t>Neni 2</w:t>
      </w:r>
    </w:p>
    <w:p w14:paraId="3D6750FA"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Baza ligjore</w:t>
      </w:r>
    </w:p>
    <w:p w14:paraId="3F9A5472"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p>
    <w:p w14:paraId="1EA67A26"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Kjo rregullore nxirret në mbështetje të: </w:t>
      </w:r>
    </w:p>
    <w:p w14:paraId="2D6915DA" w14:textId="5A544063"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a) nenit 26, pika 1, të ligjit nr. 17/2018 </w:t>
      </w:r>
      <w:r w:rsidR="00B24C95">
        <w:rPr>
          <w:rFonts w:ascii="Garamond" w:hAnsi="Garamond" w:cs="Times New Roman"/>
          <w:color w:val="000000"/>
          <w:sz w:val="24"/>
          <w:szCs w:val="24"/>
        </w:rPr>
        <w:t>“</w:t>
      </w:r>
      <w:r w:rsidRPr="007E6D65">
        <w:rPr>
          <w:rFonts w:ascii="Garamond" w:hAnsi="Garamond" w:cs="Times New Roman"/>
          <w:color w:val="000000"/>
          <w:sz w:val="24"/>
          <w:szCs w:val="24"/>
        </w:rPr>
        <w:t>Për statistikat zyrtare</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i ndryshuar; </w:t>
      </w:r>
    </w:p>
    <w:p w14:paraId="2107D396" w14:textId="267209B5"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b) ligjit nr. 30/2022 </w:t>
      </w:r>
      <w:r w:rsidR="00B24C95">
        <w:rPr>
          <w:rFonts w:ascii="Garamond" w:hAnsi="Garamond" w:cs="Times New Roman"/>
          <w:color w:val="000000"/>
          <w:sz w:val="24"/>
          <w:szCs w:val="24"/>
        </w:rPr>
        <w:t>“</w:t>
      </w:r>
      <w:r w:rsidRPr="007E6D65">
        <w:rPr>
          <w:rFonts w:ascii="Garamond" w:hAnsi="Garamond" w:cs="Times New Roman"/>
          <w:color w:val="000000"/>
          <w:sz w:val="24"/>
          <w:szCs w:val="24"/>
        </w:rPr>
        <w:t>Për miratimin e programit të statistikave zyrtare 2022-2026</w:t>
      </w:r>
      <w:r w:rsidR="00B24C95">
        <w:rPr>
          <w:rFonts w:ascii="Garamond" w:hAnsi="Garamond" w:cs="Times New Roman"/>
          <w:color w:val="000000"/>
          <w:sz w:val="24"/>
          <w:szCs w:val="24"/>
        </w:rPr>
        <w:t>”</w:t>
      </w:r>
      <w:r w:rsidRPr="007E6D65">
        <w:rPr>
          <w:rFonts w:ascii="Garamond" w:hAnsi="Garamond" w:cs="Times New Roman"/>
          <w:color w:val="000000"/>
          <w:sz w:val="24"/>
          <w:szCs w:val="24"/>
        </w:rPr>
        <w:t>.</w:t>
      </w:r>
    </w:p>
    <w:p w14:paraId="444CD977"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p>
    <w:p w14:paraId="533F7801"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7E6D65">
        <w:rPr>
          <w:rFonts w:ascii="Garamond" w:hAnsi="Garamond" w:cs="Times New Roman"/>
          <w:bCs/>
          <w:color w:val="000000"/>
          <w:sz w:val="24"/>
          <w:szCs w:val="24"/>
        </w:rPr>
        <w:t>Neni 3</w:t>
      </w:r>
      <w:r w:rsidRPr="007E6D65">
        <w:rPr>
          <w:rFonts w:ascii="Garamond" w:hAnsi="Garamond" w:cs="Times New Roman"/>
          <w:color w:val="000000"/>
          <w:sz w:val="24"/>
          <w:szCs w:val="24"/>
        </w:rPr>
        <w:t xml:space="preserve"> </w:t>
      </w:r>
    </w:p>
    <w:p w14:paraId="44EBAD08"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Përkufizime</w:t>
      </w:r>
    </w:p>
    <w:p w14:paraId="2ECFD4DF"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2059F09D"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Për qëllimet e kësaj rregulloreje: </w:t>
      </w:r>
    </w:p>
    <w:p w14:paraId="35706F4F" w14:textId="2EDFC54F"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1. </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shoqëri sigurimi ka të njëjtin kuptim siç përcaktohet në nenin 4, pika 43, të rregullores nr. 52/2014, </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Për </w:t>
      </w:r>
      <w:r w:rsidR="00370BDA" w:rsidRPr="007E6D65">
        <w:rPr>
          <w:rFonts w:ascii="Garamond" w:hAnsi="Garamond" w:cs="Times New Roman"/>
          <w:color w:val="000000"/>
          <w:sz w:val="24"/>
          <w:szCs w:val="24"/>
        </w:rPr>
        <w:t>veprimtarinë e sigurimit dhe risigurimit</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Sa më poshtë përfshihen në përkufizim: </w:t>
      </w:r>
    </w:p>
    <w:p w14:paraId="356AECFC" w14:textId="0507050B"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a) një korporatë financiare që ofron shërbime të sigurimit të jetës, ku mbajtësit e policës bëjnë pagesa të rregullta ose të njëhershme për siguruesin dhe në këmbim siguruesi garanton t</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u sigurojë mbajtësve të policës një shumë dakordësuar, ose një pension vjetor, në një datë të caktuar ose më herët; </w:t>
      </w:r>
    </w:p>
    <w:p w14:paraId="62125DBB" w14:textId="7007F708" w:rsidR="007E6D65" w:rsidRPr="007E6D65" w:rsidRDefault="007E6D65" w:rsidP="007E6D65">
      <w:pPr>
        <w:tabs>
          <w:tab w:val="left" w:pos="360"/>
        </w:tabs>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b) një korporatë financiare që ofron shërbime të sigurimit jojetë për të mbuluar rreziqe të tilla si, për shembull, rreziqet e aksidenteve, sëmundjes, zjarrit ose mospagimit të kredisë; </w:t>
      </w:r>
    </w:p>
    <w:p w14:paraId="75A2B522" w14:textId="275128FF"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lastRenderedPageBreak/>
        <w:t xml:space="preserve">c) një korporatë financiare që ofron shërbime risigurimi, ku sigurimi blihet nga siguruesi për të mbrojtur veten kundër një numri të madh të papritur dëmesh ose dëmesh jashtëzakonisht të mëdha. </w:t>
      </w:r>
    </w:p>
    <w:p w14:paraId="7E0BD042"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Më poshtë nuk përfshihen brenda përkufizimit: </w:t>
      </w:r>
    </w:p>
    <w:p w14:paraId="26417E5F" w14:textId="56E33164"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d) fondet e investimeve ka të njëjtin kuptim siç përcaktohet në nenin 2, pika 23, të ligjit nr. 56/2020, datë 30.4.2020, </w:t>
      </w:r>
      <w:r w:rsidR="00B24C95">
        <w:rPr>
          <w:rFonts w:ascii="Garamond" w:hAnsi="Garamond" w:cs="Times New Roman"/>
          <w:color w:val="000000"/>
          <w:sz w:val="24"/>
          <w:szCs w:val="24"/>
        </w:rPr>
        <w:t>“</w:t>
      </w:r>
      <w:r w:rsidRPr="007E6D65">
        <w:rPr>
          <w:rFonts w:ascii="Garamond" w:hAnsi="Garamond" w:cs="Times New Roman"/>
          <w:color w:val="000000"/>
          <w:sz w:val="24"/>
          <w:szCs w:val="24"/>
        </w:rPr>
        <w:t>Për sipërmarrjet e investimeve kolektive</w:t>
      </w:r>
      <w:r w:rsidR="00B24C95">
        <w:rPr>
          <w:rFonts w:ascii="Garamond" w:hAnsi="Garamond" w:cs="Times New Roman"/>
          <w:color w:val="000000"/>
          <w:sz w:val="24"/>
          <w:szCs w:val="24"/>
        </w:rPr>
        <w:t>”</w:t>
      </w:r>
      <w:r w:rsidRPr="007E6D65">
        <w:rPr>
          <w:rFonts w:ascii="Garamond" w:hAnsi="Garamond" w:cs="Times New Roman"/>
          <w:color w:val="000000"/>
          <w:sz w:val="24"/>
          <w:szCs w:val="24"/>
        </w:rPr>
        <w:t>;</w:t>
      </w:r>
    </w:p>
    <w:p w14:paraId="3999C8DF" w14:textId="0514BA4D" w:rsidR="007E6D65" w:rsidRPr="007E6D65" w:rsidRDefault="007E6D65" w:rsidP="007E6D65">
      <w:pPr>
        <w:tabs>
          <w:tab w:val="left" w:pos="720"/>
        </w:tabs>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e) ndihmës të tjerë financiarë të përfshirë në transaksionet e titullzimit; </w:t>
      </w:r>
    </w:p>
    <w:p w14:paraId="5BBBDBFE" w14:textId="59A12165"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f) </w:t>
      </w:r>
      <w:r w:rsidR="00B24C95">
        <w:rPr>
          <w:rFonts w:ascii="Garamond" w:hAnsi="Garamond" w:cs="Times New Roman"/>
          <w:color w:val="000000"/>
          <w:sz w:val="24"/>
          <w:szCs w:val="24"/>
        </w:rPr>
        <w:t>“</w:t>
      </w:r>
      <w:r w:rsidRPr="007E6D65">
        <w:rPr>
          <w:rFonts w:ascii="Garamond" w:hAnsi="Garamond" w:cs="Times New Roman"/>
          <w:color w:val="000000"/>
          <w:sz w:val="24"/>
          <w:szCs w:val="24"/>
        </w:rPr>
        <w:t>institucion monetar financiar (IMF)</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ka të njëjtin kuptim siç përcaktohet në nenin 3, pika 1, të rregullores nr. 73/2021</w:t>
      </w:r>
      <w:r w:rsidR="00370BDA">
        <w:rPr>
          <w:rFonts w:ascii="Garamond" w:hAnsi="Garamond" w:cs="Times New Roman"/>
          <w:color w:val="000000"/>
          <w:sz w:val="24"/>
          <w:szCs w:val="24"/>
        </w:rPr>
        <w:t>,</w:t>
      </w:r>
      <w:r w:rsidRPr="007E6D65">
        <w:rPr>
          <w:rFonts w:ascii="Garamond" w:hAnsi="Garamond" w:cs="Times New Roman"/>
          <w:color w:val="000000"/>
          <w:sz w:val="24"/>
          <w:szCs w:val="24"/>
        </w:rPr>
        <w:t xml:space="preserve"> të Bankës së Shqipërisë </w:t>
      </w:r>
      <w:r w:rsidR="00B24C95">
        <w:rPr>
          <w:rFonts w:ascii="Garamond" w:hAnsi="Garamond" w:cs="Times New Roman"/>
          <w:color w:val="000000"/>
          <w:sz w:val="24"/>
          <w:szCs w:val="24"/>
        </w:rPr>
        <w:t>“</w:t>
      </w:r>
      <w:r w:rsidRPr="007E6D65">
        <w:rPr>
          <w:rFonts w:ascii="Garamond" w:hAnsi="Garamond" w:cs="Times New Roman"/>
          <w:color w:val="000000"/>
          <w:sz w:val="24"/>
          <w:szCs w:val="24"/>
        </w:rPr>
        <w:t>Për raportimet në Bankën e Shqipërisë të zërave të bilancit të institucioneve të kreditit dhe të institucioneve monetare financiare</w:t>
      </w:r>
      <w:r w:rsidR="00B24C95">
        <w:rPr>
          <w:rFonts w:ascii="Garamond" w:hAnsi="Garamond" w:cs="Times New Roman"/>
          <w:color w:val="000000"/>
          <w:sz w:val="24"/>
          <w:szCs w:val="24"/>
        </w:rPr>
        <w:t>”</w:t>
      </w:r>
      <w:r w:rsidRPr="007E6D65">
        <w:rPr>
          <w:rFonts w:ascii="Garamond" w:hAnsi="Garamond" w:cs="Times New Roman"/>
          <w:color w:val="000000"/>
          <w:sz w:val="24"/>
          <w:szCs w:val="24"/>
        </w:rPr>
        <w:t>;</w:t>
      </w:r>
    </w:p>
    <w:p w14:paraId="50F375F7" w14:textId="158AF44A"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g) </w:t>
      </w:r>
      <w:r w:rsidR="00B24C95">
        <w:rPr>
          <w:rFonts w:ascii="Garamond" w:hAnsi="Garamond" w:cs="Times New Roman"/>
          <w:color w:val="000000"/>
          <w:sz w:val="24"/>
          <w:szCs w:val="24"/>
        </w:rPr>
        <w:t>“</w:t>
      </w:r>
      <w:r w:rsidRPr="007E6D65">
        <w:rPr>
          <w:rFonts w:ascii="Garamond" w:hAnsi="Garamond" w:cs="Times New Roman"/>
          <w:color w:val="000000"/>
          <w:sz w:val="24"/>
          <w:szCs w:val="24"/>
        </w:rPr>
        <w:t>fondet e pensioneve</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siç përcaktohen në nenin 4, shkronja </w:t>
      </w:r>
      <w:r w:rsidR="00B24C95">
        <w:rPr>
          <w:rFonts w:ascii="Garamond" w:hAnsi="Garamond" w:cs="Times New Roman"/>
          <w:color w:val="000000"/>
          <w:sz w:val="24"/>
          <w:szCs w:val="24"/>
        </w:rPr>
        <w:t>“</w:t>
      </w:r>
      <w:r w:rsidRPr="007E6D65">
        <w:rPr>
          <w:rFonts w:ascii="Garamond" w:hAnsi="Garamond" w:cs="Times New Roman"/>
          <w:color w:val="000000"/>
          <w:sz w:val="24"/>
          <w:szCs w:val="24"/>
        </w:rPr>
        <w:t>g</w:t>
      </w:r>
      <w:r w:rsidR="00B24C95">
        <w:rPr>
          <w:rFonts w:ascii="Garamond" w:hAnsi="Garamond" w:cs="Times New Roman"/>
          <w:color w:val="000000"/>
          <w:sz w:val="24"/>
          <w:szCs w:val="24"/>
        </w:rPr>
        <w:t>”</w:t>
      </w:r>
      <w:r w:rsidRPr="007E6D65">
        <w:rPr>
          <w:rFonts w:ascii="Garamond" w:hAnsi="Garamond" w:cs="Times New Roman"/>
          <w:color w:val="000000"/>
          <w:sz w:val="24"/>
          <w:szCs w:val="24"/>
        </w:rPr>
        <w:t>, dhe nenin 5, pika 1, të rregullores nr.</w:t>
      </w:r>
      <w:r w:rsidR="00370BDA">
        <w:rPr>
          <w:rFonts w:ascii="Garamond" w:hAnsi="Garamond" w:cs="Times New Roman"/>
          <w:color w:val="000000"/>
          <w:sz w:val="24"/>
          <w:szCs w:val="24"/>
        </w:rPr>
        <w:t xml:space="preserve"> </w:t>
      </w:r>
      <w:r w:rsidRPr="007E6D65">
        <w:rPr>
          <w:rFonts w:ascii="Garamond" w:hAnsi="Garamond" w:cs="Times New Roman"/>
          <w:color w:val="000000"/>
          <w:sz w:val="24"/>
          <w:szCs w:val="24"/>
        </w:rPr>
        <w:t xml:space="preserve">10 197, datë 10.12.2009, </w:t>
      </w:r>
      <w:r w:rsidR="00B24C95">
        <w:rPr>
          <w:rFonts w:ascii="Garamond" w:hAnsi="Garamond" w:cs="Times New Roman"/>
          <w:color w:val="000000"/>
          <w:sz w:val="24"/>
          <w:szCs w:val="24"/>
        </w:rPr>
        <w:t>“</w:t>
      </w:r>
      <w:r w:rsidRPr="007E6D65">
        <w:rPr>
          <w:rFonts w:ascii="Garamond" w:hAnsi="Garamond" w:cs="Times New Roman"/>
          <w:color w:val="000000"/>
          <w:sz w:val="24"/>
          <w:szCs w:val="24"/>
        </w:rPr>
        <w:t>Për fondet e pensionit vullnetar</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w:t>
      </w:r>
    </w:p>
    <w:p w14:paraId="270164A4" w14:textId="67CB8939"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2 </w:t>
      </w:r>
      <w:r w:rsidR="00B24C95">
        <w:rPr>
          <w:rFonts w:ascii="Garamond" w:hAnsi="Garamond" w:cs="Times New Roman"/>
          <w:color w:val="000000"/>
          <w:sz w:val="24"/>
          <w:szCs w:val="24"/>
        </w:rPr>
        <w:t>“</w:t>
      </w:r>
      <w:r w:rsidRPr="007E6D65">
        <w:rPr>
          <w:rFonts w:ascii="Garamond" w:hAnsi="Garamond" w:cs="Times New Roman"/>
          <w:color w:val="000000"/>
          <w:sz w:val="24"/>
          <w:szCs w:val="24"/>
        </w:rPr>
        <w:t>rezident</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ka të njëjtin kuptim siç përcaktohet në nenin 3, pika 6, të rregullores nr. 73/2021 të Bankës së Shqipërisë </w:t>
      </w:r>
      <w:r w:rsidR="00B24C95">
        <w:rPr>
          <w:rFonts w:ascii="Garamond" w:hAnsi="Garamond" w:cs="Times New Roman"/>
          <w:color w:val="000000"/>
          <w:sz w:val="24"/>
          <w:szCs w:val="24"/>
        </w:rPr>
        <w:t>“</w:t>
      </w:r>
      <w:r w:rsidRPr="007E6D65">
        <w:rPr>
          <w:rFonts w:ascii="Garamond" w:hAnsi="Garamond" w:cs="Times New Roman"/>
          <w:color w:val="000000"/>
          <w:sz w:val="24"/>
          <w:szCs w:val="24"/>
        </w:rPr>
        <w:t>Për raportimet në Bankën e Shqipërisë të zërave të bilancit të institucioneve të kreditit dhe të institucioneve monetare financiare</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w:t>
      </w:r>
    </w:p>
    <w:p w14:paraId="7B7EAE3B" w14:textId="3842626F"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3. </w:t>
      </w:r>
      <w:r w:rsidR="00B24C95">
        <w:rPr>
          <w:rFonts w:ascii="Garamond" w:hAnsi="Garamond" w:cs="Times New Roman"/>
          <w:color w:val="000000"/>
          <w:sz w:val="24"/>
          <w:szCs w:val="24"/>
        </w:rPr>
        <w:t>“</w:t>
      </w:r>
      <w:r w:rsidRPr="007E6D65">
        <w:rPr>
          <w:rFonts w:ascii="Garamond" w:hAnsi="Garamond" w:cs="Times New Roman"/>
          <w:color w:val="000000"/>
          <w:sz w:val="24"/>
          <w:szCs w:val="24"/>
        </w:rPr>
        <w:t>të dhëna titull-për-titull</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do të thotë të dhëna të detajuara për çdo titull;</w:t>
      </w:r>
    </w:p>
    <w:p w14:paraId="45EF18A6" w14:textId="45766E33"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4. </w:t>
      </w:r>
      <w:r w:rsidR="00B24C95">
        <w:rPr>
          <w:rFonts w:ascii="Garamond" w:hAnsi="Garamond" w:cs="Times New Roman"/>
          <w:color w:val="000000"/>
          <w:sz w:val="24"/>
          <w:szCs w:val="24"/>
        </w:rPr>
        <w:t>“</w:t>
      </w:r>
      <w:r w:rsidRPr="007E6D65">
        <w:rPr>
          <w:rFonts w:ascii="Garamond" w:hAnsi="Garamond" w:cs="Times New Roman"/>
          <w:color w:val="000000"/>
          <w:sz w:val="24"/>
          <w:szCs w:val="24"/>
        </w:rPr>
        <w:t>të dhëna zë-për-zë</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nënkupton të dhënat e ndara në mjete ose detyrime individuale;</w:t>
      </w:r>
    </w:p>
    <w:p w14:paraId="00918508" w14:textId="5CEF368F"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5. </w:t>
      </w:r>
      <w:r w:rsidR="00B24C95">
        <w:rPr>
          <w:rFonts w:ascii="Garamond" w:hAnsi="Garamond" w:cs="Times New Roman"/>
          <w:color w:val="000000"/>
          <w:sz w:val="24"/>
          <w:szCs w:val="24"/>
        </w:rPr>
        <w:t>“</w:t>
      </w:r>
      <w:r w:rsidRPr="007E6D65">
        <w:rPr>
          <w:rFonts w:ascii="Garamond" w:hAnsi="Garamond" w:cs="Times New Roman"/>
          <w:color w:val="000000"/>
          <w:sz w:val="24"/>
          <w:szCs w:val="24"/>
        </w:rPr>
        <w:t>të dhëna të përmbledhura</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do të thotë të dhëna që nuk janë zbërthyer në mjete ose detyrime individuale;</w:t>
      </w:r>
    </w:p>
    <w:p w14:paraId="69A92685" w14:textId="23AE28B8"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6. </w:t>
      </w:r>
      <w:r w:rsidR="00B24C95">
        <w:rPr>
          <w:rFonts w:ascii="Garamond" w:hAnsi="Garamond" w:cs="Times New Roman"/>
          <w:color w:val="000000"/>
          <w:sz w:val="24"/>
          <w:szCs w:val="24"/>
        </w:rPr>
        <w:t>“</w:t>
      </w:r>
      <w:r w:rsidRPr="007E6D65">
        <w:rPr>
          <w:rFonts w:ascii="Garamond" w:hAnsi="Garamond" w:cs="Times New Roman"/>
          <w:color w:val="000000"/>
          <w:sz w:val="24"/>
          <w:szCs w:val="24"/>
        </w:rPr>
        <w:t>transaksion financiar</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nënkupton një transaksion që rrjedh nga krijimi, likuidimi ose ndryshimi i pronësisë së mjeteve ose detyrimeve financiare, siç përshkruhet më tej në </w:t>
      </w:r>
      <w:r w:rsidR="000F0634">
        <w:rPr>
          <w:rFonts w:ascii="Garamond" w:hAnsi="Garamond" w:cs="Times New Roman"/>
          <w:color w:val="000000"/>
          <w:sz w:val="24"/>
          <w:szCs w:val="24"/>
        </w:rPr>
        <w:t>p</w:t>
      </w:r>
      <w:r w:rsidRPr="007E6D65">
        <w:rPr>
          <w:rFonts w:ascii="Garamond" w:hAnsi="Garamond" w:cs="Times New Roman"/>
          <w:color w:val="000000"/>
          <w:sz w:val="24"/>
          <w:szCs w:val="24"/>
        </w:rPr>
        <w:t xml:space="preserve">jesën 5 të </w:t>
      </w:r>
      <w:r w:rsidR="000F0634" w:rsidRPr="007E6D65">
        <w:rPr>
          <w:rFonts w:ascii="Garamond" w:hAnsi="Garamond" w:cs="Times New Roman"/>
          <w:color w:val="000000"/>
          <w:sz w:val="24"/>
          <w:szCs w:val="24"/>
        </w:rPr>
        <w:t xml:space="preserve">shtojcës </w:t>
      </w:r>
      <w:r w:rsidRPr="007E6D65">
        <w:rPr>
          <w:rFonts w:ascii="Garamond" w:hAnsi="Garamond" w:cs="Times New Roman"/>
          <w:color w:val="000000"/>
          <w:sz w:val="24"/>
          <w:szCs w:val="24"/>
        </w:rPr>
        <w:t>II;</w:t>
      </w:r>
    </w:p>
    <w:p w14:paraId="1937B960" w14:textId="0EA167D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7. </w:t>
      </w:r>
      <w:r w:rsidR="00B24C95">
        <w:rPr>
          <w:rFonts w:ascii="Garamond" w:hAnsi="Garamond" w:cs="Times New Roman"/>
          <w:color w:val="000000"/>
          <w:sz w:val="24"/>
          <w:szCs w:val="24"/>
        </w:rPr>
        <w:t>“</w:t>
      </w:r>
      <w:r w:rsidRPr="007E6D65">
        <w:rPr>
          <w:rFonts w:ascii="Garamond" w:hAnsi="Garamond" w:cs="Times New Roman"/>
          <w:color w:val="000000"/>
          <w:sz w:val="24"/>
          <w:szCs w:val="24"/>
        </w:rPr>
        <w:t>ndryshime nga rivlerësimi</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do të thotë ndryshime në vlerën e mjeteve dhe detyrimeve të shprehura në monedhën kombëtare, që rrjedhin nga ndryshimet në çmim ose nga efekti i kursit të këmbimit kur këto mjete dhe detyrime mbahen në një monedhë të huaj, siç përshkruhet më tej në </w:t>
      </w:r>
      <w:r w:rsidR="000F0634" w:rsidRPr="007E6D65">
        <w:rPr>
          <w:rFonts w:ascii="Garamond" w:hAnsi="Garamond" w:cs="Times New Roman"/>
          <w:color w:val="000000"/>
          <w:sz w:val="24"/>
          <w:szCs w:val="24"/>
        </w:rPr>
        <w:t xml:space="preserve">pjesën </w:t>
      </w:r>
      <w:r w:rsidRPr="007E6D65">
        <w:rPr>
          <w:rFonts w:ascii="Garamond" w:hAnsi="Garamond" w:cs="Times New Roman"/>
          <w:color w:val="000000"/>
          <w:sz w:val="24"/>
          <w:szCs w:val="24"/>
        </w:rPr>
        <w:t xml:space="preserve">4 të </w:t>
      </w:r>
      <w:r w:rsidR="000F0634" w:rsidRPr="007E6D65">
        <w:rPr>
          <w:rFonts w:ascii="Garamond" w:hAnsi="Garamond" w:cs="Times New Roman"/>
          <w:color w:val="000000"/>
          <w:sz w:val="24"/>
          <w:szCs w:val="24"/>
        </w:rPr>
        <w:t xml:space="preserve">shtojcës </w:t>
      </w:r>
      <w:r w:rsidRPr="007E6D65">
        <w:rPr>
          <w:rFonts w:ascii="Garamond" w:hAnsi="Garamond" w:cs="Times New Roman"/>
          <w:color w:val="000000"/>
          <w:sz w:val="24"/>
          <w:szCs w:val="24"/>
        </w:rPr>
        <w:t>II.</w:t>
      </w:r>
    </w:p>
    <w:p w14:paraId="09CF5CE3"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732B2F1A"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7E6D65">
        <w:rPr>
          <w:rFonts w:ascii="Garamond" w:hAnsi="Garamond" w:cs="Times New Roman"/>
          <w:bCs/>
          <w:color w:val="000000"/>
          <w:sz w:val="24"/>
          <w:szCs w:val="24"/>
        </w:rPr>
        <w:t>Neni 4</w:t>
      </w:r>
    </w:p>
    <w:p w14:paraId="5ABAF2F4"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Popullata aktuale raportuese</w:t>
      </w:r>
    </w:p>
    <w:p w14:paraId="510753E1"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2129C564" w14:textId="2A42426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1.</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Popullata aktuale raportuese përbëhet nga shoqëritë e sigurimit të licencuara nga Autoriteti i Mbikëqyrjes Financiare (AMF) dhe që janë rezidente në Shqipëri.</w:t>
      </w:r>
    </w:p>
    <w:p w14:paraId="5A866152" w14:textId="6C7D189A"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2.</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Shoqëritë e sigurimit në popullatën aktuale raportuese do t</w:t>
      </w:r>
      <w:r w:rsidR="00B24C95">
        <w:rPr>
          <w:rFonts w:ascii="Garamond" w:hAnsi="Garamond" w:cs="Times New Roman"/>
          <w:color w:val="000000"/>
          <w:sz w:val="24"/>
          <w:szCs w:val="24"/>
        </w:rPr>
        <w:t>’</w:t>
      </w:r>
      <w:r w:rsidRPr="007E6D65">
        <w:rPr>
          <w:rFonts w:ascii="Garamond" w:hAnsi="Garamond" w:cs="Times New Roman"/>
          <w:color w:val="000000"/>
          <w:sz w:val="24"/>
          <w:szCs w:val="24"/>
        </w:rPr>
        <w:t>i nënshtrohen kërkesave të plota të raportimit statistikor.</w:t>
      </w:r>
    </w:p>
    <w:p w14:paraId="70507861"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5A27092A"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7E6D65">
        <w:rPr>
          <w:rFonts w:ascii="Garamond" w:hAnsi="Garamond" w:cs="Times New Roman"/>
          <w:bCs/>
          <w:color w:val="000000"/>
          <w:sz w:val="24"/>
          <w:szCs w:val="24"/>
        </w:rPr>
        <w:t>Neni 5</w:t>
      </w:r>
    </w:p>
    <w:p w14:paraId="269767B3"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Lista e shoqërive të sigurimit për qëllime statistikore</w:t>
      </w:r>
    </w:p>
    <w:p w14:paraId="197216E5"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48E51300" w14:textId="76869B21"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1.</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Banka e Shqipërisë verifikon rregullisht listën e shoqërive të sigurimit që formojnë popullsinë aktuale raportuese, bazuar në informacionin e publikuar nga AMF-ja.</w:t>
      </w:r>
    </w:p>
    <w:p w14:paraId="1716CF9A" w14:textId="2CB8682C" w:rsidR="007E6D65" w:rsidRPr="007E6D65" w:rsidRDefault="007E6D65" w:rsidP="007E6D65">
      <w:pPr>
        <w:autoSpaceDE w:val="0"/>
        <w:autoSpaceDN w:val="0"/>
        <w:adjustRightInd w:val="0"/>
        <w:spacing w:after="0" w:line="240" w:lineRule="auto"/>
        <w:ind w:firstLine="284"/>
        <w:jc w:val="both"/>
        <w:rPr>
          <w:rFonts w:ascii="Garamond" w:hAnsi="Garamond" w:cs="Times New Roman"/>
          <w:b/>
          <w:bCs/>
          <w:color w:val="000000"/>
          <w:sz w:val="24"/>
          <w:szCs w:val="24"/>
        </w:rPr>
      </w:pPr>
      <w:r w:rsidRPr="007E6D65">
        <w:rPr>
          <w:rFonts w:ascii="Garamond" w:hAnsi="Garamond" w:cs="Times New Roman"/>
          <w:color w:val="000000"/>
          <w:sz w:val="24"/>
          <w:szCs w:val="24"/>
        </w:rPr>
        <w:t>2.</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 xml:space="preserve">BSH-ja publikon në faqen zyrtare të saj listën e përditësuar të shoqërive të sigurimit, dhe datën më të fundit të përditësimit. </w:t>
      </w:r>
    </w:p>
    <w:p w14:paraId="6127104C"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7E6D65">
        <w:rPr>
          <w:rFonts w:ascii="Garamond" w:hAnsi="Garamond" w:cs="Times New Roman"/>
          <w:bCs/>
          <w:color w:val="000000"/>
          <w:sz w:val="24"/>
          <w:szCs w:val="24"/>
        </w:rPr>
        <w:t>Neni 6</w:t>
      </w:r>
    </w:p>
    <w:p w14:paraId="32A92D25"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Kërkesat e raportimit statistikor</w:t>
      </w:r>
    </w:p>
    <w:p w14:paraId="1F35AFBF"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69A3FAEA" w14:textId="4C845A3E"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1.</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 xml:space="preserve">Popullata raportuese raporton nëpërmjet AMF-së, në përputhje me marrëveshjen e bashkëpunimit të lidhur ndërmjet dy institucioneve, informacionin e kërkuar në përputhje me </w:t>
      </w:r>
      <w:r w:rsidR="000F0634" w:rsidRPr="007E6D65">
        <w:rPr>
          <w:rFonts w:ascii="Garamond" w:hAnsi="Garamond" w:cs="Times New Roman"/>
          <w:color w:val="000000"/>
          <w:sz w:val="24"/>
          <w:szCs w:val="24"/>
        </w:rPr>
        <w:t xml:space="preserve">shtojcat </w:t>
      </w:r>
      <w:r w:rsidRPr="007E6D65">
        <w:rPr>
          <w:rFonts w:ascii="Garamond" w:hAnsi="Garamond" w:cs="Times New Roman"/>
          <w:color w:val="000000"/>
          <w:sz w:val="24"/>
          <w:szCs w:val="24"/>
        </w:rPr>
        <w:t>I dhe II:</w:t>
      </w:r>
    </w:p>
    <w:p w14:paraId="52DDDC9E" w14:textId="29D6FDD7" w:rsidR="007E6D65" w:rsidRPr="007E6D65" w:rsidRDefault="007E6D65" w:rsidP="007E6D65">
      <w:pPr>
        <w:autoSpaceDE w:val="0"/>
        <w:autoSpaceDN w:val="0"/>
        <w:adjustRightInd w:val="0"/>
        <w:spacing w:after="0" w:line="240" w:lineRule="auto"/>
        <w:ind w:firstLine="284"/>
        <w:rPr>
          <w:rFonts w:ascii="Garamond" w:hAnsi="Garamond" w:cs="Times New Roman"/>
          <w:color w:val="000000"/>
          <w:sz w:val="24"/>
          <w:szCs w:val="24"/>
        </w:rPr>
      </w:pPr>
      <w:r w:rsidRPr="007E6D65">
        <w:rPr>
          <w:rFonts w:ascii="Garamond" w:hAnsi="Garamond" w:cs="Times New Roman"/>
          <w:color w:val="000000"/>
          <w:sz w:val="24"/>
          <w:szCs w:val="24"/>
        </w:rPr>
        <w:t>a) me bazë tremujore, të dhënat e stokut tremujor mbi mjetet dhe detyrimet e shoqërive të sigurimit dhe, rregullimet tremujore të rivlerësimit ose transaksionet financiare, nëse janë të aplikueshme;</w:t>
      </w:r>
    </w:p>
    <w:p w14:paraId="24656BAC" w14:textId="7D4D8E61" w:rsidR="007E6D65" w:rsidRPr="007E6D65" w:rsidRDefault="007E6D65" w:rsidP="007E6D65">
      <w:pPr>
        <w:autoSpaceDE w:val="0"/>
        <w:autoSpaceDN w:val="0"/>
        <w:adjustRightInd w:val="0"/>
        <w:spacing w:after="0" w:line="240" w:lineRule="auto"/>
        <w:ind w:firstLine="284"/>
        <w:rPr>
          <w:rFonts w:ascii="Garamond" w:hAnsi="Garamond" w:cs="Times New Roman"/>
          <w:color w:val="000000"/>
          <w:sz w:val="24"/>
          <w:szCs w:val="24"/>
        </w:rPr>
      </w:pPr>
      <w:r w:rsidRPr="007E6D65">
        <w:rPr>
          <w:rFonts w:ascii="Garamond" w:hAnsi="Garamond" w:cs="Times New Roman"/>
          <w:color w:val="000000"/>
          <w:sz w:val="24"/>
          <w:szCs w:val="24"/>
        </w:rPr>
        <w:t>b) me bazë tremujore, të dhënat e stokut në fund të tremujorit për rezervat teknike të sigurimit të jojetës, të ndara sipas linjave të biznesit;</w:t>
      </w:r>
    </w:p>
    <w:p w14:paraId="61E069E4" w14:textId="216B3593" w:rsidR="007E6D65" w:rsidRPr="007E6D65" w:rsidRDefault="007E6D65" w:rsidP="007E6D65">
      <w:pPr>
        <w:autoSpaceDE w:val="0"/>
        <w:autoSpaceDN w:val="0"/>
        <w:adjustRightInd w:val="0"/>
        <w:spacing w:after="0" w:line="240" w:lineRule="auto"/>
        <w:ind w:firstLine="284"/>
        <w:rPr>
          <w:rFonts w:ascii="Garamond" w:hAnsi="Garamond" w:cs="Times New Roman"/>
          <w:color w:val="000000"/>
          <w:sz w:val="24"/>
          <w:szCs w:val="24"/>
        </w:rPr>
      </w:pPr>
      <w:r w:rsidRPr="007E6D65">
        <w:rPr>
          <w:rFonts w:ascii="Garamond" w:hAnsi="Garamond" w:cs="Times New Roman"/>
          <w:color w:val="000000"/>
          <w:sz w:val="24"/>
          <w:szCs w:val="24"/>
        </w:rPr>
        <w:t>c) në baza vjetore, të dhënat e stokut të fundvitit për rezervat teknike të sigurimit të jojetës, të ndara sipas linjës së biznesit dhe zonës gjeografike.</w:t>
      </w:r>
    </w:p>
    <w:p w14:paraId="794B49CF" w14:textId="62CB6CCE"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lastRenderedPageBreak/>
        <w:t>2.</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 xml:space="preserve">Përveç kërkesave të pikës 1, popullata raportuese raporton informacion mbi primet, dëmet dhe komisionet e paguara. Ky informacion do të jepet me baza vjetore, në përputhje me </w:t>
      </w:r>
      <w:r w:rsidR="000F0634" w:rsidRPr="007E6D65">
        <w:rPr>
          <w:rFonts w:ascii="Garamond" w:hAnsi="Garamond" w:cs="Times New Roman"/>
          <w:color w:val="000000"/>
          <w:sz w:val="24"/>
          <w:szCs w:val="24"/>
        </w:rPr>
        <w:t xml:space="preserve">shtojcat </w:t>
      </w:r>
      <w:r w:rsidRPr="007E6D65">
        <w:rPr>
          <w:rFonts w:ascii="Garamond" w:hAnsi="Garamond" w:cs="Times New Roman"/>
          <w:color w:val="000000"/>
          <w:sz w:val="24"/>
          <w:szCs w:val="24"/>
        </w:rPr>
        <w:t>I dhe II, bashkëlidhur kësaj rregulloreje.</w:t>
      </w:r>
      <w:r w:rsidR="00197142">
        <w:rPr>
          <w:rFonts w:ascii="Garamond" w:hAnsi="Garamond" w:cs="Times New Roman"/>
          <w:color w:val="000000"/>
          <w:sz w:val="24"/>
          <w:szCs w:val="24"/>
        </w:rPr>
        <w:t xml:space="preserve"> </w:t>
      </w:r>
    </w:p>
    <w:p w14:paraId="585B7F50" w14:textId="1B017BCC"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3.</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Për të minimizuar barrën e raportimit të popullatës raportuese, BSH-ja do të kombinojë, aty ku është e mundur, kërkesat e raportimit për qëllime të kësaj rregulloreje me të dhënat që mbledh AMF-ja.</w:t>
      </w:r>
    </w:p>
    <w:p w14:paraId="492FF64E" w14:textId="76AA74D1"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4.</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 xml:space="preserve"> BSH-ja informon popullatën raportuese për qëllimet e ndryshme për të cilat janë mbledhur të dhënat e tyre dhe kujdeset për administrimin e informacionit të besueshëm dhe të ndjeshëm. </w:t>
      </w:r>
    </w:p>
    <w:p w14:paraId="5008EACC"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0124737F"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7E6D65">
        <w:rPr>
          <w:rFonts w:ascii="Garamond" w:hAnsi="Garamond" w:cs="Times New Roman"/>
          <w:bCs/>
          <w:color w:val="000000"/>
          <w:sz w:val="24"/>
          <w:szCs w:val="24"/>
        </w:rPr>
        <w:t>Neni 7</w:t>
      </w:r>
    </w:p>
    <w:p w14:paraId="6E6F8B60"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Rregullimet e rivlerësimit dhe transaksionet financiare</w:t>
      </w:r>
    </w:p>
    <w:p w14:paraId="4842E394"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492173F7"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1. Informacioni për ndryshimet nga rivlerësimi dhe transaksionet financiare do të merret si më poshtë: </w:t>
      </w:r>
    </w:p>
    <w:p w14:paraId="236AA459" w14:textId="2C8137F5"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a) popullata raportuese do të raportojë ndryshimet nga rivlerësimi ose transaksionet financiare, në përputhje me udhëzimet përkatëse të BSH-së, për informacionin e raportuar, sipas </w:t>
      </w:r>
      <w:r w:rsidR="000F0634">
        <w:rPr>
          <w:rFonts w:ascii="Garamond" w:hAnsi="Garamond" w:cs="Times New Roman"/>
          <w:color w:val="000000"/>
          <w:sz w:val="24"/>
          <w:szCs w:val="24"/>
        </w:rPr>
        <w:t>s</w:t>
      </w:r>
      <w:r w:rsidRPr="007E6D65">
        <w:rPr>
          <w:rFonts w:ascii="Garamond" w:hAnsi="Garamond" w:cs="Times New Roman"/>
          <w:color w:val="000000"/>
          <w:sz w:val="24"/>
          <w:szCs w:val="24"/>
        </w:rPr>
        <w:t xml:space="preserve">htojcave II dhe III; </w:t>
      </w:r>
    </w:p>
    <w:p w14:paraId="4D2FA719" w14:textId="21237B9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b) BSH-ja do të nxjerrë përafrime të vlerës së transaksioneve të titujve nga të dhënat titull-për-titull ose do të mbledhë drejtpërdrejt të dhëna për transaksione të tilla nga popullata raportuese. BSH-ja mund të ndjekë gjithashtu një qasje të ngjashme për mjetet e tjera përveç titujve, kur janë të disponueshme të dhënat zë-për-zë; </w:t>
      </w:r>
    </w:p>
    <w:p w14:paraId="382A4FD6" w14:textId="34A69C4C"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c) përafrimet e vlerës së transaksioneve financiare në lidhje me rezervat teknike të sigurimit të mbajtura nga shoqëritë e sigurimit do të nxirren: </w:t>
      </w:r>
    </w:p>
    <w:p w14:paraId="4A4591D8" w14:textId="1CFBEB4F"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i. nga popullata raportuese, në përputhje me udhëzimet përkatëse të BSH-së, bazuar në praktikat më të mira të zakonshme,</w:t>
      </w:r>
      <w:r w:rsidR="00197142">
        <w:rPr>
          <w:rFonts w:ascii="Garamond" w:hAnsi="Garamond" w:cs="Times New Roman"/>
          <w:color w:val="000000"/>
          <w:sz w:val="24"/>
          <w:szCs w:val="24"/>
        </w:rPr>
        <w:t xml:space="preserve"> </w:t>
      </w:r>
    </w:p>
    <w:p w14:paraId="69F8E1C9" w14:textId="2B738D22" w:rsidR="007E6D65" w:rsidRPr="007E6D65" w:rsidRDefault="007E6D65" w:rsidP="007E6D65">
      <w:pPr>
        <w:autoSpaceDE w:val="0"/>
        <w:autoSpaceDN w:val="0"/>
        <w:adjustRightInd w:val="0"/>
        <w:spacing w:after="0" w:line="240" w:lineRule="auto"/>
        <w:ind w:firstLine="284"/>
        <w:jc w:val="both"/>
        <w:rPr>
          <w:rFonts w:ascii="Garamond" w:hAnsi="Garamond" w:cs="Times New Roman"/>
          <w:b/>
          <w:bCs/>
          <w:color w:val="000000"/>
          <w:sz w:val="24"/>
          <w:szCs w:val="24"/>
        </w:rPr>
      </w:pPr>
      <w:r w:rsidRPr="007E6D65">
        <w:rPr>
          <w:rFonts w:ascii="Garamond" w:hAnsi="Garamond" w:cs="Times New Roman"/>
          <w:color w:val="000000"/>
          <w:sz w:val="24"/>
          <w:szCs w:val="24"/>
        </w:rPr>
        <w:t>ii. nga BSH-ja, bazuar në të dhënat e ofruara nga shoqëritë të sigurimit dhe konsultimi me AMF-në, sipas nevojës.</w:t>
      </w:r>
      <w:r w:rsidR="00197142">
        <w:rPr>
          <w:rFonts w:ascii="Garamond" w:hAnsi="Garamond" w:cs="Times New Roman"/>
          <w:color w:val="000000"/>
          <w:sz w:val="24"/>
          <w:szCs w:val="24"/>
        </w:rPr>
        <w:t xml:space="preserve"> </w:t>
      </w:r>
    </w:p>
    <w:p w14:paraId="0BFABF74"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7E6D65">
        <w:rPr>
          <w:rFonts w:ascii="Garamond" w:hAnsi="Garamond" w:cs="Times New Roman"/>
          <w:bCs/>
          <w:color w:val="000000"/>
          <w:sz w:val="24"/>
          <w:szCs w:val="24"/>
        </w:rPr>
        <w:t>Neni 8</w:t>
      </w:r>
    </w:p>
    <w:p w14:paraId="2D8F7A0B"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Parimet kontabël për qëllime të raportimit statistikor</w:t>
      </w:r>
    </w:p>
    <w:p w14:paraId="7449B49C"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4AA2C2DA" w14:textId="37190DD9"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1.</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Përveç rasteve kur parashikohet ndryshe në këtë rregullore, rregullat e kontabilitetit të ndjekura nga shoqëritë e sigurimit për qëllime të raportimit sipas kësaj rregulloreje do të jenë ato të përcaktuara në rregullat e kontabilitetit kombëtar dhe standardet ndërkombëtare përkatëse.</w:t>
      </w:r>
    </w:p>
    <w:p w14:paraId="6119FA89" w14:textId="2B0AD0F6"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2.</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Fshirjet dhe zhvlerësimet e përcaktuara nga praktikat përkatëse të kontabilitetit do të përjashtohen nga shuma e kryegjësë së papaguar të huave dhe do të raportohen veçmas.</w:t>
      </w:r>
    </w:p>
    <w:p w14:paraId="3CAD55B4" w14:textId="4F8A6568"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3.</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 xml:space="preserve">Pa cenuar praktikat kontabël dhe marrëveshjet e netimit që mbizotërojnë në territorin e Shqipërisë, për qëllimin e kësaj rregulloreje, të gjitha mjetet dhe detyrimet financiare do të raportohen në bazë bruto. </w:t>
      </w:r>
    </w:p>
    <w:p w14:paraId="60BD9E80"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6576729C" w14:textId="77777777" w:rsidR="007E6D65" w:rsidRPr="00AF6468"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AF6468">
        <w:rPr>
          <w:rFonts w:ascii="Garamond" w:hAnsi="Garamond" w:cs="Times New Roman"/>
          <w:bCs/>
          <w:color w:val="000000"/>
          <w:sz w:val="24"/>
          <w:szCs w:val="24"/>
        </w:rPr>
        <w:t>Neni 9</w:t>
      </w:r>
    </w:p>
    <w:p w14:paraId="0C17A9E9"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Afati i raportimit</w:t>
      </w:r>
    </w:p>
    <w:p w14:paraId="02DDFDF4"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196436DC" w14:textId="2897A0A6"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1.</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Popullata raportuese raporton të dhënat e kërkuara tremujore, jo më vonë se 45 ditë pas fundit të periudhës së referencës.</w:t>
      </w:r>
    </w:p>
    <w:p w14:paraId="349958C3" w14:textId="41A3AE35"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2.</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 xml:space="preserve">Popullata raportuese raporton të dhënat e kërkuara vjetore, jo më vonë se 70 ditë pas periudhës së referencës. </w:t>
      </w:r>
    </w:p>
    <w:p w14:paraId="79EEFC37"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604EBFD7" w14:textId="77777777" w:rsidR="007E6D65" w:rsidRPr="00AF6468"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AF6468">
        <w:rPr>
          <w:rFonts w:ascii="Garamond" w:hAnsi="Garamond" w:cs="Times New Roman"/>
          <w:bCs/>
          <w:color w:val="000000"/>
          <w:sz w:val="24"/>
          <w:szCs w:val="24"/>
        </w:rPr>
        <w:t>Neni 10</w:t>
      </w:r>
    </w:p>
    <w:p w14:paraId="482290AB"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Standardet minimale dhe rregullat kombëtare të raportimit</w:t>
      </w:r>
    </w:p>
    <w:p w14:paraId="7114C9BC"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458C146D" w14:textId="36393F2E"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1.</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 xml:space="preserve">Popullata raportuese duhet të përmbushë kërkesat e raportimit statistikor të cilave u nënshtrohet, në përputhje me standardet minimale për transmetimin, saktësinë, përputhshmërinë me konceptet e përcaktuara në </w:t>
      </w:r>
      <w:r w:rsidR="000F0634">
        <w:rPr>
          <w:rFonts w:ascii="Garamond" w:hAnsi="Garamond" w:cs="Times New Roman"/>
          <w:color w:val="000000"/>
          <w:sz w:val="24"/>
          <w:szCs w:val="24"/>
        </w:rPr>
        <w:t>s</w:t>
      </w:r>
      <w:r w:rsidRPr="007E6D65">
        <w:rPr>
          <w:rFonts w:ascii="Garamond" w:hAnsi="Garamond" w:cs="Times New Roman"/>
          <w:color w:val="000000"/>
          <w:sz w:val="24"/>
          <w:szCs w:val="24"/>
        </w:rPr>
        <w:t>htojcën 3.</w:t>
      </w:r>
      <w:r w:rsidR="00197142">
        <w:rPr>
          <w:rFonts w:ascii="Garamond" w:hAnsi="Garamond" w:cs="Times New Roman"/>
          <w:color w:val="000000"/>
          <w:sz w:val="24"/>
          <w:szCs w:val="24"/>
        </w:rPr>
        <w:t xml:space="preserve"> </w:t>
      </w:r>
    </w:p>
    <w:p w14:paraId="29F87F6D" w14:textId="33039D6B"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2.</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 xml:space="preserve">BSH-ja përkufizon dhe zbaton rregullat e raportimit që ndiqen nga popullata raportuese aktuale, në përputhje me kërkesat kombëtare. Këto rregulla të raportimit mundësojnë </w:t>
      </w:r>
      <w:r w:rsidRPr="007E6D65">
        <w:rPr>
          <w:rFonts w:ascii="Garamond" w:hAnsi="Garamond" w:cs="Times New Roman"/>
          <w:color w:val="000000"/>
          <w:sz w:val="24"/>
          <w:szCs w:val="24"/>
        </w:rPr>
        <w:lastRenderedPageBreak/>
        <w:t xml:space="preserve">identifikimin e të dhënave të duhura statistikore dhe lejojnë që përmbushja e standardeve minimale rreth transmetimit të informacionit, saktësisë, përputhshmërisë me konceptet e përcaktuara në </w:t>
      </w:r>
      <w:r w:rsidR="000F0634">
        <w:rPr>
          <w:rFonts w:ascii="Garamond" w:hAnsi="Garamond" w:cs="Times New Roman"/>
          <w:color w:val="000000"/>
          <w:sz w:val="24"/>
          <w:szCs w:val="24"/>
        </w:rPr>
        <w:t>s</w:t>
      </w:r>
      <w:r w:rsidRPr="007E6D65">
        <w:rPr>
          <w:rFonts w:ascii="Garamond" w:hAnsi="Garamond" w:cs="Times New Roman"/>
          <w:color w:val="000000"/>
          <w:sz w:val="24"/>
          <w:szCs w:val="24"/>
        </w:rPr>
        <w:t xml:space="preserve">htojcën 3, të sigurohet në vijimësi. </w:t>
      </w:r>
    </w:p>
    <w:p w14:paraId="3D3D4CAB"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73B30E51"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7E6D65">
        <w:rPr>
          <w:rFonts w:ascii="Garamond" w:hAnsi="Garamond" w:cs="Times New Roman"/>
          <w:bCs/>
          <w:color w:val="000000"/>
          <w:sz w:val="24"/>
          <w:szCs w:val="24"/>
        </w:rPr>
        <w:t>Neni 11</w:t>
      </w:r>
    </w:p>
    <w:p w14:paraId="37391D3B"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Bashkimet me përthithje, ndarjet dhe riorganizimet</w:t>
      </w:r>
    </w:p>
    <w:p w14:paraId="2523382D"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532EE4B9"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Në rast të një bashkimi me përthithje, ndarjeje ose riorganizimi që mund të ndikojë në përmbushjen e detyrimeve statistikore, çdo subjekt raportues i interesuar duhet të informojë AMF-në, sapo të jetë publikuar synimi për të zbatuar një operacion të tillë dhe brenda një kohe të arsyeshme përpara se të hyjnë në fuqi procedurat që janë planifikuar për të përmbushur kërkesat e raportimit statistikor të përcaktuara në këtë rregullore. </w:t>
      </w:r>
    </w:p>
    <w:p w14:paraId="1DFE04F0"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p>
    <w:p w14:paraId="490966E5"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7E6D65">
        <w:rPr>
          <w:rFonts w:ascii="Garamond" w:hAnsi="Garamond" w:cs="Times New Roman"/>
          <w:bCs/>
          <w:color w:val="000000"/>
          <w:sz w:val="24"/>
          <w:szCs w:val="24"/>
        </w:rPr>
        <w:t>Neni 12</w:t>
      </w:r>
    </w:p>
    <w:p w14:paraId="08BD494B"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Verifikimi dhe mbledhja e detyrueshme</w:t>
      </w:r>
    </w:p>
    <w:p w14:paraId="60B17D83"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1428FE6F" w14:textId="3C7A6812"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BSH-ja bashkëpunon me AMF-në për mbledhjen nga subjektet raportuese të të dhënave të parashikuara në këtë rregullore, nëpërmjet lidhjes së një marrëveshjeje bashkëpunimi midis dy institucioneve.</w:t>
      </w:r>
      <w:r w:rsidR="00197142">
        <w:rPr>
          <w:rFonts w:ascii="Garamond" w:hAnsi="Garamond" w:cs="Times New Roman"/>
          <w:color w:val="000000"/>
          <w:sz w:val="24"/>
          <w:szCs w:val="24"/>
        </w:rPr>
        <w:t xml:space="preserve"> </w:t>
      </w:r>
    </w:p>
    <w:p w14:paraId="03B594C3"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6818A54D"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7E6D65">
        <w:rPr>
          <w:rFonts w:ascii="Garamond" w:hAnsi="Garamond" w:cs="Times New Roman"/>
          <w:bCs/>
          <w:color w:val="000000"/>
          <w:sz w:val="24"/>
          <w:szCs w:val="24"/>
        </w:rPr>
        <w:t>Neni 13</w:t>
      </w:r>
    </w:p>
    <w:p w14:paraId="148A581D" w14:textId="77777777" w:rsid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Raportimi i parë</w:t>
      </w:r>
    </w:p>
    <w:p w14:paraId="176F28CD" w14:textId="77777777" w:rsidR="00573C93" w:rsidRPr="007E6D65" w:rsidRDefault="00573C93"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1A62FB8C" w14:textId="535C6795"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Raportimi i parë do të fillojë me të dhënat tremujore për tremujorin 4</w:t>
      </w:r>
      <w:r w:rsidR="00573C93">
        <w:rPr>
          <w:rFonts w:ascii="Garamond" w:hAnsi="Garamond" w:cs="Times New Roman"/>
          <w:color w:val="000000"/>
          <w:sz w:val="24"/>
          <w:szCs w:val="24"/>
        </w:rPr>
        <w:t>-t</w:t>
      </w:r>
      <w:r w:rsidRPr="007E6D65">
        <w:rPr>
          <w:rFonts w:ascii="Garamond" w:hAnsi="Garamond" w:cs="Times New Roman"/>
          <w:color w:val="000000"/>
          <w:sz w:val="24"/>
          <w:szCs w:val="24"/>
        </w:rPr>
        <w:t xml:space="preserve"> të vitit 2023 dhe të dhënat vjetore për vitin 2023. </w:t>
      </w:r>
    </w:p>
    <w:p w14:paraId="4091D6FC" w14:textId="77777777" w:rsidR="00AF6468" w:rsidRDefault="00AF6468" w:rsidP="007E6D65">
      <w:pPr>
        <w:autoSpaceDE w:val="0"/>
        <w:autoSpaceDN w:val="0"/>
        <w:adjustRightInd w:val="0"/>
        <w:spacing w:after="0" w:line="240" w:lineRule="auto"/>
        <w:ind w:firstLine="284"/>
        <w:jc w:val="center"/>
        <w:rPr>
          <w:rFonts w:ascii="Garamond" w:hAnsi="Garamond" w:cs="Times New Roman"/>
          <w:bCs/>
          <w:color w:val="000000"/>
          <w:sz w:val="24"/>
          <w:szCs w:val="24"/>
        </w:rPr>
      </w:pPr>
    </w:p>
    <w:p w14:paraId="6258E760" w14:textId="77777777" w:rsidR="007E6D65" w:rsidRPr="00AF6468"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AF6468">
        <w:rPr>
          <w:rFonts w:ascii="Garamond" w:hAnsi="Garamond" w:cs="Times New Roman"/>
          <w:bCs/>
          <w:color w:val="000000"/>
          <w:sz w:val="24"/>
          <w:szCs w:val="24"/>
        </w:rPr>
        <w:t>Neni 14</w:t>
      </w:r>
    </w:p>
    <w:p w14:paraId="07B12C97"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Dispozitë e fundit</w:t>
      </w:r>
    </w:p>
    <w:p w14:paraId="330840BF"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5EA8B973" w14:textId="77777777" w:rsidR="007E6D65" w:rsidRPr="007E6D65" w:rsidRDefault="007E6D65" w:rsidP="007E6D65">
      <w:pPr>
        <w:autoSpaceDE w:val="0"/>
        <w:autoSpaceDN w:val="0"/>
        <w:adjustRightInd w:val="0"/>
        <w:spacing w:after="0" w:line="240" w:lineRule="auto"/>
        <w:ind w:firstLine="284"/>
        <w:rPr>
          <w:rFonts w:ascii="Garamond" w:hAnsi="Garamond" w:cs="Times New Roman"/>
          <w:color w:val="000000"/>
          <w:sz w:val="24"/>
          <w:szCs w:val="24"/>
        </w:rPr>
      </w:pPr>
      <w:r w:rsidRPr="007E6D65">
        <w:rPr>
          <w:rFonts w:ascii="Garamond" w:hAnsi="Garamond" w:cs="Times New Roman"/>
          <w:color w:val="000000"/>
          <w:sz w:val="24"/>
          <w:szCs w:val="24"/>
        </w:rPr>
        <w:t xml:space="preserve">Shtojcat bashkëlidhur kësaj rregulloreje janë pjesë përbërëse e saj. </w:t>
      </w:r>
    </w:p>
    <w:p w14:paraId="09DF575C"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p>
    <w:p w14:paraId="6CE11A57" w14:textId="5B07DB0D" w:rsidR="007E6D65" w:rsidRPr="007E6D65" w:rsidRDefault="007E6D65" w:rsidP="007E6D65">
      <w:pPr>
        <w:autoSpaceDE w:val="0"/>
        <w:autoSpaceDN w:val="0"/>
        <w:adjustRightInd w:val="0"/>
        <w:spacing w:after="0" w:line="240" w:lineRule="auto"/>
        <w:ind w:firstLine="284"/>
        <w:jc w:val="right"/>
        <w:rPr>
          <w:rFonts w:ascii="Garamond" w:hAnsi="Garamond" w:cs="Times New Roman"/>
          <w:bCs/>
          <w:caps/>
          <w:color w:val="000000"/>
          <w:sz w:val="24"/>
          <w:szCs w:val="24"/>
        </w:rPr>
      </w:pPr>
      <w:r w:rsidRPr="007E6D65">
        <w:rPr>
          <w:rFonts w:ascii="Garamond" w:hAnsi="Garamond" w:cs="Times New Roman"/>
          <w:bCs/>
          <w:color w:val="000000"/>
          <w:sz w:val="24"/>
          <w:szCs w:val="24"/>
        </w:rPr>
        <w:t>KRYETAR I KËSHILLIT MBIKËQYRËS</w:t>
      </w:r>
    </w:p>
    <w:p w14:paraId="65323F1D" w14:textId="6D6310D7" w:rsidR="007E6D65" w:rsidRPr="007E6D65" w:rsidRDefault="007E6D65" w:rsidP="007E6D65">
      <w:pPr>
        <w:autoSpaceDE w:val="0"/>
        <w:autoSpaceDN w:val="0"/>
        <w:adjustRightInd w:val="0"/>
        <w:spacing w:after="0" w:line="240" w:lineRule="auto"/>
        <w:ind w:firstLine="284"/>
        <w:jc w:val="right"/>
        <w:rPr>
          <w:rFonts w:ascii="Garamond" w:hAnsi="Garamond" w:cs="Times New Roman"/>
          <w:b/>
          <w:bCs/>
          <w:color w:val="000000"/>
          <w:sz w:val="24"/>
          <w:szCs w:val="24"/>
        </w:rPr>
      </w:pPr>
      <w:r w:rsidRPr="007E6D65">
        <w:rPr>
          <w:rFonts w:ascii="Garamond" w:hAnsi="Garamond" w:cs="Times New Roman"/>
          <w:b/>
          <w:bCs/>
          <w:color w:val="000000"/>
          <w:sz w:val="24"/>
          <w:szCs w:val="24"/>
        </w:rPr>
        <w:t xml:space="preserve"> Gent Sejko</w:t>
      </w:r>
    </w:p>
    <w:p w14:paraId="0D4983B4" w14:textId="77777777" w:rsidR="007E6D65" w:rsidRPr="00000762"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000762">
        <w:rPr>
          <w:rFonts w:ascii="Garamond" w:hAnsi="Garamond" w:cs="Times New Roman"/>
          <w:bCs/>
          <w:color w:val="000000"/>
          <w:sz w:val="24"/>
          <w:szCs w:val="24"/>
        </w:rPr>
        <w:t>SHTOJCA I</w:t>
      </w:r>
    </w:p>
    <w:p w14:paraId="584E4A29" w14:textId="77777777" w:rsidR="007E6D65" w:rsidRPr="00000762"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000762">
        <w:rPr>
          <w:rFonts w:ascii="Garamond" w:hAnsi="Garamond" w:cs="Times New Roman"/>
          <w:bCs/>
          <w:color w:val="000000"/>
          <w:sz w:val="24"/>
          <w:szCs w:val="24"/>
        </w:rPr>
        <w:t>KËRKESAT PËR RAPORTIM STATISTIKOR</w:t>
      </w:r>
    </w:p>
    <w:p w14:paraId="1B1F7AFF" w14:textId="77777777" w:rsidR="007E6D65" w:rsidRPr="00000762"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000762">
        <w:rPr>
          <w:rFonts w:ascii="Garamond" w:hAnsi="Garamond" w:cs="Times New Roman"/>
          <w:bCs/>
          <w:color w:val="000000"/>
          <w:sz w:val="24"/>
          <w:szCs w:val="24"/>
        </w:rPr>
        <w:t>PJESA 1</w:t>
      </w:r>
    </w:p>
    <w:p w14:paraId="21BE4FF8"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Kërkesat e përgjithshme për raportim statistikor</w:t>
      </w:r>
    </w:p>
    <w:p w14:paraId="0C89F488"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p>
    <w:p w14:paraId="1D0EB3F0"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1. Popullata aktuale raportuese duhet të sigurojë informacionin e mëposhtëm statistikor, në baza tremujore:</w:t>
      </w:r>
    </w:p>
    <w:p w14:paraId="5819C5AB" w14:textId="584B8CB8"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a) të dhëna për titujt me kode ISIN; </w:t>
      </w:r>
    </w:p>
    <w:p w14:paraId="6FC115E6" w14:textId="65626049"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b) të dhënat për titujt pa kode ISIN, qoftë sipas raportimit titull-për-titull ose të përmbledhura, të ndara sipas kategorive të instrumentit, maturitetit dhe kundërpartisë; </w:t>
      </w:r>
    </w:p>
    <w:p w14:paraId="5D71FE28" w14:textId="0A14AA83"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c) të dhëna për mjetet dhe detyrimet e ndryshme nga titujt, të ndara sipas kategorive të instrumentit, maturitetit dhe kundërpartisë. </w:t>
      </w:r>
    </w:p>
    <w:p w14:paraId="79302A0E" w14:textId="79C3B5B5"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2. Të dhënat e përmbledhura duhet të jepen në terma të stoqeve dhe në përputhje me udhëzimet e BSH-së për sa i përket: a) rivlerësimeve për shkak të ndryshimeve të çmimeve dhe kursit të këmbimit; ose b) transaksioneve financiare. </w:t>
      </w:r>
    </w:p>
    <w:p w14:paraId="47CA6002"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3. Shoqëritë e sigurimit të themeluara dhe rezidente në territorin e Shqipërisë gjithashtu të ofrojnë, në baza vjetore, të dhëna për primet, dëmet dhe komisionet. </w:t>
      </w:r>
    </w:p>
    <w:p w14:paraId="39D20F8F" w14:textId="7C7AB259"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4. Standardi i raportimit për të dhënat që duhet të jepen sipas formatit titull-për-titull specifikohen në </w:t>
      </w:r>
      <w:r w:rsidR="0018527F" w:rsidRPr="007E6D65">
        <w:rPr>
          <w:rFonts w:ascii="Garamond" w:hAnsi="Garamond" w:cs="Times New Roman"/>
          <w:color w:val="000000"/>
          <w:sz w:val="24"/>
          <w:szCs w:val="24"/>
        </w:rPr>
        <w:t xml:space="preserve">tabelën </w:t>
      </w:r>
      <w:r w:rsidRPr="007E6D65">
        <w:rPr>
          <w:rFonts w:ascii="Garamond" w:hAnsi="Garamond" w:cs="Times New Roman"/>
          <w:color w:val="000000"/>
          <w:sz w:val="24"/>
          <w:szCs w:val="24"/>
        </w:rPr>
        <w:t xml:space="preserve">2. Informacioni i përmbledhur i raportimit statistikor tremujor për stoqet është specifikuar në </w:t>
      </w:r>
      <w:r w:rsidR="0018527F" w:rsidRPr="007E6D65">
        <w:rPr>
          <w:rFonts w:ascii="Garamond" w:hAnsi="Garamond" w:cs="Times New Roman"/>
          <w:color w:val="000000"/>
          <w:sz w:val="24"/>
          <w:szCs w:val="24"/>
        </w:rPr>
        <w:t xml:space="preserve">tabelat </w:t>
      </w:r>
      <w:r w:rsidRPr="007E6D65">
        <w:rPr>
          <w:rFonts w:ascii="Garamond" w:hAnsi="Garamond" w:cs="Times New Roman"/>
          <w:color w:val="000000"/>
          <w:sz w:val="24"/>
          <w:szCs w:val="24"/>
        </w:rPr>
        <w:t xml:space="preserve">1a dhe 1b, dhe ato për rivlerësimet si rezultat i ndryshimeve nga çmimi dhe kursit të këmbimit ose transaksioneve financiare janë të specifikuara në </w:t>
      </w:r>
      <w:r w:rsidR="0018527F" w:rsidRPr="007E6D65">
        <w:rPr>
          <w:rFonts w:ascii="Garamond" w:hAnsi="Garamond" w:cs="Times New Roman"/>
          <w:color w:val="000000"/>
          <w:sz w:val="24"/>
          <w:szCs w:val="24"/>
        </w:rPr>
        <w:t xml:space="preserve">tabelat </w:t>
      </w:r>
      <w:r w:rsidRPr="007E6D65">
        <w:rPr>
          <w:rFonts w:ascii="Garamond" w:hAnsi="Garamond" w:cs="Times New Roman"/>
          <w:color w:val="000000"/>
          <w:sz w:val="24"/>
          <w:szCs w:val="24"/>
        </w:rPr>
        <w:t xml:space="preserve">3a dhe </w:t>
      </w:r>
      <w:r w:rsidRPr="007E6D65">
        <w:rPr>
          <w:rFonts w:ascii="Garamond" w:hAnsi="Garamond" w:cs="Times New Roman"/>
          <w:color w:val="000000"/>
          <w:sz w:val="24"/>
          <w:szCs w:val="24"/>
        </w:rPr>
        <w:lastRenderedPageBreak/>
        <w:t xml:space="preserve">3b. Kërkesat e raportimit vjetor për primet, dëmet dhe komisionet, janë të specifikuara në </w:t>
      </w:r>
      <w:r w:rsidR="0018527F" w:rsidRPr="007E6D65">
        <w:rPr>
          <w:rFonts w:ascii="Garamond" w:hAnsi="Garamond" w:cs="Times New Roman"/>
          <w:color w:val="000000"/>
          <w:sz w:val="24"/>
          <w:szCs w:val="24"/>
        </w:rPr>
        <w:t xml:space="preserve">tabelën </w:t>
      </w:r>
      <w:r w:rsidRPr="007E6D65">
        <w:rPr>
          <w:rFonts w:ascii="Garamond" w:hAnsi="Garamond" w:cs="Times New Roman"/>
          <w:color w:val="000000"/>
          <w:sz w:val="24"/>
          <w:szCs w:val="24"/>
        </w:rPr>
        <w:t>4.</w:t>
      </w:r>
    </w:p>
    <w:p w14:paraId="4AABAAD4"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7E6D65">
        <w:rPr>
          <w:rFonts w:ascii="Garamond" w:hAnsi="Garamond" w:cs="Times New Roman"/>
          <w:bCs/>
          <w:color w:val="000000"/>
          <w:sz w:val="24"/>
          <w:szCs w:val="24"/>
        </w:rPr>
        <w:t>PJESA 2</w:t>
      </w:r>
    </w:p>
    <w:p w14:paraId="36C5649A"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Rezervat teknike të sigurimit</w:t>
      </w:r>
    </w:p>
    <w:p w14:paraId="2376B297"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4DB13CC3" w14:textId="4AA9824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1. Sa </w:t>
      </w:r>
      <w:r w:rsidR="009E69D6">
        <w:rPr>
          <w:rFonts w:ascii="Garamond" w:hAnsi="Garamond" w:cs="Times New Roman"/>
          <w:color w:val="000000"/>
          <w:sz w:val="24"/>
          <w:szCs w:val="24"/>
        </w:rPr>
        <w:t xml:space="preserve">u </w:t>
      </w:r>
      <w:r w:rsidRPr="007E6D65">
        <w:rPr>
          <w:rFonts w:ascii="Garamond" w:hAnsi="Garamond" w:cs="Times New Roman"/>
          <w:color w:val="000000"/>
          <w:sz w:val="24"/>
          <w:szCs w:val="24"/>
        </w:rPr>
        <w:t>përket rezervave teknike të sigurimit, për kërkesat e raportimit të listuara më poshtë, subjektet raportuese duhet të kryejnë vlerësime, nëse të dhënat nuk janë të disponueshme direkt, në përputhje me udhëzimet e përcaktuara nga BSH-ja dhe bazuar në praktikat më të mira evropiane, si në vijim:</w:t>
      </w:r>
    </w:p>
    <w:p w14:paraId="2374F65C" w14:textId="641ED125"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a) në lidhje me mjetet, të dhënat për rezidencën e njësisë ekonomike që ofron risigurim për subjektin raportues, të cilat mbahen si rezerva teknike të sigurimit të jojetës (të rikuperueshmet e risigurimit); </w:t>
      </w:r>
    </w:p>
    <w:p w14:paraId="591BE204" w14:textId="09ECA308"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b) në lidhje me detyrimet, të dhënat</w:t>
      </w:r>
      <w:r w:rsidR="00FC58B6">
        <w:rPr>
          <w:rFonts w:ascii="Garamond" w:hAnsi="Garamond" w:cs="Times New Roman"/>
          <w:color w:val="000000"/>
          <w:sz w:val="24"/>
          <w:szCs w:val="24"/>
        </w:rPr>
        <w:t>,</w:t>
      </w:r>
      <w:r w:rsidRPr="007E6D65">
        <w:rPr>
          <w:rFonts w:ascii="Garamond" w:hAnsi="Garamond" w:cs="Times New Roman"/>
          <w:color w:val="000000"/>
          <w:sz w:val="24"/>
          <w:szCs w:val="24"/>
        </w:rPr>
        <w:t xml:space="preserve"> për: </w:t>
      </w:r>
    </w:p>
    <w:p w14:paraId="1DBA8EF1" w14:textId="14CED333"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i</w:t>
      </w:r>
      <w:r w:rsidR="0018527F">
        <w:rPr>
          <w:rFonts w:ascii="Garamond" w:hAnsi="Garamond" w:cs="Times New Roman"/>
          <w:color w:val="000000"/>
          <w:sz w:val="24"/>
          <w:szCs w:val="24"/>
        </w:rPr>
        <w:t>.</w:t>
      </w:r>
      <w:r w:rsidRPr="007E6D65">
        <w:rPr>
          <w:rFonts w:ascii="Garamond" w:hAnsi="Garamond" w:cs="Times New Roman"/>
          <w:color w:val="000000"/>
          <w:sz w:val="24"/>
          <w:szCs w:val="24"/>
        </w:rPr>
        <w:t xml:space="preserve"> vendbanimin e mbajtësve të rezervave teknike të sigurimit (veçmas për jetën dhe jojetën) të ofruara nga shoqëritë e sigurimit rezidente në Shqipëri, monedha e të cilëve është euro</w:t>
      </w:r>
      <w:r w:rsidR="0018527F">
        <w:rPr>
          <w:rFonts w:ascii="Garamond" w:hAnsi="Garamond" w:cs="Times New Roman"/>
          <w:color w:val="000000"/>
          <w:sz w:val="24"/>
          <w:szCs w:val="24"/>
        </w:rPr>
        <w:t>;</w:t>
      </w:r>
      <w:r w:rsidRPr="007E6D65">
        <w:rPr>
          <w:rFonts w:ascii="Garamond" w:hAnsi="Garamond" w:cs="Times New Roman"/>
          <w:color w:val="000000"/>
          <w:sz w:val="24"/>
          <w:szCs w:val="24"/>
        </w:rPr>
        <w:t xml:space="preserve"> </w:t>
      </w:r>
    </w:p>
    <w:p w14:paraId="190A8513" w14:textId="6DA58445"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ii</w:t>
      </w:r>
      <w:r w:rsidR="0018527F">
        <w:rPr>
          <w:rFonts w:ascii="Garamond" w:hAnsi="Garamond" w:cs="Times New Roman"/>
          <w:color w:val="000000"/>
          <w:sz w:val="24"/>
          <w:szCs w:val="24"/>
        </w:rPr>
        <w:t>.</w:t>
      </w:r>
      <w:r w:rsidRPr="007E6D65">
        <w:rPr>
          <w:rFonts w:ascii="Garamond" w:hAnsi="Garamond" w:cs="Times New Roman"/>
          <w:color w:val="000000"/>
          <w:sz w:val="24"/>
          <w:szCs w:val="24"/>
        </w:rPr>
        <w:t xml:space="preserve"> të drejtat e pensionit, duke iu referuar planeve të pensioneve profesionale (të ndara sipas kontributeve të përcaktuara, përfitimeve të përcaktuara dhe skemave hibride)</w:t>
      </w:r>
      <w:r w:rsidR="0018527F">
        <w:rPr>
          <w:rFonts w:ascii="Garamond" w:hAnsi="Garamond" w:cs="Times New Roman"/>
          <w:color w:val="000000"/>
          <w:sz w:val="24"/>
          <w:szCs w:val="24"/>
        </w:rPr>
        <w:t>;</w:t>
      </w:r>
    </w:p>
    <w:p w14:paraId="439FF55B" w14:textId="682ABCA1"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iii</w:t>
      </w:r>
      <w:r w:rsidR="0018527F">
        <w:rPr>
          <w:rFonts w:ascii="Garamond" w:hAnsi="Garamond" w:cs="Times New Roman"/>
          <w:color w:val="000000"/>
          <w:sz w:val="24"/>
          <w:szCs w:val="24"/>
        </w:rPr>
        <w:t>.</w:t>
      </w:r>
      <w:r w:rsidRPr="007E6D65">
        <w:rPr>
          <w:rFonts w:ascii="Garamond" w:hAnsi="Garamond" w:cs="Times New Roman"/>
          <w:color w:val="000000"/>
          <w:sz w:val="24"/>
          <w:szCs w:val="24"/>
        </w:rPr>
        <w:t xml:space="preserve"> transaksionet financiare dhe/ose rregullimet e rivlerësimit për të gjitha ndarjet e kërkuara, siç tregohet në </w:t>
      </w:r>
      <w:r w:rsidR="0018527F">
        <w:rPr>
          <w:rFonts w:ascii="Garamond" w:hAnsi="Garamond" w:cs="Times New Roman"/>
          <w:color w:val="000000"/>
          <w:sz w:val="24"/>
          <w:szCs w:val="24"/>
        </w:rPr>
        <w:t>t</w:t>
      </w:r>
      <w:r w:rsidRPr="007E6D65">
        <w:rPr>
          <w:rFonts w:ascii="Garamond" w:hAnsi="Garamond" w:cs="Times New Roman"/>
          <w:color w:val="000000"/>
          <w:sz w:val="24"/>
          <w:szCs w:val="24"/>
        </w:rPr>
        <w:t xml:space="preserve">abelat 3a dhe 3b. </w:t>
      </w:r>
    </w:p>
    <w:p w14:paraId="6A947A86"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p>
    <w:p w14:paraId="29427A08" w14:textId="77777777" w:rsidR="007E6D65" w:rsidRPr="007E6D65" w:rsidRDefault="007E6D65" w:rsidP="007E6D65">
      <w:pPr>
        <w:spacing w:after="0" w:line="240" w:lineRule="auto"/>
        <w:ind w:left="720"/>
        <w:jc w:val="both"/>
        <w:rPr>
          <w:rFonts w:ascii="Garamond" w:hAnsi="Garamond" w:cs="Times New Roman"/>
          <w:sz w:val="24"/>
          <w:szCs w:val="24"/>
        </w:rPr>
      </w:pPr>
    </w:p>
    <w:p w14:paraId="1F2E0782" w14:textId="77777777" w:rsidR="00EE658D" w:rsidRPr="007E6D65" w:rsidRDefault="00EE658D" w:rsidP="007E6D65">
      <w:pPr>
        <w:spacing w:after="0" w:line="240" w:lineRule="auto"/>
        <w:ind w:left="720"/>
        <w:jc w:val="both"/>
        <w:rPr>
          <w:rFonts w:ascii="Garamond" w:hAnsi="Garamond" w:cs="Times New Roman"/>
          <w:sz w:val="24"/>
          <w:szCs w:val="24"/>
        </w:rPr>
        <w:sectPr w:rsidR="00EE658D" w:rsidRPr="007E6D65" w:rsidSect="007E6D65">
          <w:pgSz w:w="11906" w:h="16838"/>
          <w:pgMar w:top="426" w:right="1440" w:bottom="1440" w:left="1440" w:header="708" w:footer="708" w:gutter="0"/>
          <w:cols w:space="708"/>
          <w:docGrid w:linePitch="360"/>
        </w:sectPr>
      </w:pPr>
    </w:p>
    <w:p w14:paraId="7B094BEA" w14:textId="77777777" w:rsidR="00EE658D" w:rsidRPr="00927FBD" w:rsidRDefault="00EE658D" w:rsidP="007E6D65">
      <w:pPr>
        <w:spacing w:after="0" w:line="240" w:lineRule="auto"/>
        <w:jc w:val="center"/>
        <w:rPr>
          <w:rFonts w:ascii="Garamond" w:hAnsi="Garamond" w:cs="Times New Roman"/>
          <w:sz w:val="20"/>
          <w:szCs w:val="20"/>
        </w:rPr>
      </w:pPr>
      <w:r w:rsidRPr="00927FBD">
        <w:rPr>
          <w:rFonts w:ascii="Garamond" w:hAnsi="Garamond" w:cs="Times New Roman"/>
          <w:sz w:val="20"/>
          <w:szCs w:val="20"/>
        </w:rPr>
        <w:lastRenderedPageBreak/>
        <w:t>PJESA 3</w:t>
      </w:r>
    </w:p>
    <w:p w14:paraId="2EB25169" w14:textId="77777777" w:rsidR="00EE658D" w:rsidRPr="007E6D65" w:rsidRDefault="00EE658D" w:rsidP="007E6D65">
      <w:pPr>
        <w:spacing w:after="0" w:line="240" w:lineRule="auto"/>
        <w:jc w:val="center"/>
        <w:rPr>
          <w:rFonts w:ascii="Garamond" w:hAnsi="Garamond" w:cs="Times New Roman"/>
          <w:b/>
          <w:sz w:val="20"/>
          <w:szCs w:val="20"/>
        </w:rPr>
      </w:pPr>
      <w:r w:rsidRPr="007E6D65">
        <w:rPr>
          <w:rFonts w:ascii="Garamond" w:hAnsi="Garamond" w:cs="Times New Roman"/>
          <w:b/>
          <w:sz w:val="20"/>
          <w:szCs w:val="20"/>
        </w:rPr>
        <w:t>Tabelat e raportimit</w:t>
      </w:r>
    </w:p>
    <w:p w14:paraId="09E9F74C" w14:textId="77777777" w:rsidR="00EE658D" w:rsidRPr="007E6D65" w:rsidRDefault="00EE658D" w:rsidP="007E6D65">
      <w:pPr>
        <w:spacing w:after="0" w:line="240" w:lineRule="auto"/>
        <w:jc w:val="center"/>
        <w:rPr>
          <w:rFonts w:ascii="Garamond" w:hAnsi="Garamond" w:cs="Times New Roman"/>
          <w:i/>
          <w:iCs/>
          <w:sz w:val="20"/>
          <w:szCs w:val="20"/>
        </w:rPr>
      </w:pPr>
      <w:r w:rsidRPr="007E6D65">
        <w:rPr>
          <w:rFonts w:ascii="Garamond" w:hAnsi="Garamond" w:cs="Times New Roman"/>
          <w:i/>
          <w:iCs/>
          <w:sz w:val="20"/>
          <w:szCs w:val="20"/>
        </w:rPr>
        <w:t>Tabela 1a</w:t>
      </w:r>
    </w:p>
    <w:tbl>
      <w:tblPr>
        <w:tblW w:w="5000" w:type="pct"/>
        <w:tblLook w:val="0000" w:firstRow="0" w:lastRow="0" w:firstColumn="0" w:lastColumn="0" w:noHBand="0" w:noVBand="0"/>
      </w:tblPr>
      <w:tblGrid>
        <w:gridCol w:w="2123"/>
        <w:gridCol w:w="2404"/>
        <w:gridCol w:w="961"/>
        <w:gridCol w:w="1296"/>
        <w:gridCol w:w="1474"/>
        <w:gridCol w:w="1474"/>
        <w:gridCol w:w="961"/>
        <w:gridCol w:w="1386"/>
        <w:gridCol w:w="2095"/>
      </w:tblGrid>
      <w:tr w:rsidR="00EE658D" w:rsidRPr="007E6D65" w14:paraId="5FD92829" w14:textId="77777777" w:rsidTr="00927FBD">
        <w:trPr>
          <w:trHeight w:val="305"/>
        </w:trPr>
        <w:tc>
          <w:tcPr>
            <w:tcW w:w="749" w:type="pct"/>
            <w:tcBorders>
              <w:top w:val="single" w:sz="12" w:space="0" w:color="000000"/>
              <w:left w:val="single" w:sz="12" w:space="0" w:color="000000"/>
              <w:bottom w:val="nil"/>
              <w:right w:val="nil"/>
            </w:tcBorders>
            <w:shd w:val="solid" w:color="FFFFFF" w:fill="auto"/>
          </w:tcPr>
          <w:p w14:paraId="6FC0E36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848" w:type="pct"/>
            <w:tcBorders>
              <w:top w:val="single" w:sz="12" w:space="0" w:color="000000"/>
              <w:left w:val="nil"/>
              <w:bottom w:val="nil"/>
              <w:right w:val="single" w:sz="12" w:space="0" w:color="000000"/>
            </w:tcBorders>
            <w:shd w:val="solid" w:color="FFFFFF" w:fill="auto"/>
          </w:tcPr>
          <w:p w14:paraId="55E069C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000000"/>
              <w:left w:val="single" w:sz="12" w:space="0" w:color="000000"/>
              <w:bottom w:val="nil"/>
              <w:right w:val="single" w:sz="12" w:space="0" w:color="000000"/>
            </w:tcBorders>
            <w:shd w:val="solid" w:color="FFFFFF" w:fill="auto"/>
          </w:tcPr>
          <w:p w14:paraId="1D474AF8"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Total</w:t>
            </w:r>
          </w:p>
        </w:tc>
        <w:tc>
          <w:tcPr>
            <w:tcW w:w="457" w:type="pct"/>
            <w:tcBorders>
              <w:top w:val="single" w:sz="12" w:space="0" w:color="000000"/>
              <w:left w:val="single" w:sz="12" w:space="0" w:color="000000"/>
              <w:bottom w:val="single" w:sz="12" w:space="0" w:color="000000"/>
              <w:right w:val="nil"/>
            </w:tcBorders>
            <w:shd w:val="solid" w:color="FFFFFF" w:fill="auto"/>
          </w:tcPr>
          <w:p w14:paraId="5313C4BD"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Euro-Zona</w:t>
            </w:r>
          </w:p>
        </w:tc>
        <w:tc>
          <w:tcPr>
            <w:tcW w:w="520" w:type="pct"/>
            <w:tcBorders>
              <w:top w:val="single" w:sz="12" w:space="0" w:color="000000"/>
              <w:left w:val="nil"/>
              <w:bottom w:val="single" w:sz="12" w:space="0" w:color="000000"/>
              <w:right w:val="nil"/>
            </w:tcBorders>
            <w:shd w:val="solid" w:color="FFFFFF" w:fill="auto"/>
          </w:tcPr>
          <w:p w14:paraId="386F6CCA"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520" w:type="pct"/>
            <w:tcBorders>
              <w:top w:val="single" w:sz="12" w:space="0" w:color="000000"/>
              <w:left w:val="nil"/>
              <w:bottom w:val="single" w:sz="12" w:space="0" w:color="000000"/>
              <w:right w:val="single" w:sz="12" w:space="0" w:color="000000"/>
            </w:tcBorders>
            <w:shd w:val="solid" w:color="FFFFFF" w:fill="auto"/>
          </w:tcPr>
          <w:p w14:paraId="25AD4AF7"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339" w:type="pct"/>
            <w:tcBorders>
              <w:top w:val="single" w:sz="12" w:space="0" w:color="000000"/>
              <w:left w:val="single" w:sz="12" w:space="0" w:color="000000"/>
              <w:bottom w:val="single" w:sz="12" w:space="0" w:color="000000"/>
              <w:right w:val="nil"/>
            </w:tcBorders>
            <w:shd w:val="solid" w:color="FFFFFF" w:fill="auto"/>
          </w:tcPr>
          <w:p w14:paraId="0421A772"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Pjesa tjetër e botës</w:t>
            </w:r>
          </w:p>
        </w:tc>
        <w:tc>
          <w:tcPr>
            <w:tcW w:w="489" w:type="pct"/>
            <w:tcBorders>
              <w:top w:val="single" w:sz="12" w:space="0" w:color="000000"/>
              <w:left w:val="nil"/>
              <w:bottom w:val="single" w:sz="12" w:space="0" w:color="000000"/>
              <w:right w:val="nil"/>
            </w:tcBorders>
            <w:shd w:val="solid" w:color="FFFFFF" w:fill="auto"/>
          </w:tcPr>
          <w:p w14:paraId="1A217F5B"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739" w:type="pct"/>
            <w:tcBorders>
              <w:top w:val="single" w:sz="12" w:space="0" w:color="000000"/>
              <w:left w:val="nil"/>
              <w:bottom w:val="single" w:sz="12" w:space="0" w:color="000000"/>
              <w:right w:val="single" w:sz="12" w:space="0" w:color="000000"/>
            </w:tcBorders>
            <w:shd w:val="solid" w:color="FFFFFF" w:fill="auto"/>
          </w:tcPr>
          <w:p w14:paraId="121F8FB7"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r>
      <w:tr w:rsidR="00EE658D" w:rsidRPr="007E6D65" w14:paraId="73E6050F" w14:textId="77777777" w:rsidTr="00927FBD">
        <w:trPr>
          <w:trHeight w:val="739"/>
        </w:trPr>
        <w:tc>
          <w:tcPr>
            <w:tcW w:w="749" w:type="pct"/>
            <w:tcBorders>
              <w:top w:val="nil"/>
              <w:left w:val="single" w:sz="12" w:space="0" w:color="000000"/>
              <w:bottom w:val="nil"/>
              <w:right w:val="nil"/>
            </w:tcBorders>
            <w:shd w:val="solid" w:color="FFFFFF" w:fill="auto"/>
          </w:tcPr>
          <w:p w14:paraId="28E68E1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848" w:type="pct"/>
            <w:tcBorders>
              <w:top w:val="nil"/>
              <w:left w:val="nil"/>
              <w:bottom w:val="nil"/>
              <w:right w:val="single" w:sz="12" w:space="0" w:color="000000"/>
            </w:tcBorders>
            <w:shd w:val="solid" w:color="FFFFFF" w:fill="auto"/>
          </w:tcPr>
          <w:p w14:paraId="2FE55F4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nil"/>
              <w:left w:val="single" w:sz="12" w:space="0" w:color="000000"/>
              <w:bottom w:val="nil"/>
              <w:right w:val="single" w:sz="12" w:space="0" w:color="000000"/>
            </w:tcBorders>
            <w:shd w:val="solid" w:color="FFFFFF" w:fill="auto"/>
          </w:tcPr>
          <w:p w14:paraId="0D85ABC6"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457" w:type="pct"/>
            <w:tcBorders>
              <w:top w:val="single" w:sz="12" w:space="0" w:color="000000"/>
              <w:left w:val="single" w:sz="12" w:space="0" w:color="000000"/>
              <w:bottom w:val="nil"/>
              <w:right w:val="single" w:sz="12" w:space="0" w:color="000000"/>
            </w:tcBorders>
            <w:shd w:val="solid" w:color="FFFFFF" w:fill="auto"/>
          </w:tcPr>
          <w:p w14:paraId="5C1B7124"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Rezident</w:t>
            </w:r>
          </w:p>
        </w:tc>
        <w:tc>
          <w:tcPr>
            <w:tcW w:w="520" w:type="pct"/>
            <w:tcBorders>
              <w:top w:val="single" w:sz="12" w:space="0" w:color="000000"/>
              <w:left w:val="single" w:sz="12" w:space="0" w:color="000000"/>
              <w:bottom w:val="nil"/>
              <w:right w:val="single" w:sz="12" w:space="0" w:color="000000"/>
            </w:tcBorders>
            <w:shd w:val="solid" w:color="FFFFFF" w:fill="auto"/>
          </w:tcPr>
          <w:p w14:paraId="23D06459"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 xml:space="preserve">Shtete anëtare të Eurozonës </w:t>
            </w:r>
          </w:p>
        </w:tc>
        <w:tc>
          <w:tcPr>
            <w:tcW w:w="520" w:type="pct"/>
            <w:tcBorders>
              <w:top w:val="single" w:sz="12" w:space="0" w:color="C0C0C0"/>
              <w:left w:val="single" w:sz="12" w:space="0" w:color="000000"/>
              <w:bottom w:val="nil"/>
              <w:right w:val="single" w:sz="12" w:space="0" w:color="000000"/>
            </w:tcBorders>
            <w:shd w:val="solid" w:color="FFFFFF" w:fill="auto"/>
          </w:tcPr>
          <w:p w14:paraId="0CA65DE3"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 xml:space="preserve">Shtete anëtare të Eurozonës </w:t>
            </w:r>
          </w:p>
        </w:tc>
        <w:tc>
          <w:tcPr>
            <w:tcW w:w="339" w:type="pct"/>
            <w:tcBorders>
              <w:top w:val="single" w:sz="12" w:space="0" w:color="000000"/>
              <w:left w:val="single" w:sz="12" w:space="0" w:color="000000"/>
              <w:bottom w:val="nil"/>
              <w:right w:val="single" w:sz="12" w:space="0" w:color="000000"/>
            </w:tcBorders>
            <w:shd w:val="solid" w:color="FFFFFF" w:fill="auto"/>
          </w:tcPr>
          <w:p w14:paraId="656C7FBD"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Total</w:t>
            </w:r>
          </w:p>
        </w:tc>
        <w:tc>
          <w:tcPr>
            <w:tcW w:w="489" w:type="pct"/>
            <w:tcBorders>
              <w:top w:val="single" w:sz="12" w:space="0" w:color="C0C0C0"/>
              <w:left w:val="single" w:sz="12" w:space="0" w:color="000000"/>
              <w:bottom w:val="nil"/>
              <w:right w:val="single" w:sz="12" w:space="0" w:color="000000"/>
            </w:tcBorders>
            <w:shd w:val="solid" w:color="FFFFFF" w:fill="auto"/>
          </w:tcPr>
          <w:p w14:paraId="0E6D714C"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Shtete të tjera anëtare</w:t>
            </w:r>
          </w:p>
        </w:tc>
        <w:tc>
          <w:tcPr>
            <w:tcW w:w="739" w:type="pct"/>
            <w:tcBorders>
              <w:top w:val="single" w:sz="12" w:space="0" w:color="C0C0C0"/>
              <w:left w:val="single" w:sz="12" w:space="0" w:color="000000"/>
              <w:bottom w:val="nil"/>
              <w:right w:val="single" w:sz="12" w:space="0" w:color="000000"/>
            </w:tcBorders>
            <w:shd w:val="solid" w:color="FFFFFF" w:fill="auto"/>
          </w:tcPr>
          <w:p w14:paraId="17A018D9"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Shtetet kryesore jashtë Bashkimit Evropian</w:t>
            </w:r>
          </w:p>
        </w:tc>
      </w:tr>
      <w:tr w:rsidR="00EE658D" w:rsidRPr="007E6D65" w14:paraId="099C7FDE" w14:textId="77777777" w:rsidTr="00927FBD">
        <w:trPr>
          <w:trHeight w:val="66"/>
        </w:trPr>
        <w:tc>
          <w:tcPr>
            <w:tcW w:w="749" w:type="pct"/>
            <w:tcBorders>
              <w:top w:val="nil"/>
              <w:left w:val="single" w:sz="12" w:space="0" w:color="000000"/>
              <w:bottom w:val="single" w:sz="12" w:space="0" w:color="000000"/>
              <w:right w:val="nil"/>
            </w:tcBorders>
            <w:shd w:val="solid" w:color="FFFFFF" w:fill="auto"/>
          </w:tcPr>
          <w:p w14:paraId="5A5D148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848" w:type="pct"/>
            <w:tcBorders>
              <w:top w:val="nil"/>
              <w:left w:val="nil"/>
              <w:bottom w:val="single" w:sz="12" w:space="0" w:color="000000"/>
              <w:right w:val="single" w:sz="12" w:space="0" w:color="000000"/>
            </w:tcBorders>
            <w:shd w:val="solid" w:color="FFFFFF" w:fill="auto"/>
          </w:tcPr>
          <w:p w14:paraId="3FEA21B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nil"/>
              <w:left w:val="single" w:sz="12" w:space="0" w:color="000000"/>
              <w:bottom w:val="single" w:sz="12" w:space="0" w:color="000000"/>
              <w:right w:val="single" w:sz="12" w:space="0" w:color="000000"/>
            </w:tcBorders>
            <w:shd w:val="solid" w:color="FFFFFF" w:fill="auto"/>
          </w:tcPr>
          <w:p w14:paraId="141B4D2F"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457" w:type="pct"/>
            <w:tcBorders>
              <w:top w:val="nil"/>
              <w:left w:val="single" w:sz="12" w:space="0" w:color="000000"/>
              <w:bottom w:val="single" w:sz="12" w:space="0" w:color="000000"/>
              <w:right w:val="single" w:sz="12" w:space="0" w:color="000000"/>
            </w:tcBorders>
            <w:shd w:val="solid" w:color="FFFFFF" w:fill="auto"/>
          </w:tcPr>
          <w:p w14:paraId="766CBB4B"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520" w:type="pct"/>
            <w:tcBorders>
              <w:top w:val="nil"/>
              <w:left w:val="single" w:sz="12" w:space="0" w:color="000000"/>
              <w:bottom w:val="single" w:sz="12" w:space="0" w:color="000000"/>
              <w:right w:val="single" w:sz="12" w:space="0" w:color="000000"/>
            </w:tcBorders>
            <w:shd w:val="solid" w:color="FFFFFF" w:fill="auto"/>
          </w:tcPr>
          <w:p w14:paraId="445A276E"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859" w:type="pct"/>
            <w:gridSpan w:val="2"/>
            <w:tcBorders>
              <w:top w:val="nil"/>
              <w:left w:val="single" w:sz="12" w:space="0" w:color="000000"/>
              <w:bottom w:val="single" w:sz="12" w:space="0" w:color="000000"/>
              <w:right w:val="single" w:sz="12" w:space="0" w:color="000000"/>
            </w:tcBorders>
            <w:shd w:val="solid" w:color="FFFFFF" w:fill="auto"/>
          </w:tcPr>
          <w:p w14:paraId="51A7721D"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(informacion sipas shteteve)</w:t>
            </w:r>
          </w:p>
        </w:tc>
        <w:tc>
          <w:tcPr>
            <w:tcW w:w="489" w:type="pct"/>
            <w:tcBorders>
              <w:top w:val="nil"/>
              <w:left w:val="single" w:sz="12" w:space="0" w:color="000000"/>
              <w:bottom w:val="single" w:sz="12" w:space="0" w:color="000000"/>
              <w:right w:val="single" w:sz="12" w:space="0" w:color="000000"/>
            </w:tcBorders>
            <w:shd w:val="solid" w:color="FFFFFF" w:fill="auto"/>
          </w:tcPr>
          <w:p w14:paraId="1FD1A37F"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(informacion sipas shteteve)</w:t>
            </w:r>
          </w:p>
        </w:tc>
        <w:tc>
          <w:tcPr>
            <w:tcW w:w="739" w:type="pct"/>
            <w:tcBorders>
              <w:top w:val="nil"/>
              <w:left w:val="single" w:sz="12" w:space="0" w:color="000000"/>
              <w:bottom w:val="single" w:sz="12" w:space="0" w:color="000000"/>
              <w:right w:val="single" w:sz="12" w:space="0" w:color="000000"/>
            </w:tcBorders>
            <w:shd w:val="solid" w:color="FFFFFF" w:fill="auto"/>
          </w:tcPr>
          <w:p w14:paraId="4879F443"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(informacion sipas shteteve për Brazil, Kanada, Kinë, Hong Kong, Indi, Japoni, Rusi, Zvicër, USA)</w:t>
            </w:r>
          </w:p>
        </w:tc>
      </w:tr>
      <w:tr w:rsidR="00EE658D" w:rsidRPr="007E6D65" w14:paraId="128C8418" w14:textId="77777777" w:rsidTr="00927FBD">
        <w:trPr>
          <w:trHeight w:val="36"/>
        </w:trPr>
        <w:tc>
          <w:tcPr>
            <w:tcW w:w="749" w:type="pct"/>
            <w:tcBorders>
              <w:top w:val="single" w:sz="12" w:space="0" w:color="000000"/>
              <w:left w:val="single" w:sz="12" w:space="0" w:color="000000"/>
              <w:bottom w:val="single" w:sz="12" w:space="0" w:color="C0C0C0"/>
              <w:right w:val="nil"/>
            </w:tcBorders>
            <w:shd w:val="solid" w:color="FFFFFF" w:fill="auto"/>
          </w:tcPr>
          <w:p w14:paraId="53E20CBD"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Mjetet</w:t>
            </w:r>
          </w:p>
        </w:tc>
        <w:tc>
          <w:tcPr>
            <w:tcW w:w="848" w:type="pct"/>
            <w:tcBorders>
              <w:top w:val="single" w:sz="12" w:space="0" w:color="000000"/>
              <w:left w:val="nil"/>
              <w:bottom w:val="single" w:sz="12" w:space="0" w:color="C0C0C0"/>
              <w:right w:val="nil"/>
            </w:tcBorders>
            <w:shd w:val="solid" w:color="FFFFFF" w:fill="auto"/>
          </w:tcPr>
          <w:p w14:paraId="220F8521"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339" w:type="pct"/>
            <w:tcBorders>
              <w:top w:val="single" w:sz="12" w:space="0" w:color="000000"/>
              <w:left w:val="nil"/>
              <w:bottom w:val="single" w:sz="12" w:space="0" w:color="C0C0C0"/>
              <w:right w:val="nil"/>
            </w:tcBorders>
            <w:shd w:val="solid" w:color="FFFFFF" w:fill="auto"/>
          </w:tcPr>
          <w:p w14:paraId="48730DFE"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457" w:type="pct"/>
            <w:tcBorders>
              <w:top w:val="single" w:sz="12" w:space="0" w:color="000000"/>
              <w:left w:val="nil"/>
              <w:bottom w:val="single" w:sz="12" w:space="0" w:color="C0C0C0"/>
              <w:right w:val="nil"/>
            </w:tcBorders>
            <w:shd w:val="solid" w:color="FFFFFF" w:fill="auto"/>
          </w:tcPr>
          <w:p w14:paraId="00EC9C4C"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520" w:type="pct"/>
            <w:tcBorders>
              <w:top w:val="single" w:sz="12" w:space="0" w:color="000000"/>
              <w:left w:val="nil"/>
              <w:bottom w:val="single" w:sz="12" w:space="0" w:color="C0C0C0"/>
              <w:right w:val="nil"/>
            </w:tcBorders>
            <w:shd w:val="solid" w:color="FFFFFF" w:fill="auto"/>
          </w:tcPr>
          <w:p w14:paraId="1034CCFB"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520" w:type="pct"/>
            <w:tcBorders>
              <w:top w:val="single" w:sz="12" w:space="0" w:color="000000"/>
              <w:left w:val="nil"/>
              <w:bottom w:val="single" w:sz="12" w:space="0" w:color="C0C0C0"/>
              <w:right w:val="nil"/>
            </w:tcBorders>
            <w:shd w:val="solid" w:color="FFFFFF" w:fill="auto"/>
          </w:tcPr>
          <w:p w14:paraId="54A86398"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339" w:type="pct"/>
            <w:tcBorders>
              <w:top w:val="single" w:sz="12" w:space="0" w:color="000000"/>
              <w:left w:val="nil"/>
              <w:bottom w:val="single" w:sz="12" w:space="0" w:color="C0C0C0"/>
              <w:right w:val="nil"/>
            </w:tcBorders>
            <w:shd w:val="solid" w:color="FFFFFF" w:fill="auto"/>
          </w:tcPr>
          <w:p w14:paraId="5B019C37"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489" w:type="pct"/>
            <w:tcBorders>
              <w:top w:val="single" w:sz="12" w:space="0" w:color="000000"/>
              <w:left w:val="nil"/>
              <w:bottom w:val="single" w:sz="12" w:space="0" w:color="C0C0C0"/>
              <w:right w:val="nil"/>
            </w:tcBorders>
            <w:shd w:val="solid" w:color="FFFFFF" w:fill="auto"/>
          </w:tcPr>
          <w:p w14:paraId="67D2D1FB"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739" w:type="pct"/>
            <w:tcBorders>
              <w:top w:val="single" w:sz="12" w:space="0" w:color="000000"/>
              <w:left w:val="nil"/>
              <w:bottom w:val="single" w:sz="12" w:space="0" w:color="C0C0C0"/>
              <w:right w:val="single" w:sz="12" w:space="0" w:color="000000"/>
            </w:tcBorders>
            <w:shd w:val="solid" w:color="FFFFFF" w:fill="auto"/>
          </w:tcPr>
          <w:p w14:paraId="1DCE6885"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r>
      <w:tr w:rsidR="00EE658D" w:rsidRPr="007E6D65" w14:paraId="66315846" w14:textId="77777777" w:rsidTr="00927FBD">
        <w:trPr>
          <w:trHeight w:val="36"/>
        </w:trPr>
        <w:tc>
          <w:tcPr>
            <w:tcW w:w="749" w:type="pct"/>
            <w:tcBorders>
              <w:top w:val="single" w:sz="12" w:space="0" w:color="C0C0C0"/>
              <w:left w:val="single" w:sz="12" w:space="0" w:color="000000"/>
              <w:bottom w:val="single" w:sz="12" w:space="0" w:color="000000"/>
              <w:right w:val="nil"/>
            </w:tcBorders>
            <w:shd w:val="solid" w:color="FFFFFF" w:fill="auto"/>
          </w:tcPr>
          <w:p w14:paraId="33B4550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1</w:t>
            </w:r>
          </w:p>
        </w:tc>
        <w:tc>
          <w:tcPr>
            <w:tcW w:w="848" w:type="pct"/>
            <w:tcBorders>
              <w:top w:val="single" w:sz="12" w:space="0" w:color="C0C0C0"/>
              <w:left w:val="nil"/>
              <w:bottom w:val="single" w:sz="12" w:space="0" w:color="000000"/>
              <w:right w:val="single" w:sz="12" w:space="0" w:color="000000"/>
            </w:tcBorders>
            <w:shd w:val="solid" w:color="FFFFFF" w:fill="auto"/>
          </w:tcPr>
          <w:p w14:paraId="282EABE3"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Monedha dhe depozita</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184DBBD"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0EEA4F3"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E3AB619"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D68C34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718A389"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746745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4EA28F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927FBD" w:rsidRPr="007E6D65" w14:paraId="429013EC"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1C67B77" w14:textId="7876FFC8" w:rsidR="00927FBD" w:rsidRPr="007E6D65" w:rsidRDefault="00927FB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deri në 1 vit (maturitet i mbetur)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67B4EB5" w14:textId="77777777" w:rsidR="00927FBD" w:rsidRPr="007E6D65" w:rsidRDefault="00927FBD"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38764B8" w14:textId="77777777" w:rsidR="00927FBD" w:rsidRPr="007E6D65" w:rsidRDefault="00927FB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C2FE77F" w14:textId="77777777" w:rsidR="00927FBD" w:rsidRPr="007E6D65" w:rsidRDefault="00927FB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4D0C855" w14:textId="77777777" w:rsidR="00927FBD" w:rsidRPr="007E6D65" w:rsidRDefault="00927FB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8A22C83" w14:textId="77777777" w:rsidR="00927FBD" w:rsidRPr="007E6D65" w:rsidRDefault="00927FB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09269F2" w14:textId="77777777" w:rsidR="00927FBD" w:rsidRPr="007E6D65" w:rsidRDefault="00927FB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BF71FEA" w14:textId="77777777" w:rsidR="00927FBD" w:rsidRPr="007E6D65" w:rsidRDefault="00927FBD" w:rsidP="007E6D65">
            <w:pPr>
              <w:autoSpaceDE w:val="0"/>
              <w:autoSpaceDN w:val="0"/>
              <w:adjustRightInd w:val="0"/>
              <w:spacing w:after="0" w:line="240" w:lineRule="auto"/>
              <w:rPr>
                <w:rFonts w:ascii="Garamond" w:hAnsi="Garamond" w:cs="Inherit"/>
                <w:color w:val="000000"/>
                <w:sz w:val="20"/>
                <w:szCs w:val="20"/>
              </w:rPr>
            </w:pPr>
          </w:p>
        </w:tc>
      </w:tr>
      <w:tr w:rsidR="00927FBD" w:rsidRPr="007E6D65" w14:paraId="57E64806"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19DA315" w14:textId="327EA8A1" w:rsidR="00927FBD" w:rsidRPr="007E6D65" w:rsidRDefault="00927FB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mbi 1 vit (maturitet i mbetur)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78642AE" w14:textId="77777777" w:rsidR="00927FBD" w:rsidRPr="007E6D65" w:rsidRDefault="00927FBD"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4B8F657" w14:textId="77777777" w:rsidR="00927FBD" w:rsidRPr="007E6D65" w:rsidRDefault="00927FB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6CF1503" w14:textId="77777777" w:rsidR="00927FBD" w:rsidRPr="007E6D65" w:rsidRDefault="00927FB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165F0C8" w14:textId="77777777" w:rsidR="00927FBD" w:rsidRPr="007E6D65" w:rsidRDefault="00927FB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ED2D039" w14:textId="77777777" w:rsidR="00927FBD" w:rsidRPr="007E6D65" w:rsidRDefault="00927FB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88ACA96" w14:textId="77777777" w:rsidR="00927FBD" w:rsidRPr="007E6D65" w:rsidRDefault="00927FB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0F8AB8F5" w14:textId="77777777" w:rsidR="00927FBD" w:rsidRPr="007E6D65" w:rsidRDefault="00927FB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0DDC191A" w14:textId="77777777" w:rsidTr="00927FBD">
        <w:trPr>
          <w:trHeight w:val="36"/>
        </w:trPr>
        <w:tc>
          <w:tcPr>
            <w:tcW w:w="2393" w:type="pct"/>
            <w:gridSpan w:val="4"/>
            <w:tcBorders>
              <w:top w:val="single" w:sz="12" w:space="0" w:color="C0C0C0"/>
              <w:left w:val="single" w:sz="12" w:space="0" w:color="000000"/>
              <w:bottom w:val="single" w:sz="12" w:space="0" w:color="000000"/>
              <w:right w:val="single" w:sz="12" w:space="0" w:color="000000"/>
            </w:tcBorders>
            <w:shd w:val="solid" w:color="FFFFFF" w:fill="auto"/>
          </w:tcPr>
          <w:p w14:paraId="39D32A5C" w14:textId="3AC14367" w:rsidR="0037509A" w:rsidRPr="0037509A" w:rsidRDefault="0037509A" w:rsidP="0037509A">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1x.</w:t>
            </w:r>
            <w:r>
              <w:rPr>
                <w:rFonts w:ascii="Garamond" w:hAnsi="Garamond" w:cs="Inherit"/>
                <w:color w:val="000000"/>
                <w:sz w:val="20"/>
                <w:szCs w:val="20"/>
              </w:rPr>
              <w:t xml:space="preserve"> </w:t>
            </w:r>
            <w:r w:rsidRPr="007E6D65">
              <w:rPr>
                <w:rFonts w:ascii="Garamond" w:hAnsi="Garamond" w:cs="Inherit"/>
                <w:b/>
                <w:bCs/>
                <w:color w:val="000000"/>
                <w:sz w:val="20"/>
                <w:szCs w:val="20"/>
              </w:rPr>
              <w:t xml:space="preserve">Monedha dhe </w:t>
            </w:r>
            <w:r>
              <w:rPr>
                <w:rFonts w:ascii="Garamond" w:hAnsi="Garamond" w:cs="Inherit"/>
                <w:b/>
                <w:bCs/>
                <w:color w:val="000000"/>
                <w:sz w:val="20"/>
                <w:szCs w:val="20"/>
              </w:rPr>
              <w:t>d</w:t>
            </w:r>
            <w:r w:rsidRPr="007E6D65">
              <w:rPr>
                <w:rFonts w:ascii="Garamond" w:hAnsi="Garamond" w:cs="Inherit"/>
                <w:b/>
                <w:bCs/>
                <w:color w:val="000000"/>
                <w:sz w:val="20"/>
                <w:szCs w:val="20"/>
              </w:rPr>
              <w:t>epozitat nga të cilat depozita të transferueshme</w:t>
            </w: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50CCF0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76E536D"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E832C07"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93CE18E"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FA5FCB3"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6DBD078F" w14:textId="77777777" w:rsidTr="00927FBD">
        <w:trPr>
          <w:trHeight w:val="36"/>
        </w:trPr>
        <w:tc>
          <w:tcPr>
            <w:tcW w:w="1597"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6CBBB789" w14:textId="4788A27E" w:rsidR="0037509A" w:rsidRPr="0037509A" w:rsidRDefault="0037509A" w:rsidP="0037509A">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1</w:t>
            </w:r>
            <w:r>
              <w:rPr>
                <w:rFonts w:ascii="Garamond" w:hAnsi="Garamond" w:cs="Inherit"/>
                <w:color w:val="000000"/>
                <w:sz w:val="20"/>
                <w:szCs w:val="20"/>
              </w:rPr>
              <w:t xml:space="preserve">. </w:t>
            </w:r>
            <w:r w:rsidRPr="007E6D65">
              <w:rPr>
                <w:rFonts w:ascii="Garamond" w:hAnsi="Garamond" w:cs="Inherit"/>
                <w:b/>
                <w:bCs/>
                <w:color w:val="000000"/>
                <w:sz w:val="20"/>
                <w:szCs w:val="20"/>
              </w:rPr>
              <w:t xml:space="preserve">Monedha dhe </w:t>
            </w:r>
            <w:r>
              <w:rPr>
                <w:rFonts w:ascii="Garamond" w:hAnsi="Garamond" w:cs="Inherit"/>
                <w:b/>
                <w:bCs/>
                <w:color w:val="000000"/>
                <w:sz w:val="20"/>
                <w:szCs w:val="20"/>
              </w:rPr>
              <w:t>d</w:t>
            </w:r>
            <w:r w:rsidRPr="007E6D65">
              <w:rPr>
                <w:rFonts w:ascii="Garamond" w:hAnsi="Garamond" w:cs="Inherit"/>
                <w:b/>
                <w:bCs/>
                <w:color w:val="000000"/>
                <w:sz w:val="20"/>
                <w:szCs w:val="20"/>
              </w:rPr>
              <w:t xml:space="preserve">epozitat </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87CF1F6"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6C5B597C"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784D247"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D83946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BE03BFC"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3469F7DB"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056671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3A9AB98B" w14:textId="77777777" w:rsidTr="00927FBD">
        <w:trPr>
          <w:trHeight w:val="36"/>
        </w:trPr>
        <w:tc>
          <w:tcPr>
            <w:tcW w:w="1597"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039DBD92" w14:textId="1B1D10BA" w:rsidR="0037509A" w:rsidRPr="0037509A"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2</w:t>
            </w:r>
            <w:r>
              <w:rPr>
                <w:rFonts w:ascii="Garamond" w:hAnsi="Garamond" w:cs="Inherit"/>
                <w:color w:val="000000"/>
                <w:sz w:val="20"/>
                <w:szCs w:val="20"/>
              </w:rPr>
              <w:t xml:space="preserve">. </w:t>
            </w:r>
            <w:r w:rsidRPr="007E6D65">
              <w:rPr>
                <w:rFonts w:ascii="Garamond" w:hAnsi="Garamond" w:cs="Inherit"/>
                <w:b/>
                <w:bCs/>
                <w:color w:val="000000"/>
                <w:sz w:val="20"/>
                <w:szCs w:val="20"/>
              </w:rPr>
              <w:t>Tituj të borxhit</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57E4408"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6804D75F"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CC74A01"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46ED0D2"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A4DD491"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6E09512"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0C39794"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3A533C35"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CCCECD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CA73B7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6A21182"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286A608"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29C59D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32FA49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5CAD92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1F976E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55CF9420"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9860F7B" w14:textId="5BB883E1"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70CA33E"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3ADF7F41"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B21B2A9"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6CFD343"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DE89153"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E1BEAC7"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00AB507"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7A34A815"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7726D8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BE004E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C298C66"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0FC2DDF"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578B7E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334D8D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D7060F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B45A76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2A42DAB4"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F52C86F" w14:textId="73697212"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5E0374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5B5301A"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3032DB6"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BFD77E9"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5EDE27C"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2169BC4"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8629D8B"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17E3F178"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E8E39CB" w14:textId="07EA8329"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14BDFFD"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56DCAC13"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AC23376"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73D2403"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F9B616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6F39B5B"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0A9BD917"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6F26F42"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EB33F3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D8D0AC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6E3606B"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BF6A077"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F76ECE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06AC3B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AE40C7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9C007A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3AFF0F5C" w14:textId="77777777" w:rsidTr="00927FBD">
        <w:trPr>
          <w:trHeight w:val="36"/>
        </w:trPr>
        <w:tc>
          <w:tcPr>
            <w:tcW w:w="1936"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1DA2E56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D489E7B"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5F48F47"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229724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B1205A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D70AFA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70FFA3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3150B80C"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81567FB" w14:textId="5947D1A8"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deri në 1 vit (maturitet i mbetur)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842D24A"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68A2D03"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DED948C"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E688B23"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BAE941B"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374BA3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0185A6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04A53E7"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0B178A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36E85C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320EAE0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836671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A1DD62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5AE657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E77A6B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5F440A4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5CEC89F3"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D2A505B" w14:textId="1008F72E"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B59927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653DBA7"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A1E975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2A1DB2C"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66201A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8E60EE8"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CD68657"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349BE9F4"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975210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D808C5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6793CE9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C6AA9B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2FE9AC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C851D2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9BB94D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C48EC3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326F18EB"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27450E7" w14:textId="650F9EF1"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3505F60"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D6794DC"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9C66B20"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C08951A"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04CBE3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B293D08"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81756E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490E35AC"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2A9FDCF" w14:textId="37A9240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E7AC38A"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6AC8110"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2E02D6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D3BE77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E2ADE5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DA1DA5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554166B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310D6225"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12DF45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B041DF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7FECE4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53C0DB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BE7582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52EE51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317209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949D8C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0BE2B3C" w14:textId="77777777" w:rsidTr="00927FBD">
        <w:trPr>
          <w:trHeight w:val="492"/>
        </w:trPr>
        <w:tc>
          <w:tcPr>
            <w:tcW w:w="1936"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697AECD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lastRenderedPageBreak/>
              <w:t>emetuar nga individë dhe institucionet jo me qëllim fitimi që u shërbejnë individëve</w:t>
            </w: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BDD1EA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CED634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A07662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8E5BBB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05EDFA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2B7D04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73628D7B"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7A13DE2" w14:textId="6384FA1D"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1-2 vjet (maturitet fillestar)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FCFDB5C"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41F28E6"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A70B62D"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109C62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F036590"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05C234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09C205BB"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32F0AE5D"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6DA8A8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900B3E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B02AFD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120757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5463B9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2687A3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D24E3C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5B42F65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0C4379F3"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AB22202" w14:textId="2C55D75D"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qeveria e përgjithshme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ECF94CC"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C8C296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81E3A33"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AAB9D2E"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4B9C1DA"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54EC7B9"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A50E3E3"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765FFA83"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3AA03C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C5F61A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232094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49AB8E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EB3E36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628122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A4D484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1DB553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1A86A821"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CD112D9" w14:textId="4C105BAE"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BCCD784"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C749DC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0D57EF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974688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1DACF9E"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25BD2AB"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7AD9DAC"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7EF746FB"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41827CB" w14:textId="5F87C179"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DBB5EFA"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8377A8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3657C57"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75FFEE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8C1DF85"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0A8CCBB"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06C2EC7E"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0C943C8"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F6B07A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810ED2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3C67C60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4246C3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458F90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456B3C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D3C77A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3C7BDC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67600E4" w14:textId="77777777" w:rsidTr="00927FBD">
        <w:trPr>
          <w:trHeight w:val="36"/>
        </w:trPr>
        <w:tc>
          <w:tcPr>
            <w:tcW w:w="1936"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143A0F2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262EC5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8114B1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A79FBB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4BA267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3463A48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DAB0F4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2A37F5C5"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7A3D857" w14:textId="29033B66"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mbi 2 vjet (maturitet fillestar)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3AF7AC3"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5E05801A"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410498D"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FE27379"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D74CD3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4F16BCE"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CC199D8"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DE9B2C6"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FDC5B9C" w14:textId="5982DA46"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 xml:space="preserve">emetuar nga </w:t>
            </w:r>
            <w:r w:rsidR="0037509A" w:rsidRPr="007E6D65">
              <w:rPr>
                <w:rFonts w:ascii="Garamond" w:hAnsi="Garamond" w:cs="Inherit"/>
                <w:color w:val="000000"/>
                <w:sz w:val="20"/>
                <w:szCs w:val="20"/>
              </w:rPr>
              <w:t>institucione</w:t>
            </w:r>
            <w:r w:rsidRPr="007E6D65">
              <w:rPr>
                <w:rFonts w:ascii="Garamond" w:hAnsi="Garamond" w:cs="Inherit"/>
                <w:color w:val="000000"/>
                <w:sz w:val="20"/>
                <w:szCs w:val="20"/>
              </w:rPr>
              <w:t xml:space="preserve"> monetare 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3B34FB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1068D8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37050A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6D303F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84CDB4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784E88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0D8F2D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6F71AE14"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6734D1B" w14:textId="3BAE2B6C"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061A614"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D2D199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63C9FC3"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EC9BBC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C34B2A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CB5AA5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053F1D7"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416598E6"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730217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C8090C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3B3FAF5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53740A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3B9080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C761D4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A4E2F1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47180C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256A3C16"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28B4228" w14:textId="593E35F5"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375DDC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BC94488"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356BBF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176EE04"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A95FB1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66CFD53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E3369A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52EAD95A"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6715EBE" w14:textId="3BF2177A"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64C7FC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5FCDFC0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C4BA955"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DAC129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D514C1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2E0311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DC753E9"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83764EB"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6A1250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F15E3B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5CCE3F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051DBA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F63C77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1E721F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B0F4B3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4C4427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7149BE54" w14:textId="77777777" w:rsidTr="00927FBD">
        <w:trPr>
          <w:trHeight w:val="36"/>
        </w:trPr>
        <w:tc>
          <w:tcPr>
            <w:tcW w:w="1936"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202744F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D8E91E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180054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757AE7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9CCE91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517F9B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3D4443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003C443F"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66B2A96" w14:textId="54411C8D"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deri në 1 vit (maturitet i mbetur)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84DA1F2"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54A9882"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9C973AA"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06722B0"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FAAA349"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0471059"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14ADE3B"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C049621"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312CAF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300B09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6C841AD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306F04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C3D31A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2A6CDA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42C4E6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2C9350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05B426A6"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CD30D16" w14:textId="6ED1025E"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7AA0617"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50B89F5C"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5C661C4"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6A171C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A967D0A"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A47C6B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EA0464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1E50521"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B3B6B8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198B68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3A9EC0B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7531ED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AD3F8F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102551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18688B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13824B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4EE21589"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D0E7350" w14:textId="5C2FA7F9"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E6AAC70"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3D661F93"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1D630E8"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11EFA5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C76AF1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0275313"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FAB04C0"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4590ED55"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19C2A96" w14:textId="6217AD1E"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F1ABAD3"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F7DEDB9"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D15871B"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DECF9C9"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737924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69F363D0"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9492158"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5D3D57B"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3EDB0D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0A6159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6E9690B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13A1D3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D806A8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2838DD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BE45D6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2E0D18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AFAE8D5" w14:textId="77777777" w:rsidTr="00927FBD">
        <w:trPr>
          <w:trHeight w:val="492"/>
        </w:trPr>
        <w:tc>
          <w:tcPr>
            <w:tcW w:w="1936"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4AB19F8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B42FC8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3DF91A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2E2903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8C4BB1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E4A6B6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8060BA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56FCE9CB"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DFCB2C9" w14:textId="433964A8"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1-2 vjet (maturitet i mbetur)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2638723"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F441372"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1AACC10"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0635ED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F3B81C8"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8EE975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431D674"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37A5E58C"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FA1FFC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4DEC99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31E789B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A9AA9E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A75429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F88406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691B3C9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54F0DEF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36201F97"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08C491A" w14:textId="4A5B0050"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0DD21D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5E6731AE"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7E9D4FD"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09CB7F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7495DB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49CDBB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0A5079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340BE49B"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968BC8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214296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A85496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65CFCD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85C551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93A1C4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655C2C2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C16DC3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717F8C98"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1237EC0" w14:textId="35A84A66"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9C23F0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BF7C62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B78C5BD"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346D71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FB7BD05"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36DB2CDA"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1547E57"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2161A81F"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152818E" w14:textId="18ED126E"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540DCA2"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345D0799"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FF9483A"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954DC7F"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79BBEB0"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CEF5BE1"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55A4767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33491205"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A7B6E8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lastRenderedPageBreak/>
              <w:t>emetuar nga korporata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C4BEC8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7BE262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4CA6C9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4B51FE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39566C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594274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FB3798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6D20C8E" w14:textId="77777777" w:rsidTr="00927FBD">
        <w:trPr>
          <w:trHeight w:val="492"/>
        </w:trPr>
        <w:tc>
          <w:tcPr>
            <w:tcW w:w="1936"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1545209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7FFDB0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D819E4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0A1559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85C84B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05CA06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C8148C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79CC8ECD"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6ACAD3E" w14:textId="0B895538"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2-5 vjet (maturitet i mbetur)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97ED8F3"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255A950"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B4D1D08"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85F93E0"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5B8CC4C"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6D8243DE"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97287B2"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42E79165"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78F583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137244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B76539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5708A8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97E9D3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961B70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64B7209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0694E2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5CADB957"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A018786" w14:textId="0D3BE15A"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7B902A9"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FA7E536"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7111DF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6B73BEF"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E832A73"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9004376"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0A28DCDD"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389B84B6"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FAC1B2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89A1A6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AF4CC7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C540D2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F886B0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F7FB72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61A310F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7CDAE1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288CF3A5"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DA25C05" w14:textId="12CED5E4"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8B0F89E"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83EA63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67B0CCE"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9A71499"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9CE22A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41417D0"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1E27AC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17F50718"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B0346E0" w14:textId="7310CCAE"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7C2E5E1"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5AF9AECB"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7B39B9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06463F2"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65AF2F6"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A279C1E"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C9CD71C"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E9AE69D"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E1DE6D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C2E2FC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2ECE04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464F9F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0D5F0A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A7D85B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C808C6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A976F7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22DFA60" w14:textId="77777777" w:rsidTr="00927FBD">
        <w:trPr>
          <w:trHeight w:val="36"/>
        </w:trPr>
        <w:tc>
          <w:tcPr>
            <w:tcW w:w="1936"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778E077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EC0AEA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0F8270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AFE683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CF1386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D0CF41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04FD3D8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3548FC30"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79E4DD6" w14:textId="7524C91F"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Mbi 5 vjet (maturitet i mbetur)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F1CD152"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F973B0A"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7C0B90A"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7877644"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2D1136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9E2244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03963A58"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16C2A05"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BFF9C7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821A78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E25491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77145F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F966D1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8E52E4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B2D48E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352FAC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4DD38DCB" w14:textId="77777777" w:rsidTr="00927FBD">
        <w:trPr>
          <w:trHeight w:val="305"/>
        </w:trPr>
        <w:tc>
          <w:tcPr>
            <w:tcW w:w="749" w:type="pct"/>
            <w:tcBorders>
              <w:top w:val="single" w:sz="12" w:space="0" w:color="000000"/>
              <w:left w:val="single" w:sz="12" w:space="0" w:color="000000"/>
              <w:bottom w:val="single" w:sz="12" w:space="0" w:color="000000"/>
              <w:right w:val="nil"/>
            </w:tcBorders>
            <w:shd w:val="solid" w:color="FFFFFF" w:fill="auto"/>
          </w:tcPr>
          <w:p w14:paraId="7D94C75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848" w:type="pct"/>
            <w:tcBorders>
              <w:top w:val="single" w:sz="12" w:space="0" w:color="000000"/>
              <w:left w:val="nil"/>
              <w:bottom w:val="single" w:sz="12" w:space="0" w:color="000000"/>
              <w:right w:val="single" w:sz="12" w:space="0" w:color="000000"/>
            </w:tcBorders>
            <w:shd w:val="solid" w:color="FFFFFF" w:fill="auto"/>
          </w:tcPr>
          <w:p w14:paraId="4FB090C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3ADF37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362BEC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E3EA7B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4B62C1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BC6692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5BD3EE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824260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D734FB6"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7F387E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4B0822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627CF91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F6CBDA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9B552E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C3AB65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37237E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FD8063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7022D4E9"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DE1E233" w14:textId="5B466BC6"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DAF6D81"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E08E9CB"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6FDFB5E"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8A13133"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AE9222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CD02DF3"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97F9FD1"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777EB649"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6E00490" w14:textId="5E9EF6BD"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B1BCF58"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54EE5B4B"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7313239"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56096B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582B470"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250EAE0"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54F8A70"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49FB058"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324194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AEAEEA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1D203B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0E539C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4E761C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B9E4C1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2D99E1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192B7B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21BE7F1" w14:textId="77777777" w:rsidTr="00927FBD">
        <w:trPr>
          <w:trHeight w:val="36"/>
        </w:trPr>
        <w:tc>
          <w:tcPr>
            <w:tcW w:w="1936"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4D3CDBE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32CD5F7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BD4790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133D3B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C4EDD7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892F5F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8F31FE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0524ED43" w14:textId="77777777" w:rsidTr="00927FBD">
        <w:trPr>
          <w:trHeight w:val="36"/>
        </w:trPr>
        <w:tc>
          <w:tcPr>
            <w:tcW w:w="1597"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6714D543" w14:textId="641D35B5" w:rsidR="001E0FC5" w:rsidRPr="001E0FC5" w:rsidRDefault="001E0FC5" w:rsidP="001E0FC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3</w:t>
            </w:r>
            <w:r>
              <w:rPr>
                <w:rFonts w:ascii="Garamond" w:hAnsi="Garamond" w:cs="Inherit"/>
                <w:color w:val="000000"/>
                <w:sz w:val="20"/>
                <w:szCs w:val="20"/>
              </w:rPr>
              <w:t xml:space="preserve">. </w:t>
            </w:r>
            <w:r w:rsidRPr="007E6D65">
              <w:rPr>
                <w:rFonts w:ascii="Garamond" w:hAnsi="Garamond" w:cs="Inherit"/>
                <w:b/>
                <w:bCs/>
                <w:color w:val="000000"/>
                <w:sz w:val="20"/>
                <w:szCs w:val="20"/>
              </w:rPr>
              <w:t xml:space="preserve">Huat </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5465BA9"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7372096"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8E9EB31"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0F0825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5C4ADF4"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552308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D1C6394"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03AEB800"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3CFB1F2" w14:textId="0CD5AF7E"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 xml:space="preserve">maturitet fillestar deri në 1 vit </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1EA90D2"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EC27E2A"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66EDBBE"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5F0C146"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0334538"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9F31DF4"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0ED104B8"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7D1CC869"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C3A8EA5" w14:textId="184469E8"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institucione monetare 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D7F38EA"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4B7554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84F70C4"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AA5DF3A"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8718D9C"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75275D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17F5641"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4E9D3790"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CBECFF9" w14:textId="7FF03B12"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qeveri e përgjithshme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F3D839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5EDDC59"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12B077E"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ACB3959"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163FD99"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3404B07F"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2F3D0C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5BEE2CE" w14:textId="77777777" w:rsidTr="00927FBD">
        <w:trPr>
          <w:trHeight w:val="36"/>
        </w:trPr>
        <w:tc>
          <w:tcPr>
            <w:tcW w:w="749" w:type="pct"/>
            <w:tcBorders>
              <w:top w:val="single" w:sz="12" w:space="0" w:color="000000"/>
              <w:left w:val="single" w:sz="12" w:space="0" w:color="000000"/>
              <w:bottom w:val="single" w:sz="12" w:space="0" w:color="000000"/>
              <w:right w:val="nil"/>
            </w:tcBorders>
            <w:shd w:val="solid" w:color="FFFFFF" w:fill="auto"/>
          </w:tcPr>
          <w:p w14:paraId="00695DE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fonde investimi</w:t>
            </w:r>
          </w:p>
        </w:tc>
        <w:tc>
          <w:tcPr>
            <w:tcW w:w="848" w:type="pct"/>
            <w:tcBorders>
              <w:top w:val="single" w:sz="12" w:space="0" w:color="000000"/>
              <w:left w:val="nil"/>
              <w:bottom w:val="single" w:sz="12" w:space="0" w:color="000000"/>
              <w:right w:val="single" w:sz="12" w:space="0" w:color="000000"/>
            </w:tcBorders>
            <w:shd w:val="solid" w:color="FFFFFF" w:fill="auto"/>
          </w:tcPr>
          <w:p w14:paraId="6544A23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510DBE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2D0D15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FFB8E5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091292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BE48CD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39FB0AF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EE1567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27162AD1"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4880EBA" w14:textId="5E52D7B4"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ndërmjetës të tjerë financiar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2A9D4F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85B773F"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7FA8739"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12296A8"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6FA9C1A"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743489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B44BD12"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6ABA3CC1" w14:textId="77777777" w:rsidTr="00927FBD">
        <w:trPr>
          <w:trHeight w:val="36"/>
        </w:trPr>
        <w:tc>
          <w:tcPr>
            <w:tcW w:w="749" w:type="pct"/>
            <w:tcBorders>
              <w:top w:val="single" w:sz="12" w:space="0" w:color="000000"/>
              <w:left w:val="single" w:sz="12" w:space="0" w:color="000000"/>
              <w:bottom w:val="single" w:sz="12" w:space="0" w:color="000000"/>
              <w:right w:val="nil"/>
            </w:tcBorders>
            <w:shd w:val="solid" w:color="FFFFFF" w:fill="auto"/>
          </w:tcPr>
          <w:p w14:paraId="18754E2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korporata sigurimi</w:t>
            </w:r>
          </w:p>
        </w:tc>
        <w:tc>
          <w:tcPr>
            <w:tcW w:w="848" w:type="pct"/>
            <w:tcBorders>
              <w:top w:val="single" w:sz="12" w:space="0" w:color="000000"/>
              <w:left w:val="nil"/>
              <w:bottom w:val="single" w:sz="12" w:space="0" w:color="000000"/>
              <w:right w:val="single" w:sz="12" w:space="0" w:color="000000"/>
            </w:tcBorders>
            <w:shd w:val="solid" w:color="FFFFFF" w:fill="auto"/>
          </w:tcPr>
          <w:p w14:paraId="6743C07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D3AE1E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6F94AD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4B9C1F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55438F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B193F3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29A9CF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0835E0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477FF903" w14:textId="77777777" w:rsidTr="00927FBD">
        <w:trPr>
          <w:trHeight w:val="36"/>
        </w:trPr>
        <w:tc>
          <w:tcPr>
            <w:tcW w:w="749" w:type="pct"/>
            <w:tcBorders>
              <w:top w:val="single" w:sz="12" w:space="0" w:color="000000"/>
              <w:left w:val="single" w:sz="12" w:space="0" w:color="000000"/>
              <w:bottom w:val="single" w:sz="12" w:space="0" w:color="000000"/>
              <w:right w:val="nil"/>
            </w:tcBorders>
            <w:shd w:val="solid" w:color="FFFFFF" w:fill="auto"/>
          </w:tcPr>
          <w:p w14:paraId="05B9A3A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fonde pensioni</w:t>
            </w:r>
          </w:p>
        </w:tc>
        <w:tc>
          <w:tcPr>
            <w:tcW w:w="848" w:type="pct"/>
            <w:tcBorders>
              <w:top w:val="single" w:sz="12" w:space="0" w:color="000000"/>
              <w:left w:val="nil"/>
              <w:bottom w:val="single" w:sz="12" w:space="0" w:color="000000"/>
              <w:right w:val="single" w:sz="12" w:space="0" w:color="000000"/>
            </w:tcBorders>
            <w:shd w:val="solid" w:color="FFFFFF" w:fill="auto"/>
          </w:tcPr>
          <w:p w14:paraId="3DC770C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73EE7A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3349A53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B542DF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774F1D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C6DAD8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6A6DC4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5A5D472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4E5BB731"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FECBE7E" w14:textId="52CF18F3"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korporata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854BC38"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5C57F04"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4A6B204"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A081D24"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452D82E"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93C17FB"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170C5A9"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7B5D9AA6" w14:textId="77777777" w:rsidTr="00927FBD">
        <w:trPr>
          <w:trHeight w:val="305"/>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F8FA1A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individë dhe institucionet jo me qëllim fitimi që u shërbejnë individëve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438544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0055FB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935AD0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B3A916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0E9AD7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FB0377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64BF75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6248D72F"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5696A5A" w14:textId="1C7AB726"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 xml:space="preserve">maturitet fillestar 1-5 vjet </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821EE56"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8C14BF4"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A8BD35E"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1387D36"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F286611"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BE09821"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023910DE"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742C3620"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1E28906" w14:textId="603F09F1"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institucione monetare 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AAF9548"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CFEA66D"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0437113"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655B8B2"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19B79DA"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49E7D5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5F3AF740"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1423CC19"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A149348" w14:textId="3A0D0814"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lastRenderedPageBreak/>
              <w:t>për qeveri e përgjithshme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2630B38"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6CB249EB"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ECAAFC4"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0C59B3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7DF67FE"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0A52FCD"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C278B9C"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F0D0A66" w14:textId="77777777" w:rsidTr="00927FBD">
        <w:trPr>
          <w:trHeight w:val="36"/>
        </w:trPr>
        <w:tc>
          <w:tcPr>
            <w:tcW w:w="749" w:type="pct"/>
            <w:tcBorders>
              <w:top w:val="single" w:sz="12" w:space="0" w:color="000000"/>
              <w:left w:val="single" w:sz="12" w:space="0" w:color="000000"/>
              <w:bottom w:val="single" w:sz="12" w:space="0" w:color="000000"/>
              <w:right w:val="nil"/>
            </w:tcBorders>
            <w:shd w:val="solid" w:color="FFFFFF" w:fill="auto"/>
          </w:tcPr>
          <w:p w14:paraId="3C59884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fonde investimi</w:t>
            </w:r>
          </w:p>
        </w:tc>
        <w:tc>
          <w:tcPr>
            <w:tcW w:w="848" w:type="pct"/>
            <w:tcBorders>
              <w:top w:val="single" w:sz="12" w:space="0" w:color="000000"/>
              <w:left w:val="nil"/>
              <w:bottom w:val="single" w:sz="12" w:space="0" w:color="000000"/>
              <w:right w:val="single" w:sz="12" w:space="0" w:color="000000"/>
            </w:tcBorders>
            <w:shd w:val="solid" w:color="FFFFFF" w:fill="auto"/>
          </w:tcPr>
          <w:p w14:paraId="51CD607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EFB4F5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A1F6B5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2668F7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399FF3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5E2173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DA242A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54E48D4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5AA4AE26"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E05FDD4" w14:textId="053E99EF"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ndërmjetës të tjerë financiar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6E79F75"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EDD257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4F4326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73DAAC0"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3CC56BA"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127E247"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220AD4A"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6BCC5D60" w14:textId="77777777" w:rsidTr="00927FBD">
        <w:trPr>
          <w:trHeight w:val="36"/>
        </w:trPr>
        <w:tc>
          <w:tcPr>
            <w:tcW w:w="749" w:type="pct"/>
            <w:tcBorders>
              <w:top w:val="single" w:sz="12" w:space="0" w:color="000000"/>
              <w:left w:val="single" w:sz="12" w:space="0" w:color="000000"/>
              <w:bottom w:val="single" w:sz="12" w:space="0" w:color="000000"/>
              <w:right w:val="nil"/>
            </w:tcBorders>
            <w:shd w:val="solid" w:color="FFFFFF" w:fill="auto"/>
          </w:tcPr>
          <w:p w14:paraId="7AB9BF7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korporata sigurimi</w:t>
            </w:r>
          </w:p>
        </w:tc>
        <w:tc>
          <w:tcPr>
            <w:tcW w:w="848" w:type="pct"/>
            <w:tcBorders>
              <w:top w:val="single" w:sz="12" w:space="0" w:color="000000"/>
              <w:left w:val="nil"/>
              <w:bottom w:val="single" w:sz="12" w:space="0" w:color="000000"/>
              <w:right w:val="single" w:sz="12" w:space="0" w:color="000000"/>
            </w:tcBorders>
            <w:shd w:val="solid" w:color="FFFFFF" w:fill="auto"/>
          </w:tcPr>
          <w:p w14:paraId="42F34C5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AC569A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5273B5D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C12CD9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86622A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14D144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50EA71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5E2C7D3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7A453923" w14:textId="77777777" w:rsidTr="00927FBD">
        <w:trPr>
          <w:trHeight w:val="36"/>
        </w:trPr>
        <w:tc>
          <w:tcPr>
            <w:tcW w:w="749" w:type="pct"/>
            <w:tcBorders>
              <w:top w:val="single" w:sz="12" w:space="0" w:color="000000"/>
              <w:left w:val="single" w:sz="12" w:space="0" w:color="000000"/>
              <w:bottom w:val="single" w:sz="12" w:space="0" w:color="000000"/>
              <w:right w:val="nil"/>
            </w:tcBorders>
            <w:shd w:val="solid" w:color="FFFFFF" w:fill="auto"/>
          </w:tcPr>
          <w:p w14:paraId="1A27272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fonde pensioni</w:t>
            </w:r>
          </w:p>
        </w:tc>
        <w:tc>
          <w:tcPr>
            <w:tcW w:w="848" w:type="pct"/>
            <w:tcBorders>
              <w:top w:val="single" w:sz="12" w:space="0" w:color="000000"/>
              <w:left w:val="nil"/>
              <w:bottom w:val="single" w:sz="12" w:space="0" w:color="000000"/>
              <w:right w:val="single" w:sz="12" w:space="0" w:color="000000"/>
            </w:tcBorders>
            <w:shd w:val="solid" w:color="FFFFFF" w:fill="auto"/>
          </w:tcPr>
          <w:p w14:paraId="6B15158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2E87FA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C76748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76020D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DDA0B1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0E74EF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4CE022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E35352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313FF5DF"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750FD41" w14:textId="2C500F32"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korporata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910882C"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5A44C67E"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B7FA6B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B2AA2C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DB28067"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3F4FBC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86B238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8D1210C" w14:textId="77777777" w:rsidTr="00927FBD">
        <w:trPr>
          <w:trHeight w:val="305"/>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DC84C7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individë dhe institucionet jo me qëllim fitimi që u shërbejnë individëve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829827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3B7FBD9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E983A7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106E7E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0FC580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BC8B6D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E1C255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7E06936" w14:textId="77777777" w:rsidTr="00927FBD">
        <w:trPr>
          <w:trHeight w:val="213"/>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9ED83CD"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maturitet fillestar mbi 5 vjet — vlerë tregu</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7E64364"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7B406BB"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072FEA3"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69F90B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27FFD6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329E78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9A346C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2B9A02A3"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AD0E1E4" w14:textId="4A86602F"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institucione monetare 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A76CA0E"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3A32804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E712F0A"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7267265"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8FF456A"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3416BA3E"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6F3A1FB"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6B16DF7E"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8FA3C43" w14:textId="6B964CD4"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qeveri e përgjithshme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2E6C74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A76FE8D"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2103D5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40D1AF3"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5CFC3E8"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E9B56C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085CCC50"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B3020CB" w14:textId="77777777" w:rsidTr="00927FBD">
        <w:trPr>
          <w:trHeight w:val="36"/>
        </w:trPr>
        <w:tc>
          <w:tcPr>
            <w:tcW w:w="749" w:type="pct"/>
            <w:tcBorders>
              <w:top w:val="single" w:sz="12" w:space="0" w:color="000000"/>
              <w:left w:val="single" w:sz="12" w:space="0" w:color="000000"/>
              <w:bottom w:val="single" w:sz="12" w:space="0" w:color="000000"/>
              <w:right w:val="nil"/>
            </w:tcBorders>
            <w:shd w:val="solid" w:color="FFFFFF" w:fill="auto"/>
          </w:tcPr>
          <w:p w14:paraId="6788DB1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fonde investimi</w:t>
            </w:r>
          </w:p>
        </w:tc>
        <w:tc>
          <w:tcPr>
            <w:tcW w:w="848" w:type="pct"/>
            <w:tcBorders>
              <w:top w:val="single" w:sz="12" w:space="0" w:color="000000"/>
              <w:left w:val="nil"/>
              <w:bottom w:val="single" w:sz="12" w:space="0" w:color="000000"/>
              <w:right w:val="single" w:sz="12" w:space="0" w:color="000000"/>
            </w:tcBorders>
            <w:shd w:val="solid" w:color="FFFFFF" w:fill="auto"/>
          </w:tcPr>
          <w:p w14:paraId="0849ADA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D972D7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BB8139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FD5184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D11E02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1D1B32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64D3B23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868E54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0793A960"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62C410B" w14:textId="1E5EAB59"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ndërmjetës të tjerë financiar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AC824ED"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B3D817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19BDB18"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330D1C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2EBAF23"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6AA7E5E"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05BEE63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CAEE11E" w14:textId="77777777" w:rsidTr="00927FBD">
        <w:trPr>
          <w:trHeight w:val="36"/>
        </w:trPr>
        <w:tc>
          <w:tcPr>
            <w:tcW w:w="749" w:type="pct"/>
            <w:tcBorders>
              <w:top w:val="single" w:sz="12" w:space="0" w:color="000000"/>
              <w:left w:val="single" w:sz="12" w:space="0" w:color="000000"/>
              <w:bottom w:val="single" w:sz="12" w:space="0" w:color="000000"/>
              <w:right w:val="nil"/>
            </w:tcBorders>
            <w:shd w:val="solid" w:color="FFFFFF" w:fill="auto"/>
          </w:tcPr>
          <w:p w14:paraId="46D57AF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korporata sigurimi</w:t>
            </w:r>
          </w:p>
        </w:tc>
        <w:tc>
          <w:tcPr>
            <w:tcW w:w="848" w:type="pct"/>
            <w:tcBorders>
              <w:top w:val="single" w:sz="12" w:space="0" w:color="000000"/>
              <w:left w:val="nil"/>
              <w:bottom w:val="single" w:sz="12" w:space="0" w:color="000000"/>
              <w:right w:val="single" w:sz="12" w:space="0" w:color="000000"/>
            </w:tcBorders>
            <w:shd w:val="solid" w:color="FFFFFF" w:fill="auto"/>
          </w:tcPr>
          <w:p w14:paraId="06DB9E0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249C71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5367635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05B045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EC1F0C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13F734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A35B12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8DACB1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7601B89E" w14:textId="77777777" w:rsidTr="00927FBD">
        <w:trPr>
          <w:trHeight w:val="36"/>
        </w:trPr>
        <w:tc>
          <w:tcPr>
            <w:tcW w:w="749" w:type="pct"/>
            <w:tcBorders>
              <w:top w:val="single" w:sz="12" w:space="0" w:color="000000"/>
              <w:left w:val="single" w:sz="12" w:space="0" w:color="000000"/>
              <w:bottom w:val="single" w:sz="12" w:space="0" w:color="000000"/>
              <w:right w:val="nil"/>
            </w:tcBorders>
            <w:shd w:val="solid" w:color="FFFFFF" w:fill="auto"/>
          </w:tcPr>
          <w:p w14:paraId="4BFEFD9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fonde pensioni</w:t>
            </w:r>
          </w:p>
        </w:tc>
        <w:tc>
          <w:tcPr>
            <w:tcW w:w="848" w:type="pct"/>
            <w:tcBorders>
              <w:top w:val="single" w:sz="12" w:space="0" w:color="000000"/>
              <w:left w:val="nil"/>
              <w:bottom w:val="single" w:sz="12" w:space="0" w:color="000000"/>
              <w:right w:val="single" w:sz="12" w:space="0" w:color="000000"/>
            </w:tcBorders>
            <w:shd w:val="solid" w:color="FFFFFF" w:fill="auto"/>
          </w:tcPr>
          <w:p w14:paraId="10542EF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89AF67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3BEE6F0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525342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F4FB91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07D05F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75AC7A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0AADD8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63C622A3"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BEC06FD" w14:textId="754A41C5"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korporata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8D4E66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A9917F4"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E38A72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E70A5BB"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292E3BA"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8374CE3"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C8D4CB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ACBC7E5" w14:textId="77777777" w:rsidTr="00927FBD">
        <w:trPr>
          <w:trHeight w:val="305"/>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32BAC9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individë dhe institucionet jo me qëllim fitimi që u shërbejnë individëve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D8913D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ECB0A0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E4C902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A43DBD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855007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FFF0AA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64972F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8B74D03"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6C05A15"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 xml:space="preserve">deri në 1 vit mbetur deri në maturim </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C4CB2D1"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574D7F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E8CEE1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F98169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8A79E7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176D52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56DC33A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5F0E9CC8"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7F1C30B" w14:textId="320AD94E"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 xml:space="preserve">1-2 vjet mbetur deri në maturim </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0D46E36"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094F91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E23C6F0"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D939CCA"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2F29C50"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6063AC56"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AD7421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5B12C0A6"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5141916" w14:textId="22555923"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 xml:space="preserve">2-5 vjet mbetur deri në maturim </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F1323E8"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6C55369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C1D6C92"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FDAEBCA"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C947A8C"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672E48B7"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5A8780F"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37509A" w:rsidRPr="007E6D65" w14:paraId="2A91661C"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AFE2D90" w14:textId="40B5F9F3"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 xml:space="preserve">mbi 5 vjet mbetur deri në maturim </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426BBC2" w14:textId="77777777" w:rsidR="0037509A" w:rsidRPr="007E6D65" w:rsidRDefault="0037509A"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CFE0880"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898D645"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A60B848"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B8A8A3C"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CE5DEBD"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099EC251" w14:textId="77777777" w:rsidR="0037509A" w:rsidRPr="007E6D65" w:rsidRDefault="0037509A" w:rsidP="007E6D65">
            <w:pPr>
              <w:autoSpaceDE w:val="0"/>
              <w:autoSpaceDN w:val="0"/>
              <w:adjustRightInd w:val="0"/>
              <w:spacing w:after="0" w:line="240" w:lineRule="auto"/>
              <w:rPr>
                <w:rFonts w:ascii="Garamond" w:hAnsi="Garamond" w:cs="Inherit"/>
                <w:color w:val="000000"/>
                <w:sz w:val="20"/>
                <w:szCs w:val="20"/>
              </w:rPr>
            </w:pPr>
          </w:p>
        </w:tc>
      </w:tr>
      <w:tr w:rsidR="004A136E" w:rsidRPr="007E6D65" w14:paraId="57B2967C" w14:textId="77777777" w:rsidTr="00927FBD">
        <w:trPr>
          <w:trHeight w:val="36"/>
        </w:trPr>
        <w:tc>
          <w:tcPr>
            <w:tcW w:w="2393" w:type="pct"/>
            <w:gridSpan w:val="4"/>
            <w:tcBorders>
              <w:top w:val="single" w:sz="12" w:space="0" w:color="C0C0C0"/>
              <w:left w:val="single" w:sz="12" w:space="0" w:color="000000"/>
              <w:bottom w:val="single" w:sz="12" w:space="0" w:color="000000"/>
              <w:right w:val="single" w:sz="12" w:space="0" w:color="000000"/>
            </w:tcBorders>
            <w:shd w:val="solid" w:color="FFFFFF" w:fill="auto"/>
          </w:tcPr>
          <w:p w14:paraId="51D7AC4D" w14:textId="4EDFF289" w:rsidR="004A136E" w:rsidRPr="004A136E" w:rsidRDefault="004A136E" w:rsidP="004A136E">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3x.</w:t>
            </w:r>
            <w:r>
              <w:rPr>
                <w:rFonts w:ascii="Garamond" w:hAnsi="Garamond" w:cs="Inherit"/>
                <w:color w:val="000000"/>
                <w:sz w:val="20"/>
                <w:szCs w:val="20"/>
              </w:rPr>
              <w:t xml:space="preserve"> </w:t>
            </w:r>
            <w:r w:rsidRPr="007E6D65">
              <w:rPr>
                <w:rFonts w:ascii="Garamond" w:hAnsi="Garamond" w:cs="Inherit"/>
                <w:b/>
                <w:bCs/>
                <w:color w:val="000000"/>
                <w:sz w:val="20"/>
                <w:szCs w:val="20"/>
              </w:rPr>
              <w:t xml:space="preserve">Huat nga të cilat garancitë e depozitave në lidhje me risigurimin </w:t>
            </w: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9F9F17E"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4B261B6" w14:textId="77777777" w:rsidR="004A136E" w:rsidRPr="007E6D65" w:rsidRDefault="004A136E"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A5B7562" w14:textId="77777777" w:rsidR="004A136E" w:rsidRPr="007E6D65" w:rsidRDefault="004A136E"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1B30A85" w14:textId="77777777" w:rsidR="004A136E" w:rsidRPr="007E6D65" w:rsidRDefault="004A136E"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CA74299" w14:textId="77777777" w:rsidR="004A136E" w:rsidRPr="007E6D65" w:rsidRDefault="004A136E" w:rsidP="007E6D65">
            <w:pPr>
              <w:autoSpaceDE w:val="0"/>
              <w:autoSpaceDN w:val="0"/>
              <w:adjustRightInd w:val="0"/>
              <w:spacing w:after="0" w:line="240" w:lineRule="auto"/>
              <w:rPr>
                <w:rFonts w:ascii="Garamond" w:hAnsi="Garamond" w:cs="Inherit"/>
                <w:color w:val="000000"/>
                <w:sz w:val="20"/>
                <w:szCs w:val="20"/>
              </w:rPr>
            </w:pPr>
          </w:p>
        </w:tc>
      </w:tr>
      <w:tr w:rsidR="004A136E" w:rsidRPr="007E6D65" w14:paraId="50BFEB9D" w14:textId="77777777" w:rsidTr="00927FBD">
        <w:trPr>
          <w:trHeight w:val="36"/>
        </w:trPr>
        <w:tc>
          <w:tcPr>
            <w:tcW w:w="1597"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41F42352" w14:textId="72838E67" w:rsidR="004A136E" w:rsidRPr="004A136E" w:rsidRDefault="004A136E" w:rsidP="004A136E">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3</w:t>
            </w:r>
            <w:r>
              <w:rPr>
                <w:rFonts w:ascii="Garamond" w:hAnsi="Garamond" w:cs="Inherit"/>
                <w:color w:val="000000"/>
                <w:sz w:val="20"/>
                <w:szCs w:val="20"/>
              </w:rPr>
              <w:t xml:space="preserve">. </w:t>
            </w:r>
            <w:r w:rsidRPr="007E6D65">
              <w:rPr>
                <w:rFonts w:ascii="Garamond" w:hAnsi="Garamond" w:cs="Inherit"/>
                <w:b/>
                <w:bCs/>
                <w:color w:val="000000"/>
                <w:sz w:val="20"/>
                <w:szCs w:val="20"/>
              </w:rPr>
              <w:t>Huat</w:t>
            </w:r>
            <w:r>
              <w:rPr>
                <w:rFonts w:ascii="Garamond" w:hAnsi="Garamond" w:cs="Inherit"/>
                <w:b/>
                <w:bCs/>
                <w:color w:val="000000"/>
                <w:sz w:val="20"/>
                <w:szCs w:val="20"/>
              </w:rPr>
              <w:t xml:space="preserve"> </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DFBDE86"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52949D6F"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A68949A"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919934B" w14:textId="77777777" w:rsidR="004A136E" w:rsidRPr="007E6D65" w:rsidRDefault="004A136E"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5345254"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33472F31" w14:textId="77777777" w:rsidR="004A136E" w:rsidRPr="007E6D65" w:rsidRDefault="004A136E"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CEA3A00" w14:textId="77777777" w:rsidR="004A136E" w:rsidRPr="007E6D65" w:rsidRDefault="004A136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7CF21F68"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DBEC92A"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maturitet fillestar deri në 1 vit — vlerë nominale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B383603"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67CDE5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F6A93D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6B73A1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E3D202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3A08870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430532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6C928DEF"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FABD3E3"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maturitet fillestar 1-5 vjet — vlerë nominale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DEC9617"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6846B61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BC5547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C475D6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8D8485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C5AE87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6963C4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48352CD"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D5C017C"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maturitet fillestar mbi 5 vjet — vlerë nominale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DB1CF08"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9604FB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EDE988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C8DB78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3C76D8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4C1643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A2EE7E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4A136E" w:rsidRPr="007E6D65" w14:paraId="20BBE41A" w14:textId="77777777" w:rsidTr="00927FBD">
        <w:trPr>
          <w:trHeight w:val="36"/>
        </w:trPr>
        <w:tc>
          <w:tcPr>
            <w:tcW w:w="1597"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190E367C" w14:textId="61F0B12D" w:rsidR="004A136E" w:rsidRPr="004A136E" w:rsidRDefault="004A136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4</w:t>
            </w:r>
            <w:r>
              <w:rPr>
                <w:rFonts w:ascii="Garamond" w:hAnsi="Garamond" w:cs="Inherit"/>
                <w:color w:val="000000"/>
                <w:sz w:val="20"/>
                <w:szCs w:val="20"/>
              </w:rPr>
              <w:t xml:space="preserve">. </w:t>
            </w:r>
            <w:r w:rsidRPr="007E6D65">
              <w:rPr>
                <w:rFonts w:ascii="Garamond" w:hAnsi="Garamond" w:cs="Inherit"/>
                <w:b/>
                <w:bCs/>
                <w:color w:val="000000"/>
                <w:sz w:val="20"/>
                <w:szCs w:val="20"/>
              </w:rPr>
              <w:t>Kapital</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14CFE33"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1C0CB7D"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C4B2F89"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B6B6C4A"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32644B3"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E265D7F"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0DD9C25"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r>
      <w:tr w:rsidR="004A136E" w:rsidRPr="007E6D65" w14:paraId="2E12B2B1" w14:textId="77777777" w:rsidTr="00927FBD">
        <w:trPr>
          <w:trHeight w:val="36"/>
        </w:trPr>
        <w:tc>
          <w:tcPr>
            <w:tcW w:w="1597"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6F1CDA55" w14:textId="2FD20ABE" w:rsidR="004A136E" w:rsidRPr="004A136E" w:rsidRDefault="004A136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4a.</w:t>
            </w:r>
            <w:r>
              <w:rPr>
                <w:rFonts w:ascii="Garamond" w:hAnsi="Garamond" w:cs="Inherit"/>
                <w:color w:val="000000"/>
                <w:sz w:val="20"/>
                <w:szCs w:val="20"/>
              </w:rPr>
              <w:t xml:space="preserve"> </w:t>
            </w:r>
            <w:r w:rsidRPr="007E6D65">
              <w:rPr>
                <w:rFonts w:ascii="Garamond" w:hAnsi="Garamond" w:cs="Inherit"/>
                <w:b/>
                <w:bCs/>
                <w:color w:val="000000"/>
                <w:sz w:val="20"/>
                <w:szCs w:val="20"/>
              </w:rPr>
              <w:t>nga të cilat aksione të listuara</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0F0E7BD"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4F7170C"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63C1BF3"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B090509"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412CFE1" w14:textId="77777777" w:rsidR="004A136E" w:rsidRPr="007E6D65" w:rsidRDefault="004A136E"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0BDF1FD" w14:textId="77777777" w:rsidR="004A136E" w:rsidRPr="007E6D65" w:rsidRDefault="004A136E" w:rsidP="007E6D65">
            <w:pPr>
              <w:autoSpaceDE w:val="0"/>
              <w:autoSpaceDN w:val="0"/>
              <w:adjustRightInd w:val="0"/>
              <w:spacing w:after="0" w:line="240" w:lineRule="auto"/>
              <w:rPr>
                <w:rFonts w:ascii="Garamond" w:hAnsi="Garamond" w:cs="Inherit"/>
                <w:b/>
                <w:bCs/>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1F92524" w14:textId="77777777" w:rsidR="004A136E" w:rsidRPr="007E6D65" w:rsidRDefault="004A136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35C23CC"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E5DF74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5E3795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52B2DAB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27C9B35"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15B111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DABEBE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7861EF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F5FA57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401D9E" w:rsidRPr="007E6D65" w14:paraId="74C29137"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CEBB0CB" w14:textId="5DE4E883"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8EA306B"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B503617"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F37D330" w14:textId="77777777" w:rsidR="00401D9E" w:rsidRPr="007E6D65" w:rsidRDefault="00401D9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BADD98A"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77F5BC5"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BF09033"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6D8C320"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62831948"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749EF1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A65B51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AE149F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FDF3FF4"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2A5487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9D9A20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3D297AD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B5AB94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401D9E" w:rsidRPr="007E6D65" w14:paraId="25454BB1"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207F626" w14:textId="5F9335DD"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67AE872"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43432AE"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189322D" w14:textId="77777777" w:rsidR="00401D9E" w:rsidRPr="007E6D65" w:rsidRDefault="00401D9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756B0A7"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3C3DB5F"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BC3AA25"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C633718"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r>
      <w:tr w:rsidR="00401D9E" w:rsidRPr="007E6D65" w14:paraId="676A94A3"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F982E93" w14:textId="2772A018"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C3F7BD0"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A7DE688"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B01AE92" w14:textId="77777777" w:rsidR="00401D9E" w:rsidRPr="007E6D65" w:rsidRDefault="00401D9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A92F599"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2E4D144"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1F3CD9A6"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7C7674C5" w14:textId="77777777" w:rsidR="00401D9E" w:rsidRPr="007E6D65" w:rsidRDefault="00401D9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674D9C1"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ED520C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157844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579852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1F63DAD"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EA8F02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21143D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B64296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C954B4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630F23" w:rsidRPr="007E6D65" w14:paraId="77D588A1" w14:textId="77777777" w:rsidTr="00927FBD">
        <w:trPr>
          <w:trHeight w:val="36"/>
        </w:trPr>
        <w:tc>
          <w:tcPr>
            <w:tcW w:w="1597"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728AC523" w14:textId="3ED26754" w:rsidR="00630F23" w:rsidRPr="00630F23" w:rsidRDefault="00630F23"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lastRenderedPageBreak/>
              <w:t>4b.</w:t>
            </w:r>
            <w:r>
              <w:rPr>
                <w:rFonts w:ascii="Garamond" w:hAnsi="Garamond" w:cs="Inherit"/>
                <w:color w:val="000000"/>
                <w:sz w:val="20"/>
                <w:szCs w:val="20"/>
              </w:rPr>
              <w:t xml:space="preserve"> </w:t>
            </w:r>
            <w:r w:rsidRPr="007E6D65">
              <w:rPr>
                <w:rFonts w:ascii="Garamond" w:hAnsi="Garamond" w:cs="Inherit"/>
                <w:b/>
                <w:bCs/>
                <w:color w:val="000000"/>
                <w:sz w:val="20"/>
                <w:szCs w:val="20"/>
              </w:rPr>
              <w:t>nga të cilat aksione të palistuara</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0B9D4C9" w14:textId="77777777" w:rsidR="00630F23" w:rsidRPr="007E6D65" w:rsidRDefault="00630F23"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42513A4" w14:textId="77777777" w:rsidR="00630F23" w:rsidRPr="007E6D65" w:rsidRDefault="00630F23"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D6F2E48" w14:textId="77777777" w:rsidR="00630F23" w:rsidRPr="007E6D65" w:rsidRDefault="00630F23"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D4F405F" w14:textId="77777777" w:rsidR="00630F23" w:rsidRPr="007E6D65" w:rsidRDefault="00630F23" w:rsidP="007E6D65">
            <w:pPr>
              <w:autoSpaceDE w:val="0"/>
              <w:autoSpaceDN w:val="0"/>
              <w:adjustRightInd w:val="0"/>
              <w:spacing w:after="0" w:line="240" w:lineRule="auto"/>
              <w:rPr>
                <w:rFonts w:ascii="Garamond" w:hAnsi="Garamond" w:cs="Inherit"/>
                <w:b/>
                <w:bCs/>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4654989"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6CC3027B" w14:textId="77777777" w:rsidR="00630F23" w:rsidRPr="007E6D65" w:rsidRDefault="00630F23" w:rsidP="007E6D65">
            <w:pPr>
              <w:autoSpaceDE w:val="0"/>
              <w:autoSpaceDN w:val="0"/>
              <w:adjustRightInd w:val="0"/>
              <w:spacing w:after="0" w:line="240" w:lineRule="auto"/>
              <w:rPr>
                <w:rFonts w:ascii="Garamond" w:hAnsi="Garamond" w:cs="Inherit"/>
                <w:b/>
                <w:bCs/>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0431050"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3F7A540"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5E771D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B07079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7BA23E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B0174FF"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1F2271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1D1752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B87C83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3197DB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630F23" w:rsidRPr="007E6D65" w14:paraId="58170D11"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2FCEC84" w14:textId="5D69CB4E"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C0A382D"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F1A0758"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4986B25" w14:textId="77777777" w:rsidR="00630F23" w:rsidRPr="007E6D65" w:rsidRDefault="00630F23"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65362C7"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8013B58"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24E6AA7"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55E2751"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689C6162"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75D305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D13B04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75D67C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5625584"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877933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E56FB3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69F1730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ED7D1E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630F23" w:rsidRPr="007E6D65" w14:paraId="23EE8F74"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36605DC" w14:textId="46CFEC85"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BFB7E0B"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A1F63E1"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147A08E" w14:textId="77777777" w:rsidR="00630F23" w:rsidRPr="007E6D65" w:rsidRDefault="00630F23"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3E73E21"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94749F5"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6EED3144"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1C87E1CF"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r>
      <w:tr w:rsidR="00630F23" w:rsidRPr="007E6D65" w14:paraId="2D28B01C"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4A0F517" w14:textId="181A8A5D"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DE775BB"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39C62E0"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189D9FA" w14:textId="77777777" w:rsidR="00630F23" w:rsidRPr="007E6D65" w:rsidRDefault="00630F23"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07C4B46"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B609538"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349688C"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23CAF95" w14:textId="77777777" w:rsidR="00630F23" w:rsidRPr="007E6D65" w:rsidRDefault="00630F23"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95D6702"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CF8F8D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670163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551042D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BE05724"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87BECA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5327DC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D106DE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5A55D1C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062F4C7D" w14:textId="77777777" w:rsidTr="00927FBD">
        <w:trPr>
          <w:trHeight w:val="36"/>
        </w:trPr>
        <w:tc>
          <w:tcPr>
            <w:tcW w:w="1597"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26BB29B8" w14:textId="685C50C4" w:rsidR="001E0FC5" w:rsidRPr="001E0FC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4c.</w:t>
            </w:r>
            <w:r>
              <w:rPr>
                <w:rFonts w:ascii="Garamond" w:hAnsi="Garamond" w:cs="Inherit"/>
                <w:color w:val="000000"/>
                <w:sz w:val="20"/>
                <w:szCs w:val="20"/>
              </w:rPr>
              <w:t xml:space="preserve"> </w:t>
            </w:r>
            <w:r w:rsidRPr="007E6D65">
              <w:rPr>
                <w:rFonts w:ascii="Garamond" w:hAnsi="Garamond" w:cs="Inherit"/>
                <w:b/>
                <w:bCs/>
                <w:color w:val="000000"/>
                <w:sz w:val="20"/>
                <w:szCs w:val="20"/>
              </w:rPr>
              <w:t xml:space="preserve">nga të cilat kapitale të tjera </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53C319C"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21482F9A"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956D938"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3D834FA"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875296B"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21C2DC78"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B909EF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6F11920E"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F961A5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C7C9D8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3B2E59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11E53CE"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381D52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6DC53A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D80FC2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856A55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07612722"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8080941" w14:textId="2154DC1C"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757DE2C"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0F33CD8"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E71CB84"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E993E6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7FBC448"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30A5CBA2"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6381D8A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440732A3"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526FA2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3566F0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5ED108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29F76AA"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A98220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95DA72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8E269E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0105512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0B405756"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9DECA44" w14:textId="4BE4BE9B"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30247FA"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4990214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9598A5E"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B1E0F5E"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B404D1D"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3CDAFB58"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7E94672"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146BC2B3"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0FB148D" w14:textId="1E7EBE38"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B5015DA"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A63219E"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80D6C0A"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5F6739A"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6ABDCF1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EBE474D"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4C21350"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B9B54F9" w14:textId="77777777" w:rsidTr="00927FBD">
        <w:trPr>
          <w:trHeight w:val="36"/>
        </w:trPr>
        <w:tc>
          <w:tcPr>
            <w:tcW w:w="1597"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519105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D93AB4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51D761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64820E8"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82321E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36D74DB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7CCC456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3908DC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739C4AB3" w14:textId="77777777" w:rsidTr="00927FBD">
        <w:trPr>
          <w:trHeight w:val="36"/>
        </w:trPr>
        <w:tc>
          <w:tcPr>
            <w:tcW w:w="1597"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708FB8EE" w14:textId="0CDBF286" w:rsidR="001E0FC5" w:rsidRPr="001E0FC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5</w:t>
            </w:r>
            <w:r>
              <w:rPr>
                <w:rFonts w:ascii="Garamond" w:hAnsi="Garamond" w:cs="Inherit"/>
                <w:color w:val="000000"/>
                <w:sz w:val="20"/>
                <w:szCs w:val="20"/>
              </w:rPr>
              <w:t xml:space="preserve">. </w:t>
            </w:r>
            <w:r w:rsidRPr="007E6D65">
              <w:rPr>
                <w:rFonts w:ascii="Garamond" w:hAnsi="Garamond" w:cs="Inherit"/>
                <w:b/>
                <w:bCs/>
                <w:color w:val="000000"/>
                <w:sz w:val="20"/>
                <w:szCs w:val="20"/>
              </w:rPr>
              <w:t>Aksione/kuota të fondeve të investimit</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4B67F24"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78386B81"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781357E"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2EDDF8B"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AA596E3"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D9A4F91"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03EB43FF"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7161384B" w14:textId="77777777" w:rsidTr="00927FBD">
        <w:trPr>
          <w:trHeight w:val="36"/>
        </w:trPr>
        <w:tc>
          <w:tcPr>
            <w:tcW w:w="1936" w:type="pct"/>
            <w:gridSpan w:val="3"/>
            <w:tcBorders>
              <w:top w:val="single" w:sz="12" w:space="0" w:color="C0C0C0"/>
              <w:left w:val="single" w:sz="12" w:space="0" w:color="000000"/>
              <w:bottom w:val="single" w:sz="12" w:space="0" w:color="000000"/>
              <w:right w:val="single" w:sz="12" w:space="0" w:color="000000"/>
            </w:tcBorders>
            <w:shd w:val="solid" w:color="FFFFFF" w:fill="auto"/>
          </w:tcPr>
          <w:p w14:paraId="406E07CC" w14:textId="753BE188" w:rsidR="001E0FC5" w:rsidRPr="001E0FC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5a.</w:t>
            </w:r>
            <w:r>
              <w:rPr>
                <w:rFonts w:ascii="Garamond" w:hAnsi="Garamond" w:cs="Inherit"/>
                <w:color w:val="000000"/>
                <w:sz w:val="20"/>
                <w:szCs w:val="20"/>
              </w:rPr>
              <w:t xml:space="preserve"> </w:t>
            </w:r>
            <w:r w:rsidRPr="007E6D65">
              <w:rPr>
                <w:rFonts w:ascii="Garamond" w:hAnsi="Garamond" w:cs="Inherit"/>
                <w:b/>
                <w:bCs/>
                <w:color w:val="000000"/>
                <w:sz w:val="20"/>
                <w:szCs w:val="20"/>
              </w:rPr>
              <w:t>Aksione/kuota te fondet e tregut të parasë</w:t>
            </w: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582E02DC"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830A562"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D459D4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2AFB69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9FC73D4"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44F4760A"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06FAB8EA" w14:textId="77777777" w:rsidTr="00927FBD">
        <w:trPr>
          <w:trHeight w:val="36"/>
        </w:trPr>
        <w:tc>
          <w:tcPr>
            <w:tcW w:w="1936" w:type="pct"/>
            <w:gridSpan w:val="3"/>
            <w:tcBorders>
              <w:top w:val="single" w:sz="12" w:space="0" w:color="C0C0C0"/>
              <w:left w:val="single" w:sz="12" w:space="0" w:color="000000"/>
              <w:bottom w:val="single" w:sz="12" w:space="0" w:color="000000"/>
              <w:right w:val="single" w:sz="12" w:space="0" w:color="000000"/>
            </w:tcBorders>
            <w:shd w:val="solid" w:color="FFFFFF" w:fill="auto"/>
          </w:tcPr>
          <w:p w14:paraId="1E6AFCC1" w14:textId="23602792" w:rsidR="001E0FC5" w:rsidRPr="001E0FC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5b.</w:t>
            </w:r>
            <w:r>
              <w:rPr>
                <w:rFonts w:ascii="Garamond" w:hAnsi="Garamond" w:cs="Inherit"/>
                <w:color w:val="000000"/>
                <w:sz w:val="20"/>
                <w:szCs w:val="20"/>
              </w:rPr>
              <w:t xml:space="preserve"> </w:t>
            </w:r>
            <w:r w:rsidRPr="007E6D65">
              <w:rPr>
                <w:rFonts w:ascii="Garamond" w:hAnsi="Garamond" w:cs="Inherit"/>
                <w:b/>
                <w:bCs/>
                <w:color w:val="000000"/>
                <w:sz w:val="20"/>
                <w:szCs w:val="20"/>
              </w:rPr>
              <w:t>Aksione/kuota te fondet e tregut jo të parasë</w:t>
            </w: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96F2B11"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8D3F270"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6085C33"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9C5DC21"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469AC264"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A205F74"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6E7B6E2A" w14:textId="77777777" w:rsidTr="00927FBD">
        <w:trPr>
          <w:trHeight w:val="36"/>
        </w:trPr>
        <w:tc>
          <w:tcPr>
            <w:tcW w:w="1597"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6FB14DCD" w14:textId="371DD8DD" w:rsidR="001E0FC5" w:rsidRPr="001E0FC5" w:rsidRDefault="001E0FC5" w:rsidP="001E0FC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6</w:t>
            </w:r>
            <w:r>
              <w:rPr>
                <w:rFonts w:ascii="Garamond" w:hAnsi="Garamond" w:cs="Inherit"/>
                <w:color w:val="000000"/>
                <w:sz w:val="20"/>
                <w:szCs w:val="20"/>
              </w:rPr>
              <w:t xml:space="preserve">. </w:t>
            </w:r>
            <w:r w:rsidRPr="007E6D65">
              <w:rPr>
                <w:rFonts w:ascii="Garamond" w:hAnsi="Garamond" w:cs="Inherit"/>
                <w:b/>
                <w:bCs/>
                <w:color w:val="000000"/>
                <w:sz w:val="20"/>
                <w:szCs w:val="20"/>
              </w:rPr>
              <w:t xml:space="preserve">Derivativë </w:t>
            </w:r>
            <w:r>
              <w:rPr>
                <w:rFonts w:ascii="Garamond" w:hAnsi="Garamond" w:cs="Inherit"/>
                <w:b/>
                <w:bCs/>
                <w:color w:val="000000"/>
                <w:sz w:val="20"/>
                <w:szCs w:val="20"/>
              </w:rPr>
              <w:t>f</w:t>
            </w:r>
            <w:r w:rsidRPr="007E6D65">
              <w:rPr>
                <w:rFonts w:ascii="Garamond" w:hAnsi="Garamond" w:cs="Inherit"/>
                <w:b/>
                <w:bCs/>
                <w:color w:val="000000"/>
                <w:sz w:val="20"/>
                <w:szCs w:val="20"/>
              </w:rPr>
              <w:t>inanciarë</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0002AE1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1DD11CE"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900CBD4"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E9849F9"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35AB18B"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095A0468"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5D67B444"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737BFE85" w14:textId="77777777" w:rsidTr="00927FBD">
        <w:trPr>
          <w:trHeight w:val="36"/>
        </w:trPr>
        <w:tc>
          <w:tcPr>
            <w:tcW w:w="1597"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3EAFE5A2" w14:textId="336DFEE5" w:rsidR="001E0FC5" w:rsidRPr="001E0FC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7</w:t>
            </w:r>
            <w:r>
              <w:rPr>
                <w:rFonts w:ascii="Garamond" w:hAnsi="Garamond" w:cs="Inherit"/>
                <w:color w:val="000000"/>
                <w:sz w:val="20"/>
                <w:szCs w:val="20"/>
              </w:rPr>
              <w:t xml:space="preserve">. </w:t>
            </w:r>
            <w:r w:rsidRPr="007E6D65">
              <w:rPr>
                <w:rFonts w:ascii="Garamond" w:hAnsi="Garamond" w:cs="Inherit"/>
                <w:b/>
                <w:bCs/>
                <w:color w:val="000000"/>
                <w:sz w:val="20"/>
                <w:szCs w:val="20"/>
              </w:rPr>
              <w:t>Rezervat teknike të sigurimit jojeta</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7D094B2B"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6895B039"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196616F" w14:textId="77777777" w:rsidR="001E0FC5" w:rsidRPr="007E6D65" w:rsidRDefault="001E0FC5"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124BA4A"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90B6FFD"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6D42536"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3A45C7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04ED969B" w14:textId="77777777" w:rsidTr="00927FBD">
        <w:trPr>
          <w:trHeight w:val="36"/>
        </w:trPr>
        <w:tc>
          <w:tcPr>
            <w:tcW w:w="1597"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0FE47FBE" w14:textId="0C1136BF" w:rsidR="001E0FC5" w:rsidRPr="001E0FC5" w:rsidRDefault="001E0FC5"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8</w:t>
            </w:r>
            <w:r>
              <w:rPr>
                <w:rFonts w:ascii="Garamond" w:hAnsi="Garamond" w:cs="Inherit"/>
                <w:color w:val="000000"/>
                <w:sz w:val="20"/>
                <w:szCs w:val="20"/>
              </w:rPr>
              <w:t xml:space="preserve">. </w:t>
            </w:r>
            <w:r w:rsidRPr="007E6D65">
              <w:rPr>
                <w:rFonts w:ascii="Garamond" w:hAnsi="Garamond" w:cs="Inherit"/>
                <w:b/>
                <w:bCs/>
                <w:color w:val="000000"/>
                <w:sz w:val="20"/>
                <w:szCs w:val="20"/>
              </w:rPr>
              <w:t>Mjete jofinanciare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4C0555A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03B36892"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4BF6369"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D5579BB"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32BB27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E69FCD5"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2315586A"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1E0FC5" w:rsidRPr="007E6D65" w14:paraId="689E770E" w14:textId="77777777" w:rsidTr="00927FBD">
        <w:trPr>
          <w:trHeight w:val="36"/>
        </w:trPr>
        <w:tc>
          <w:tcPr>
            <w:tcW w:w="1597"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7AD1A528" w14:textId="03B31190" w:rsidR="001E0FC5" w:rsidRPr="007E6D65" w:rsidRDefault="001E0FC5" w:rsidP="001E0FC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color w:val="000000"/>
                <w:sz w:val="20"/>
                <w:szCs w:val="20"/>
              </w:rPr>
              <w:t>9</w:t>
            </w:r>
            <w:r>
              <w:rPr>
                <w:rFonts w:ascii="Garamond" w:hAnsi="Garamond" w:cs="Inherit"/>
                <w:color w:val="000000"/>
                <w:sz w:val="20"/>
                <w:szCs w:val="20"/>
              </w:rPr>
              <w:t xml:space="preserve">. </w:t>
            </w:r>
            <w:r w:rsidRPr="007E6D65">
              <w:rPr>
                <w:rFonts w:ascii="Garamond" w:hAnsi="Garamond" w:cs="Inherit"/>
                <w:b/>
                <w:bCs/>
                <w:color w:val="000000"/>
                <w:sz w:val="20"/>
                <w:szCs w:val="20"/>
              </w:rPr>
              <w:t>Mjete të tjera</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57B9E8D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12265CF2"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4C86569"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6E76181"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25949570"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035C207"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961664D" w14:textId="77777777" w:rsidR="001E0FC5" w:rsidRPr="007E6D65" w:rsidRDefault="001E0FC5" w:rsidP="007E6D65">
            <w:pPr>
              <w:autoSpaceDE w:val="0"/>
              <w:autoSpaceDN w:val="0"/>
              <w:adjustRightInd w:val="0"/>
              <w:spacing w:after="0" w:line="240" w:lineRule="auto"/>
              <w:rPr>
                <w:rFonts w:ascii="Garamond" w:hAnsi="Garamond" w:cs="Inherit"/>
                <w:color w:val="000000"/>
                <w:sz w:val="20"/>
                <w:szCs w:val="20"/>
              </w:rPr>
            </w:pPr>
          </w:p>
        </w:tc>
      </w:tr>
      <w:tr w:rsidR="008F2F5A" w:rsidRPr="007E6D65" w14:paraId="2732BF95" w14:textId="77777777" w:rsidTr="00927FBD">
        <w:trPr>
          <w:trHeight w:val="36"/>
        </w:trPr>
        <w:tc>
          <w:tcPr>
            <w:tcW w:w="1597"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15B36D89" w14:textId="563652D9" w:rsidR="008F2F5A" w:rsidRPr="007E6D65" w:rsidRDefault="008F2F5A" w:rsidP="008F2F5A">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color w:val="000000"/>
                <w:sz w:val="20"/>
                <w:szCs w:val="20"/>
              </w:rPr>
              <w:t>10</w:t>
            </w:r>
            <w:r>
              <w:rPr>
                <w:rFonts w:ascii="Garamond" w:hAnsi="Garamond" w:cs="Inherit"/>
                <w:color w:val="000000"/>
                <w:sz w:val="20"/>
                <w:szCs w:val="20"/>
              </w:rPr>
              <w:t xml:space="preserve">. </w:t>
            </w:r>
            <w:r w:rsidRPr="007E6D65">
              <w:rPr>
                <w:rFonts w:ascii="Garamond" w:hAnsi="Garamond" w:cs="Inherit"/>
                <w:b/>
                <w:bCs/>
                <w:color w:val="000000"/>
                <w:sz w:val="20"/>
                <w:szCs w:val="20"/>
              </w:rPr>
              <w:t>Totali i aktiveve</w:t>
            </w: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F7DE2DC" w14:textId="77777777" w:rsidR="008F2F5A" w:rsidRPr="007E6D65" w:rsidRDefault="008F2F5A" w:rsidP="007E6D65">
            <w:pPr>
              <w:autoSpaceDE w:val="0"/>
              <w:autoSpaceDN w:val="0"/>
              <w:adjustRightInd w:val="0"/>
              <w:spacing w:after="0" w:line="240" w:lineRule="auto"/>
              <w:rPr>
                <w:rFonts w:ascii="Garamond" w:hAnsi="Garamond" w:cs="Inherit"/>
                <w:b/>
                <w:bCs/>
                <w:color w:val="000000"/>
                <w:sz w:val="20"/>
                <w:szCs w:val="20"/>
              </w:rPr>
            </w:pPr>
          </w:p>
        </w:tc>
        <w:tc>
          <w:tcPr>
            <w:tcW w:w="457" w:type="pct"/>
            <w:tcBorders>
              <w:top w:val="single" w:sz="12" w:space="0" w:color="C0C0C0"/>
              <w:left w:val="single" w:sz="12" w:space="0" w:color="000000"/>
              <w:bottom w:val="single" w:sz="12" w:space="0" w:color="000000"/>
              <w:right w:val="single" w:sz="12" w:space="0" w:color="000000"/>
            </w:tcBorders>
            <w:shd w:val="solid" w:color="FFFFFF" w:fill="auto"/>
          </w:tcPr>
          <w:p w14:paraId="3B74CD57" w14:textId="77777777" w:rsidR="008F2F5A" w:rsidRPr="007E6D65" w:rsidRDefault="008F2F5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AF65E06" w14:textId="77777777" w:rsidR="008F2F5A" w:rsidRPr="007E6D65" w:rsidRDefault="008F2F5A"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881B05F" w14:textId="77777777" w:rsidR="008F2F5A" w:rsidRPr="007E6D65" w:rsidRDefault="008F2F5A" w:rsidP="007E6D65">
            <w:pPr>
              <w:autoSpaceDE w:val="0"/>
              <w:autoSpaceDN w:val="0"/>
              <w:adjustRightInd w:val="0"/>
              <w:spacing w:after="0" w:line="240" w:lineRule="auto"/>
              <w:rPr>
                <w:rFonts w:ascii="Garamond" w:hAnsi="Garamond" w:cs="Inherit"/>
                <w:color w:val="000000"/>
                <w:sz w:val="20"/>
                <w:szCs w:val="20"/>
              </w:rPr>
            </w:pPr>
          </w:p>
        </w:tc>
        <w:tc>
          <w:tcPr>
            <w:tcW w:w="339" w:type="pct"/>
            <w:tcBorders>
              <w:top w:val="single" w:sz="12" w:space="0" w:color="C0C0C0"/>
              <w:left w:val="single" w:sz="12" w:space="0" w:color="000000"/>
              <w:bottom w:val="single" w:sz="12" w:space="0" w:color="000000"/>
              <w:right w:val="single" w:sz="12" w:space="0" w:color="000000"/>
            </w:tcBorders>
            <w:shd w:val="solid" w:color="FFFFFF" w:fill="auto"/>
          </w:tcPr>
          <w:p w14:paraId="1257FC17" w14:textId="77777777" w:rsidR="008F2F5A" w:rsidRPr="007E6D65" w:rsidRDefault="008F2F5A" w:rsidP="007E6D65">
            <w:pPr>
              <w:autoSpaceDE w:val="0"/>
              <w:autoSpaceDN w:val="0"/>
              <w:adjustRightInd w:val="0"/>
              <w:spacing w:after="0" w:line="240" w:lineRule="auto"/>
              <w:rPr>
                <w:rFonts w:ascii="Garamond" w:hAnsi="Garamond" w:cs="Inherit"/>
                <w:color w:val="000000"/>
                <w:sz w:val="20"/>
                <w:szCs w:val="20"/>
              </w:rPr>
            </w:pPr>
          </w:p>
        </w:tc>
        <w:tc>
          <w:tcPr>
            <w:tcW w:w="489" w:type="pct"/>
            <w:tcBorders>
              <w:top w:val="single" w:sz="12" w:space="0" w:color="C0C0C0"/>
              <w:left w:val="single" w:sz="12" w:space="0" w:color="000000"/>
              <w:bottom w:val="single" w:sz="12" w:space="0" w:color="000000"/>
              <w:right w:val="single" w:sz="12" w:space="0" w:color="000000"/>
            </w:tcBorders>
            <w:shd w:val="solid" w:color="FFFFFF" w:fill="auto"/>
          </w:tcPr>
          <w:p w14:paraId="546EAE15" w14:textId="77777777" w:rsidR="008F2F5A" w:rsidRPr="007E6D65" w:rsidRDefault="008F2F5A" w:rsidP="007E6D65">
            <w:pPr>
              <w:autoSpaceDE w:val="0"/>
              <w:autoSpaceDN w:val="0"/>
              <w:adjustRightInd w:val="0"/>
              <w:spacing w:after="0" w:line="240" w:lineRule="auto"/>
              <w:rPr>
                <w:rFonts w:ascii="Garamond" w:hAnsi="Garamond" w:cs="Inherit"/>
                <w:color w:val="000000"/>
                <w:sz w:val="20"/>
                <w:szCs w:val="20"/>
              </w:rPr>
            </w:pPr>
          </w:p>
        </w:tc>
        <w:tc>
          <w:tcPr>
            <w:tcW w:w="739" w:type="pct"/>
            <w:tcBorders>
              <w:top w:val="single" w:sz="12" w:space="0" w:color="C0C0C0"/>
              <w:left w:val="single" w:sz="12" w:space="0" w:color="000000"/>
              <w:bottom w:val="single" w:sz="12" w:space="0" w:color="000000"/>
              <w:right w:val="single" w:sz="12" w:space="0" w:color="000000"/>
            </w:tcBorders>
            <w:shd w:val="solid" w:color="FFFFFF" w:fill="auto"/>
          </w:tcPr>
          <w:p w14:paraId="35195085" w14:textId="77777777" w:rsidR="008F2F5A" w:rsidRPr="007E6D65" w:rsidRDefault="008F2F5A" w:rsidP="007E6D65">
            <w:pPr>
              <w:autoSpaceDE w:val="0"/>
              <w:autoSpaceDN w:val="0"/>
              <w:adjustRightInd w:val="0"/>
              <w:spacing w:after="0" w:line="240" w:lineRule="auto"/>
              <w:rPr>
                <w:rFonts w:ascii="Garamond" w:hAnsi="Garamond" w:cs="Inherit"/>
                <w:color w:val="000000"/>
                <w:sz w:val="20"/>
                <w:szCs w:val="20"/>
              </w:rPr>
            </w:pPr>
          </w:p>
        </w:tc>
      </w:tr>
    </w:tbl>
    <w:p w14:paraId="60EC729F" w14:textId="77777777" w:rsidR="00EE658D" w:rsidRPr="007E6D65" w:rsidRDefault="00EE658D" w:rsidP="007E6D65">
      <w:pPr>
        <w:spacing w:after="0" w:line="240" w:lineRule="auto"/>
        <w:rPr>
          <w:rFonts w:ascii="Garamond" w:hAnsi="Garamond" w:cs="Times New Roman"/>
          <w:b/>
          <w:sz w:val="20"/>
          <w:szCs w:val="20"/>
        </w:rPr>
      </w:pPr>
    </w:p>
    <w:p w14:paraId="4E55B8B9" w14:textId="77777777" w:rsidR="00EE658D" w:rsidRPr="007E6D65" w:rsidRDefault="00EE658D" w:rsidP="007E6D65">
      <w:pPr>
        <w:spacing w:after="0" w:line="240" w:lineRule="auto"/>
        <w:jc w:val="center"/>
        <w:rPr>
          <w:rFonts w:ascii="Garamond" w:hAnsi="Garamond" w:cs="Times New Roman"/>
          <w:b/>
          <w:sz w:val="20"/>
          <w:szCs w:val="20"/>
        </w:rPr>
      </w:pPr>
      <w:r w:rsidRPr="007E6D65">
        <w:rPr>
          <w:rFonts w:ascii="Garamond" w:hAnsi="Garamond" w:cs="Times New Roman"/>
          <w:b/>
          <w:sz w:val="20"/>
          <w:szCs w:val="20"/>
        </w:rPr>
        <w:t>Sasitë gjendje tremujore</w:t>
      </w:r>
    </w:p>
    <w:p w14:paraId="499C71A4" w14:textId="77777777" w:rsidR="00EE658D" w:rsidRPr="007E6D65" w:rsidRDefault="00EE658D" w:rsidP="007E6D65">
      <w:pPr>
        <w:spacing w:after="0" w:line="240" w:lineRule="auto"/>
        <w:jc w:val="center"/>
        <w:rPr>
          <w:rFonts w:ascii="Garamond" w:hAnsi="Garamond" w:cs="Times New Roman"/>
          <w:i/>
          <w:iCs/>
          <w:sz w:val="20"/>
          <w:szCs w:val="20"/>
        </w:rPr>
      </w:pPr>
      <w:r w:rsidRPr="007E6D65">
        <w:rPr>
          <w:rFonts w:ascii="Garamond" w:hAnsi="Garamond" w:cs="Times New Roman"/>
          <w:i/>
          <w:iCs/>
          <w:sz w:val="20"/>
          <w:szCs w:val="20"/>
        </w:rPr>
        <w:t xml:space="preserve">Tabela 1b </w:t>
      </w:r>
    </w:p>
    <w:tbl>
      <w:tblPr>
        <w:tblW w:w="5000" w:type="pct"/>
        <w:tblLook w:val="04A0" w:firstRow="1" w:lastRow="0" w:firstColumn="1" w:lastColumn="0" w:noHBand="0" w:noVBand="1"/>
      </w:tblPr>
      <w:tblGrid>
        <w:gridCol w:w="5168"/>
        <w:gridCol w:w="970"/>
        <w:gridCol w:w="989"/>
        <w:gridCol w:w="1261"/>
        <w:gridCol w:w="1531"/>
        <w:gridCol w:w="989"/>
        <w:gridCol w:w="1440"/>
        <w:gridCol w:w="1826"/>
      </w:tblGrid>
      <w:tr w:rsidR="00EE658D" w:rsidRPr="007E6D65" w14:paraId="1316DEE2" w14:textId="77777777" w:rsidTr="008F2F5A">
        <w:trPr>
          <w:trHeight w:val="46"/>
        </w:trPr>
        <w:tc>
          <w:tcPr>
            <w:tcW w:w="1823" w:type="pct"/>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11C071A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2" w:type="pct"/>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1ED4DBAD"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Total</w:t>
            </w:r>
          </w:p>
        </w:tc>
        <w:tc>
          <w:tcPr>
            <w:tcW w:w="1334" w:type="pct"/>
            <w:gridSpan w:val="3"/>
            <w:tcBorders>
              <w:top w:val="single" w:sz="8" w:space="0" w:color="000000"/>
              <w:left w:val="nil"/>
              <w:bottom w:val="single" w:sz="8" w:space="0" w:color="000000"/>
              <w:right w:val="single" w:sz="8" w:space="0" w:color="000000"/>
            </w:tcBorders>
            <w:shd w:val="clear" w:color="000000" w:fill="FFFFFF"/>
            <w:vAlign w:val="center"/>
            <w:hideMark/>
          </w:tcPr>
          <w:p w14:paraId="66FC44AD"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Eurozona</w:t>
            </w:r>
          </w:p>
        </w:tc>
        <w:tc>
          <w:tcPr>
            <w:tcW w:w="1501" w:type="pct"/>
            <w:gridSpan w:val="3"/>
            <w:tcBorders>
              <w:top w:val="single" w:sz="8" w:space="0" w:color="000000"/>
              <w:left w:val="nil"/>
              <w:bottom w:val="single" w:sz="8" w:space="0" w:color="000000"/>
              <w:right w:val="single" w:sz="8" w:space="0" w:color="000000"/>
            </w:tcBorders>
            <w:shd w:val="clear" w:color="000000" w:fill="FFFFFF"/>
            <w:vAlign w:val="center"/>
            <w:hideMark/>
          </w:tcPr>
          <w:p w14:paraId="76E38FF7"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Pjesa tjetër e botës</w:t>
            </w:r>
          </w:p>
        </w:tc>
      </w:tr>
      <w:tr w:rsidR="008F2F5A" w:rsidRPr="007E6D65" w14:paraId="59BFB6AC" w14:textId="77777777" w:rsidTr="008F2F5A">
        <w:trPr>
          <w:trHeight w:val="765"/>
        </w:trPr>
        <w:tc>
          <w:tcPr>
            <w:tcW w:w="1823" w:type="pct"/>
            <w:vMerge/>
            <w:tcBorders>
              <w:top w:val="single" w:sz="8" w:space="0" w:color="000000"/>
              <w:left w:val="single" w:sz="8" w:space="0" w:color="000000"/>
              <w:bottom w:val="single" w:sz="8" w:space="0" w:color="000000"/>
              <w:right w:val="single" w:sz="8" w:space="0" w:color="000000"/>
            </w:tcBorders>
            <w:vAlign w:val="center"/>
            <w:hideMark/>
          </w:tcPr>
          <w:p w14:paraId="6F714A28"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p>
        </w:tc>
        <w:tc>
          <w:tcPr>
            <w:tcW w:w="342" w:type="pct"/>
            <w:vMerge/>
            <w:tcBorders>
              <w:top w:val="single" w:sz="8" w:space="0" w:color="000000"/>
              <w:left w:val="single" w:sz="8" w:space="0" w:color="000000"/>
              <w:bottom w:val="single" w:sz="8" w:space="0" w:color="000000"/>
              <w:right w:val="single" w:sz="8" w:space="0" w:color="000000"/>
            </w:tcBorders>
            <w:vAlign w:val="center"/>
            <w:hideMark/>
          </w:tcPr>
          <w:p w14:paraId="6836DA5D"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p>
        </w:tc>
        <w:tc>
          <w:tcPr>
            <w:tcW w:w="349" w:type="pct"/>
            <w:vMerge w:val="restart"/>
            <w:tcBorders>
              <w:top w:val="nil"/>
              <w:left w:val="single" w:sz="8" w:space="0" w:color="000000"/>
              <w:bottom w:val="single" w:sz="8" w:space="0" w:color="000000"/>
              <w:right w:val="single" w:sz="8" w:space="0" w:color="000000"/>
            </w:tcBorders>
            <w:shd w:val="clear" w:color="000000" w:fill="FFFFFF"/>
            <w:vAlign w:val="center"/>
            <w:hideMark/>
          </w:tcPr>
          <w:p w14:paraId="1B64091D"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Rezident</w:t>
            </w:r>
          </w:p>
        </w:tc>
        <w:tc>
          <w:tcPr>
            <w:tcW w:w="445" w:type="pct"/>
            <w:vMerge w:val="restart"/>
            <w:tcBorders>
              <w:top w:val="nil"/>
              <w:left w:val="single" w:sz="8" w:space="0" w:color="000000"/>
              <w:bottom w:val="single" w:sz="8" w:space="0" w:color="000000"/>
              <w:right w:val="single" w:sz="8" w:space="0" w:color="000000"/>
            </w:tcBorders>
            <w:shd w:val="clear" w:color="000000" w:fill="FFFFFF"/>
            <w:vAlign w:val="center"/>
            <w:hideMark/>
          </w:tcPr>
          <w:p w14:paraId="67BE6384"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xml:space="preserve">Shtete anëtare të Eurozonës </w:t>
            </w:r>
          </w:p>
        </w:tc>
        <w:tc>
          <w:tcPr>
            <w:tcW w:w="540" w:type="pct"/>
            <w:tcBorders>
              <w:top w:val="single" w:sz="8" w:space="0" w:color="DDDDDD"/>
              <w:left w:val="nil"/>
              <w:bottom w:val="nil"/>
              <w:right w:val="single" w:sz="8" w:space="0" w:color="000000"/>
            </w:tcBorders>
            <w:shd w:val="clear" w:color="000000" w:fill="FFFFFF"/>
            <w:vAlign w:val="center"/>
            <w:hideMark/>
          </w:tcPr>
          <w:p w14:paraId="0DFCB1D2"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xml:space="preserve">Shtete anëtare të Eurozonës </w:t>
            </w:r>
          </w:p>
        </w:tc>
        <w:tc>
          <w:tcPr>
            <w:tcW w:w="349" w:type="pct"/>
            <w:vMerge w:val="restart"/>
            <w:tcBorders>
              <w:top w:val="nil"/>
              <w:left w:val="single" w:sz="8" w:space="0" w:color="000000"/>
              <w:bottom w:val="single" w:sz="8" w:space="0" w:color="000000"/>
              <w:right w:val="single" w:sz="8" w:space="0" w:color="000000"/>
            </w:tcBorders>
            <w:shd w:val="clear" w:color="000000" w:fill="FFFFFF"/>
            <w:vAlign w:val="center"/>
            <w:hideMark/>
          </w:tcPr>
          <w:p w14:paraId="323E8A39"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Total</w:t>
            </w:r>
          </w:p>
        </w:tc>
        <w:tc>
          <w:tcPr>
            <w:tcW w:w="508" w:type="pct"/>
            <w:tcBorders>
              <w:top w:val="single" w:sz="8" w:space="0" w:color="DDDDDD"/>
              <w:left w:val="nil"/>
              <w:bottom w:val="nil"/>
              <w:right w:val="single" w:sz="8" w:space="0" w:color="000000"/>
            </w:tcBorders>
            <w:shd w:val="clear" w:color="000000" w:fill="FFFFFF"/>
            <w:vAlign w:val="center"/>
            <w:hideMark/>
          </w:tcPr>
          <w:p w14:paraId="24498ABE"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Shtete të tjera anëtare</w:t>
            </w:r>
          </w:p>
        </w:tc>
        <w:tc>
          <w:tcPr>
            <w:tcW w:w="644" w:type="pct"/>
            <w:tcBorders>
              <w:top w:val="single" w:sz="8" w:space="0" w:color="DDDDDD"/>
              <w:left w:val="nil"/>
              <w:bottom w:val="nil"/>
              <w:right w:val="single" w:sz="8" w:space="0" w:color="000000"/>
            </w:tcBorders>
            <w:shd w:val="clear" w:color="000000" w:fill="FFFFFF"/>
            <w:vAlign w:val="center"/>
            <w:hideMark/>
          </w:tcPr>
          <w:p w14:paraId="345C734A"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Shtetet kryesore jashtë Bashkimit Evropian</w:t>
            </w:r>
          </w:p>
        </w:tc>
      </w:tr>
      <w:tr w:rsidR="008F2F5A" w:rsidRPr="007E6D65" w14:paraId="39203A46" w14:textId="77777777" w:rsidTr="008F2F5A">
        <w:trPr>
          <w:trHeight w:val="46"/>
        </w:trPr>
        <w:tc>
          <w:tcPr>
            <w:tcW w:w="1823" w:type="pct"/>
            <w:vMerge/>
            <w:tcBorders>
              <w:top w:val="single" w:sz="8" w:space="0" w:color="000000"/>
              <w:left w:val="single" w:sz="8" w:space="0" w:color="000000"/>
              <w:bottom w:val="single" w:sz="8" w:space="0" w:color="000000"/>
              <w:right w:val="single" w:sz="8" w:space="0" w:color="000000"/>
            </w:tcBorders>
            <w:vAlign w:val="center"/>
            <w:hideMark/>
          </w:tcPr>
          <w:p w14:paraId="2ACFC7B1"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p>
        </w:tc>
        <w:tc>
          <w:tcPr>
            <w:tcW w:w="342" w:type="pct"/>
            <w:vMerge/>
            <w:tcBorders>
              <w:top w:val="single" w:sz="8" w:space="0" w:color="000000"/>
              <w:left w:val="single" w:sz="8" w:space="0" w:color="000000"/>
              <w:bottom w:val="single" w:sz="8" w:space="0" w:color="000000"/>
              <w:right w:val="single" w:sz="8" w:space="0" w:color="000000"/>
            </w:tcBorders>
            <w:vAlign w:val="center"/>
            <w:hideMark/>
          </w:tcPr>
          <w:p w14:paraId="002C97AA"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p>
        </w:tc>
        <w:tc>
          <w:tcPr>
            <w:tcW w:w="349" w:type="pct"/>
            <w:vMerge/>
            <w:tcBorders>
              <w:top w:val="nil"/>
              <w:left w:val="single" w:sz="8" w:space="0" w:color="000000"/>
              <w:bottom w:val="single" w:sz="8" w:space="0" w:color="000000"/>
              <w:right w:val="single" w:sz="8" w:space="0" w:color="000000"/>
            </w:tcBorders>
            <w:vAlign w:val="center"/>
            <w:hideMark/>
          </w:tcPr>
          <w:p w14:paraId="49C2F760"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p>
        </w:tc>
        <w:tc>
          <w:tcPr>
            <w:tcW w:w="445" w:type="pct"/>
            <w:vMerge/>
            <w:tcBorders>
              <w:top w:val="nil"/>
              <w:left w:val="single" w:sz="8" w:space="0" w:color="000000"/>
              <w:bottom w:val="single" w:sz="8" w:space="0" w:color="000000"/>
              <w:right w:val="single" w:sz="8" w:space="0" w:color="000000"/>
            </w:tcBorders>
            <w:vAlign w:val="center"/>
            <w:hideMark/>
          </w:tcPr>
          <w:p w14:paraId="5798F491"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p>
        </w:tc>
        <w:tc>
          <w:tcPr>
            <w:tcW w:w="540" w:type="pct"/>
            <w:tcBorders>
              <w:top w:val="nil"/>
              <w:left w:val="nil"/>
              <w:bottom w:val="single" w:sz="8" w:space="0" w:color="000000"/>
              <w:right w:val="single" w:sz="8" w:space="0" w:color="000000"/>
            </w:tcBorders>
            <w:shd w:val="clear" w:color="000000" w:fill="FFFFFF"/>
            <w:vAlign w:val="center"/>
            <w:hideMark/>
          </w:tcPr>
          <w:p w14:paraId="21EB4CF9"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(informacion sipas shteteve)</w:t>
            </w:r>
          </w:p>
        </w:tc>
        <w:tc>
          <w:tcPr>
            <w:tcW w:w="349" w:type="pct"/>
            <w:vMerge/>
            <w:tcBorders>
              <w:top w:val="nil"/>
              <w:left w:val="single" w:sz="8" w:space="0" w:color="000000"/>
              <w:bottom w:val="single" w:sz="8" w:space="0" w:color="000000"/>
              <w:right w:val="single" w:sz="8" w:space="0" w:color="000000"/>
            </w:tcBorders>
            <w:vAlign w:val="center"/>
            <w:hideMark/>
          </w:tcPr>
          <w:p w14:paraId="5AF4AE51"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p>
        </w:tc>
        <w:tc>
          <w:tcPr>
            <w:tcW w:w="508" w:type="pct"/>
            <w:tcBorders>
              <w:top w:val="nil"/>
              <w:left w:val="nil"/>
              <w:bottom w:val="single" w:sz="8" w:space="0" w:color="000000"/>
              <w:right w:val="single" w:sz="8" w:space="0" w:color="000000"/>
            </w:tcBorders>
            <w:shd w:val="clear" w:color="000000" w:fill="FFFFFF"/>
            <w:vAlign w:val="center"/>
            <w:hideMark/>
          </w:tcPr>
          <w:p w14:paraId="77D04CAA"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(informacion sipas shteteve)</w:t>
            </w:r>
          </w:p>
        </w:tc>
        <w:tc>
          <w:tcPr>
            <w:tcW w:w="644" w:type="pct"/>
            <w:tcBorders>
              <w:top w:val="nil"/>
              <w:left w:val="nil"/>
              <w:bottom w:val="single" w:sz="8" w:space="0" w:color="000000"/>
              <w:right w:val="single" w:sz="8" w:space="0" w:color="000000"/>
            </w:tcBorders>
            <w:shd w:val="clear" w:color="000000" w:fill="FFFFFF"/>
            <w:vAlign w:val="center"/>
            <w:hideMark/>
          </w:tcPr>
          <w:p w14:paraId="0D19FD89"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(informacion sipas shteteve për Brazil, Kanada, Kinë, Hong Kong, Indi, Japoni, Rusi, Zvicër, USA)</w:t>
            </w:r>
          </w:p>
        </w:tc>
      </w:tr>
      <w:tr w:rsidR="00EE658D" w:rsidRPr="007E6D65" w14:paraId="55B22131" w14:textId="77777777" w:rsidTr="007E6D65">
        <w:trPr>
          <w:trHeight w:val="315"/>
        </w:trPr>
        <w:tc>
          <w:tcPr>
            <w:tcW w:w="5000" w:type="pct"/>
            <w:gridSpan w:val="8"/>
            <w:tcBorders>
              <w:top w:val="single" w:sz="8" w:space="0" w:color="000000"/>
              <w:left w:val="single" w:sz="8" w:space="0" w:color="000000"/>
              <w:bottom w:val="single" w:sz="8" w:space="0" w:color="DDDDDD"/>
              <w:right w:val="single" w:sz="8" w:space="0" w:color="000000"/>
            </w:tcBorders>
            <w:shd w:val="clear" w:color="000000" w:fill="FFFFFF"/>
            <w:vAlign w:val="center"/>
            <w:hideMark/>
          </w:tcPr>
          <w:p w14:paraId="2468708A"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lastRenderedPageBreak/>
              <w:t>DETYRIMET</w:t>
            </w:r>
          </w:p>
        </w:tc>
      </w:tr>
      <w:tr w:rsidR="008F2F5A" w:rsidRPr="007E6D65" w14:paraId="5BBBE919" w14:textId="77777777" w:rsidTr="008F2F5A">
        <w:trPr>
          <w:trHeight w:val="46"/>
        </w:trPr>
        <w:tc>
          <w:tcPr>
            <w:tcW w:w="1823" w:type="pct"/>
            <w:tcBorders>
              <w:top w:val="nil"/>
              <w:left w:val="single" w:sz="8" w:space="0" w:color="000000"/>
              <w:bottom w:val="single" w:sz="8" w:space="0" w:color="000000"/>
              <w:right w:val="single" w:sz="8" w:space="0" w:color="000000"/>
            </w:tcBorders>
            <w:shd w:val="clear" w:color="000000" w:fill="FFFFFF"/>
            <w:vAlign w:val="center"/>
            <w:hideMark/>
          </w:tcPr>
          <w:p w14:paraId="5E3E959D" w14:textId="315D7E1D" w:rsidR="008F2F5A" w:rsidRPr="008F2F5A" w:rsidRDefault="008F2F5A" w:rsidP="008F2F5A">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1</w:t>
            </w:r>
            <w:r>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Tituj të borxhit të emetuara</w:t>
            </w:r>
          </w:p>
        </w:tc>
        <w:tc>
          <w:tcPr>
            <w:tcW w:w="342" w:type="pct"/>
            <w:tcBorders>
              <w:top w:val="nil"/>
              <w:left w:val="nil"/>
              <w:bottom w:val="single" w:sz="8" w:space="0" w:color="000000"/>
              <w:right w:val="single" w:sz="8" w:space="0" w:color="000000"/>
            </w:tcBorders>
            <w:shd w:val="clear" w:color="000000" w:fill="FFFFFF"/>
            <w:vAlign w:val="center"/>
            <w:hideMark/>
          </w:tcPr>
          <w:p w14:paraId="21FE9DD3" w14:textId="77777777" w:rsidR="008F2F5A" w:rsidRPr="007E6D65" w:rsidRDefault="008F2F5A"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nil"/>
              <w:left w:val="nil"/>
              <w:bottom w:val="single" w:sz="8" w:space="0" w:color="000000"/>
              <w:right w:val="single" w:sz="8" w:space="0" w:color="000000"/>
            </w:tcBorders>
            <w:shd w:val="clear" w:color="000000" w:fill="FFFFFF"/>
            <w:vAlign w:val="center"/>
            <w:hideMark/>
          </w:tcPr>
          <w:p w14:paraId="3FF96FCF" w14:textId="77777777" w:rsidR="008F2F5A" w:rsidRPr="007E6D65" w:rsidRDefault="008F2F5A"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nil"/>
              <w:left w:val="nil"/>
              <w:bottom w:val="single" w:sz="8" w:space="0" w:color="000000"/>
              <w:right w:val="single" w:sz="8" w:space="0" w:color="000000"/>
            </w:tcBorders>
            <w:shd w:val="clear" w:color="000000" w:fill="FFFFFF"/>
            <w:vAlign w:val="center"/>
            <w:hideMark/>
          </w:tcPr>
          <w:p w14:paraId="5F432EF7" w14:textId="77777777" w:rsidR="008F2F5A" w:rsidRPr="007E6D65" w:rsidRDefault="008F2F5A"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nil"/>
              <w:left w:val="nil"/>
              <w:bottom w:val="single" w:sz="8" w:space="0" w:color="000000"/>
              <w:right w:val="single" w:sz="8" w:space="0" w:color="000000"/>
            </w:tcBorders>
            <w:shd w:val="clear" w:color="000000" w:fill="FFFFFF"/>
            <w:vAlign w:val="center"/>
            <w:hideMark/>
          </w:tcPr>
          <w:p w14:paraId="2F6DA09C" w14:textId="77777777" w:rsidR="008F2F5A" w:rsidRPr="007E6D65" w:rsidRDefault="008F2F5A"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nil"/>
              <w:left w:val="nil"/>
              <w:bottom w:val="single" w:sz="8" w:space="0" w:color="000000"/>
              <w:right w:val="single" w:sz="8" w:space="0" w:color="000000"/>
            </w:tcBorders>
            <w:shd w:val="clear" w:color="000000" w:fill="FFFFFF"/>
            <w:vAlign w:val="center"/>
            <w:hideMark/>
          </w:tcPr>
          <w:p w14:paraId="1BB74336" w14:textId="77777777" w:rsidR="008F2F5A" w:rsidRPr="007E6D65" w:rsidRDefault="008F2F5A"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nil"/>
              <w:left w:val="nil"/>
              <w:bottom w:val="single" w:sz="8" w:space="0" w:color="000000"/>
              <w:right w:val="single" w:sz="8" w:space="0" w:color="000000"/>
            </w:tcBorders>
            <w:shd w:val="clear" w:color="000000" w:fill="FFFFFF"/>
            <w:vAlign w:val="center"/>
            <w:hideMark/>
          </w:tcPr>
          <w:p w14:paraId="609A2D7B" w14:textId="77777777" w:rsidR="008F2F5A" w:rsidRPr="007E6D65" w:rsidRDefault="008F2F5A"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nil"/>
              <w:left w:val="nil"/>
              <w:bottom w:val="single" w:sz="8" w:space="0" w:color="000000"/>
              <w:right w:val="single" w:sz="8" w:space="0" w:color="000000"/>
            </w:tcBorders>
            <w:shd w:val="clear" w:color="000000" w:fill="FFFFFF"/>
            <w:vAlign w:val="center"/>
            <w:hideMark/>
          </w:tcPr>
          <w:p w14:paraId="15CFB0BC" w14:textId="77777777" w:rsidR="008F2F5A" w:rsidRPr="007E6D65" w:rsidRDefault="008F2F5A"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157EFB18" w14:textId="77777777" w:rsidTr="008F2F5A">
        <w:trPr>
          <w:trHeight w:val="46"/>
        </w:trPr>
        <w:tc>
          <w:tcPr>
            <w:tcW w:w="1823" w:type="pct"/>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0061AC62" w14:textId="62C853A6" w:rsidR="008F2F5A" w:rsidRPr="007E6D65" w:rsidRDefault="008F2F5A" w:rsidP="008F2F5A">
            <w:pPr>
              <w:spacing w:after="0" w:line="240" w:lineRule="auto"/>
              <w:jc w:val="both"/>
              <w:rPr>
                <w:rFonts w:ascii="Garamond" w:eastAsia="Times New Roman" w:hAnsi="Garamond" w:cs="Calibri"/>
                <w:b/>
                <w:bCs/>
                <w:color w:val="000000"/>
                <w:sz w:val="20"/>
                <w:szCs w:val="20"/>
                <w:lang w:eastAsia="en-GB"/>
              </w:rPr>
            </w:pPr>
            <w:r w:rsidRPr="007E6D65">
              <w:rPr>
                <w:rFonts w:ascii="Garamond" w:eastAsia="Times New Roman" w:hAnsi="Garamond" w:cs="Calibri"/>
                <w:color w:val="000000"/>
                <w:sz w:val="20"/>
                <w:szCs w:val="20"/>
                <w:lang w:eastAsia="en-GB"/>
              </w:rPr>
              <w:t>2</w:t>
            </w:r>
            <w:r>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Huat</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3E1EDF01" w14:textId="77777777" w:rsidR="008F2F5A" w:rsidRPr="007E6D65" w:rsidRDefault="008F2F5A"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415DF412" w14:textId="77777777" w:rsidR="008F2F5A" w:rsidRPr="007E6D65" w:rsidRDefault="008F2F5A"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4C691C12" w14:textId="77777777" w:rsidR="008F2F5A" w:rsidRPr="007E6D65" w:rsidRDefault="008F2F5A"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7766CDF4" w14:textId="77777777" w:rsidR="008F2F5A" w:rsidRPr="007E6D65" w:rsidRDefault="008F2F5A"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3DF80DAA" w14:textId="77777777" w:rsidR="008F2F5A" w:rsidRPr="007E6D65" w:rsidRDefault="008F2F5A"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70310EB1" w14:textId="77777777" w:rsidR="008F2F5A" w:rsidRPr="007E6D65" w:rsidRDefault="008F2F5A"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250D97A2" w14:textId="77777777" w:rsidR="008F2F5A" w:rsidRPr="007E6D65" w:rsidRDefault="008F2F5A"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78A58EB3"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43738802"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emetuar nga institucione monetare financiare</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423588B9"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1ACAEC7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75DD463F"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44DCDC9E"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68086B71"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260ECA49"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20730C2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5F0E3921"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02607021" w14:textId="77777777" w:rsidR="00EE658D" w:rsidRPr="007E6D65" w:rsidRDefault="009E69D6" w:rsidP="007E6D65">
            <w:pPr>
              <w:spacing w:after="0" w:line="240" w:lineRule="auto"/>
              <w:rPr>
                <w:rFonts w:ascii="Garamond" w:eastAsia="Times New Roman" w:hAnsi="Garamond" w:cs="Calibri"/>
                <w:color w:val="000000"/>
                <w:sz w:val="20"/>
                <w:szCs w:val="20"/>
                <w:lang w:eastAsia="en-GB"/>
              </w:rPr>
            </w:pPr>
            <w:hyperlink r:id="rId12" w:anchor="ntr3-L_2014366EN.01004301-E0003" w:history="1">
              <w:r w:rsidR="00EE658D" w:rsidRPr="007E6D65">
                <w:rPr>
                  <w:rFonts w:ascii="Garamond" w:eastAsia="Times New Roman" w:hAnsi="Garamond" w:cs="Calibri"/>
                  <w:color w:val="000000"/>
                  <w:sz w:val="20"/>
                  <w:szCs w:val="20"/>
                  <w:lang w:eastAsia="en-GB"/>
                </w:rPr>
                <w:t>emetuar nga institucione të tjera financiare</w:t>
              </w:r>
            </w:hyperlink>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48BA4248"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2C8DA903"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5199B54D"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10CD2351"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28D093D3"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64C3BE5F"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446B2F9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714DDCE5" w14:textId="77777777" w:rsidTr="008F2F5A">
        <w:trPr>
          <w:trHeight w:val="46"/>
        </w:trPr>
        <w:tc>
          <w:tcPr>
            <w:tcW w:w="1823" w:type="pct"/>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40359D78" w14:textId="1B3ACE88" w:rsidR="00245E57" w:rsidRPr="00245E57" w:rsidRDefault="00245E57" w:rsidP="00245E57">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2.x.</w:t>
            </w:r>
            <w:r>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 xml:space="preserve">nga të cilat garancitë e depozitave në lidhje me risigurimin </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63E6E001"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2B2C7748"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63E8D4BA"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7635E006"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0BE03B12"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3446E2CD"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1E77B455"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4E0767DC" w14:textId="77777777" w:rsidTr="008F2F5A">
        <w:trPr>
          <w:trHeight w:val="46"/>
        </w:trPr>
        <w:tc>
          <w:tcPr>
            <w:tcW w:w="1823" w:type="pct"/>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13F79EDD" w14:textId="49AAEEA1" w:rsidR="00245E57" w:rsidRPr="007E6D65" w:rsidRDefault="00245E57" w:rsidP="008F2F5A">
            <w:pPr>
              <w:spacing w:after="0" w:line="240" w:lineRule="auto"/>
              <w:jc w:val="both"/>
              <w:rPr>
                <w:rFonts w:ascii="Garamond" w:eastAsia="Times New Roman" w:hAnsi="Garamond" w:cs="Calibri"/>
                <w:b/>
                <w:bCs/>
                <w:color w:val="000000"/>
                <w:sz w:val="20"/>
                <w:szCs w:val="20"/>
                <w:lang w:eastAsia="en-GB"/>
              </w:rPr>
            </w:pPr>
            <w:r w:rsidRPr="007E6D65">
              <w:rPr>
                <w:rFonts w:ascii="Garamond" w:eastAsia="Times New Roman" w:hAnsi="Garamond" w:cs="Calibri"/>
                <w:color w:val="000000"/>
                <w:sz w:val="20"/>
                <w:szCs w:val="20"/>
                <w:lang w:eastAsia="en-GB"/>
              </w:rPr>
              <w:t>3</w:t>
            </w:r>
            <w:r w:rsidR="008F2F5A">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 xml:space="preserve">Kapital </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1D96307F" w14:textId="77777777" w:rsidR="00245E57" w:rsidRPr="007E6D65" w:rsidRDefault="00245E57"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25CF320F"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18C02C96"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1F7B46BE"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5755AF1A"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0D2B6E9C"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563F1B4E"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7BA10AB2" w14:textId="77777777" w:rsidTr="008F2F5A">
        <w:trPr>
          <w:trHeight w:val="46"/>
        </w:trPr>
        <w:tc>
          <w:tcPr>
            <w:tcW w:w="1823" w:type="pct"/>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5DEBDCC6" w14:textId="0F94D7EF" w:rsidR="00245E57" w:rsidRPr="007E6D65" w:rsidRDefault="00245E57" w:rsidP="008F2F5A">
            <w:pPr>
              <w:spacing w:after="0" w:line="240" w:lineRule="auto"/>
              <w:jc w:val="both"/>
              <w:rPr>
                <w:rFonts w:ascii="Garamond" w:eastAsia="Times New Roman" w:hAnsi="Garamond" w:cs="Calibri"/>
                <w:b/>
                <w:bCs/>
                <w:color w:val="000000"/>
                <w:sz w:val="20"/>
                <w:szCs w:val="20"/>
                <w:lang w:eastAsia="en-GB"/>
              </w:rPr>
            </w:pPr>
            <w:r w:rsidRPr="007E6D65">
              <w:rPr>
                <w:rFonts w:ascii="Garamond" w:eastAsia="Times New Roman" w:hAnsi="Garamond" w:cs="Calibri"/>
                <w:color w:val="000000"/>
                <w:sz w:val="20"/>
                <w:szCs w:val="20"/>
                <w:lang w:eastAsia="en-GB"/>
              </w:rPr>
              <w:t>3a.</w:t>
            </w:r>
            <w:r w:rsidR="008F2F5A">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nga të cilat aksione të listuara</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3C818939"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507A1BC2"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7787C953"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2F436BEA"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488FC61A"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4EAFA1F8"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42E58EB8"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5E0447FE" w14:textId="77777777" w:rsidTr="008F2F5A">
        <w:trPr>
          <w:trHeight w:val="46"/>
        </w:trPr>
        <w:tc>
          <w:tcPr>
            <w:tcW w:w="1823" w:type="pct"/>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493A1DA7" w14:textId="359AADA6" w:rsidR="00245E57" w:rsidRPr="007E6D65" w:rsidRDefault="00245E57" w:rsidP="008F2F5A">
            <w:pPr>
              <w:spacing w:after="0" w:line="240" w:lineRule="auto"/>
              <w:jc w:val="both"/>
              <w:rPr>
                <w:rFonts w:ascii="Garamond" w:eastAsia="Times New Roman" w:hAnsi="Garamond" w:cs="Calibri"/>
                <w:b/>
                <w:bCs/>
                <w:color w:val="000000"/>
                <w:sz w:val="20"/>
                <w:szCs w:val="20"/>
                <w:lang w:eastAsia="en-GB"/>
              </w:rPr>
            </w:pPr>
            <w:r w:rsidRPr="007E6D65">
              <w:rPr>
                <w:rFonts w:ascii="Garamond" w:eastAsia="Times New Roman" w:hAnsi="Garamond" w:cs="Calibri"/>
                <w:color w:val="000000"/>
                <w:sz w:val="20"/>
                <w:szCs w:val="20"/>
                <w:lang w:eastAsia="en-GB"/>
              </w:rPr>
              <w:t>3b.</w:t>
            </w:r>
            <w:r w:rsidR="008F2F5A">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nga të cilat aksione të palistuara</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559066A9"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1FBF36D1"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05A6A61A"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653EF36F"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3B0DC7CF"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1AB72BEA"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001C7013"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226C6F31" w14:textId="77777777" w:rsidTr="008F2F5A">
        <w:trPr>
          <w:trHeight w:val="46"/>
        </w:trPr>
        <w:tc>
          <w:tcPr>
            <w:tcW w:w="1823" w:type="pct"/>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7DBCBD78" w14:textId="69632895" w:rsidR="00245E57" w:rsidRPr="007E6D65" w:rsidRDefault="00245E57" w:rsidP="008F2F5A">
            <w:pPr>
              <w:spacing w:after="0" w:line="240" w:lineRule="auto"/>
              <w:jc w:val="both"/>
              <w:rPr>
                <w:rFonts w:ascii="Garamond" w:eastAsia="Times New Roman" w:hAnsi="Garamond" w:cs="Calibri"/>
                <w:b/>
                <w:bCs/>
                <w:color w:val="000000"/>
                <w:sz w:val="20"/>
                <w:szCs w:val="20"/>
                <w:lang w:eastAsia="en-GB"/>
              </w:rPr>
            </w:pPr>
            <w:r w:rsidRPr="007E6D65">
              <w:rPr>
                <w:rFonts w:ascii="Garamond" w:eastAsia="Times New Roman" w:hAnsi="Garamond" w:cs="Calibri"/>
                <w:color w:val="000000"/>
                <w:sz w:val="20"/>
                <w:szCs w:val="20"/>
                <w:lang w:eastAsia="en-GB"/>
              </w:rPr>
              <w:t>3c.</w:t>
            </w:r>
            <w:r w:rsidR="008F2F5A">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nga të cilat kapitale të tjera</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4CBDA818"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22E6722B"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7DB6A01A"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62290665"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5AE741C2"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74D28CFC"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4C7793C3"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23DCB059" w14:textId="77777777" w:rsidTr="008F2F5A">
        <w:trPr>
          <w:trHeight w:val="46"/>
        </w:trPr>
        <w:tc>
          <w:tcPr>
            <w:tcW w:w="1823" w:type="pct"/>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5325A3CC" w14:textId="473714D9" w:rsidR="00245E57" w:rsidRPr="007E6D65" w:rsidRDefault="00245E57" w:rsidP="008F2F5A">
            <w:pPr>
              <w:spacing w:after="0" w:line="240" w:lineRule="auto"/>
              <w:jc w:val="both"/>
              <w:rPr>
                <w:rFonts w:ascii="Garamond" w:eastAsia="Times New Roman" w:hAnsi="Garamond" w:cs="Calibri"/>
                <w:b/>
                <w:bCs/>
                <w:color w:val="000000"/>
                <w:sz w:val="20"/>
                <w:szCs w:val="20"/>
                <w:lang w:eastAsia="en-GB"/>
              </w:rPr>
            </w:pPr>
            <w:r w:rsidRPr="007E6D65">
              <w:rPr>
                <w:rFonts w:ascii="Garamond" w:eastAsia="Times New Roman" w:hAnsi="Garamond" w:cs="Calibri"/>
                <w:color w:val="000000"/>
                <w:sz w:val="20"/>
                <w:szCs w:val="20"/>
                <w:lang w:eastAsia="en-GB"/>
              </w:rPr>
              <w:t>4</w:t>
            </w:r>
            <w:r w:rsidR="008F2F5A">
              <w:rPr>
                <w:rFonts w:ascii="Garamond" w:eastAsia="Times New Roman" w:hAnsi="Garamond" w:cs="Calibri"/>
                <w:color w:val="000000"/>
                <w:sz w:val="20"/>
                <w:szCs w:val="20"/>
                <w:lang w:eastAsia="en-GB"/>
              </w:rPr>
              <w:t xml:space="preserve">. </w:t>
            </w:r>
            <w:hyperlink r:id="rId13" w:anchor="ntr4-L_2014366EN.01004301-E0004" w:history="1">
              <w:r w:rsidRPr="007E6D65">
                <w:rPr>
                  <w:rFonts w:ascii="Garamond" w:eastAsia="Times New Roman" w:hAnsi="Garamond" w:cs="Calibri"/>
                  <w:b/>
                  <w:bCs/>
                  <w:color w:val="000000"/>
                  <w:sz w:val="20"/>
                  <w:szCs w:val="20"/>
                  <w:lang w:eastAsia="en-GB"/>
                </w:rPr>
                <w:t>Rezervat teknike të sigurimit</w:t>
              </w:r>
            </w:hyperlink>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6609AF9C" w14:textId="77777777" w:rsidR="00245E57" w:rsidRPr="007E6D65" w:rsidRDefault="00245E57"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1CA2E018"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2F7BCC31"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3B55349D"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4ED04972"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279E6F29"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041B3C15"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4FF9CAD5" w14:textId="77777777" w:rsidTr="008F2F5A">
        <w:trPr>
          <w:trHeight w:val="46"/>
        </w:trPr>
        <w:tc>
          <w:tcPr>
            <w:tcW w:w="1823" w:type="pct"/>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375E29AC" w14:textId="543A9804" w:rsidR="00245E57" w:rsidRPr="007E6D65" w:rsidRDefault="00245E57" w:rsidP="008F2F5A">
            <w:pPr>
              <w:spacing w:after="0" w:line="240" w:lineRule="auto"/>
              <w:jc w:val="both"/>
              <w:rPr>
                <w:rFonts w:ascii="Garamond" w:eastAsia="Times New Roman" w:hAnsi="Garamond" w:cs="Calibri"/>
                <w:b/>
                <w:bCs/>
                <w:color w:val="000000"/>
                <w:sz w:val="20"/>
                <w:szCs w:val="20"/>
                <w:lang w:eastAsia="en-GB"/>
              </w:rPr>
            </w:pPr>
            <w:r w:rsidRPr="007E6D65">
              <w:rPr>
                <w:rFonts w:ascii="Garamond" w:eastAsia="Times New Roman" w:hAnsi="Garamond" w:cs="Calibri"/>
                <w:color w:val="000000"/>
                <w:sz w:val="20"/>
                <w:szCs w:val="20"/>
                <w:lang w:eastAsia="en-GB"/>
              </w:rPr>
              <w:t>4.1</w:t>
            </w:r>
            <w:r w:rsidR="008F2F5A">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Rezervat teknike të sigurimit të jetës</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32718B8B" w14:textId="77777777" w:rsidR="00245E57" w:rsidRPr="007E6D65" w:rsidRDefault="00245E57"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49032817"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1925D6F8" w14:textId="77777777" w:rsidR="00245E57" w:rsidRPr="007E6D65" w:rsidRDefault="00245E57"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5BB4AF0D"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3DAC6016"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18EF0815"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2515CA2C"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1B42F9DF"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E726D8"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nga të cilat me njësi të lidhura</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0ACA01A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02AE9E65"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7FFF2EAD"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7BAEA692"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76392C6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0A68F43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776C92A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03F6F0B9"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3789462"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nga të cilat me njësi të palidhura</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73E1728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2AF399D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5E62474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7B55CED3"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25EC78E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7BE70052"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680431C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2A494867"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337D909F"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nga të cilat përfitimet e pensioneve</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7321EC11"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776A2CE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3F48926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5E24303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2D5B52F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238A165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03889859"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64DD3A0C"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586B687D" w14:textId="7FEF4368"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nga të cilat skemat me</w:t>
            </w:r>
            <w:r w:rsidR="00197142">
              <w:rPr>
                <w:rFonts w:ascii="Garamond" w:eastAsia="Times New Roman" w:hAnsi="Garamond" w:cs="Calibri"/>
                <w:color w:val="000000"/>
                <w:sz w:val="20"/>
                <w:szCs w:val="20"/>
                <w:lang w:eastAsia="en-GB"/>
              </w:rPr>
              <w:t xml:space="preserve"> </w:t>
            </w:r>
            <w:r w:rsidRPr="007E6D65">
              <w:rPr>
                <w:rFonts w:ascii="Garamond" w:eastAsia="Times New Roman" w:hAnsi="Garamond" w:cs="Calibri"/>
                <w:color w:val="000000"/>
                <w:sz w:val="20"/>
                <w:szCs w:val="20"/>
                <w:lang w:eastAsia="en-GB"/>
              </w:rPr>
              <w:t>kontribute të përcaktuara</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2B9471C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78DDCE7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70475A2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7C5AE57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4622930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376E2F75"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191F67C9"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63DF05E4"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1608C8C3"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nga të cilat skemat përfitime të përcaktuara</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6A0A919E"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32813DC1"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232AE969"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404921E2"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50A5B28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7FBF575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6A874E9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4BA7C549"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7DF1F283"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nga të cilat skema hibride</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45F18101"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5CEECF1D"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508C7DE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38C5DB42"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1979478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5CB8A8C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332FCBB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59BEE5B3" w14:textId="77777777" w:rsidTr="008F2F5A">
        <w:trPr>
          <w:trHeight w:val="46"/>
        </w:trPr>
        <w:tc>
          <w:tcPr>
            <w:tcW w:w="1823" w:type="pct"/>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39C30023" w14:textId="6B61766F" w:rsidR="00245E57" w:rsidRPr="00245E57" w:rsidRDefault="00245E57" w:rsidP="00245E57">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4.2</w:t>
            </w:r>
            <w:r>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Rezervat teknike te sigurimit jojeta</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08E90DC5" w14:textId="77777777" w:rsidR="00245E57" w:rsidRPr="007E6D65" w:rsidRDefault="00245E57"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6FC1E3E1"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7C501A1B" w14:textId="77777777" w:rsidR="00245E57" w:rsidRPr="007E6D65" w:rsidRDefault="00245E57"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28068940"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1DCC3771"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3E779FB3"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0E3671F8"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4494A310"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0B7EDD1F"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Sipas linjës së biznesit</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1CF5A09E"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161F8346"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51FBDEE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46A3594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03A3C67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3D019162"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0033216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6E881CF4"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15407D53"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Sigurimi i shpenzimeve mjekësore</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6614993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3F46B86F"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171E51E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013964D0"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11DD3B22"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6F324A56"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775AB96A"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8F2F5A" w:rsidRPr="007E6D65" w14:paraId="3CF9779B"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76CBA9CF"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Sigurimi për mbrojtjen e të ardhurave</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7E3E5D1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39851A2F"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424A622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3AA44D48"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4C359833"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3F1CBC96"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4C7B9B16"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8F2F5A" w:rsidRPr="007E6D65" w14:paraId="2E833A0D"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496E3C44"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Sigurimi i kompensimit të punonjësve</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250AD712"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2BE98344"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385D843F"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76A735BB"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07C546C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36387C2F"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3000ECA5"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8F2F5A" w:rsidRPr="007E6D65" w14:paraId="034A279F"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56E2D4"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Sigurimi i borxhit të mjeteve motorike</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4F48E49D"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3A772FC8"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0970CFD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47E2502F"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502AF63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1B33647C"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1DA2A2BE"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8F2F5A" w:rsidRPr="007E6D65" w14:paraId="4490AE61"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4EDEB502"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Sigurime të tjera motorike</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50D2FB0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48F5ECBA"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1D876E9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6FAA7A95"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7A2D9D43"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42F70C59"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1AA199A9"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8F2F5A" w:rsidRPr="007E6D65" w14:paraId="6C3681F2"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7D7E8BBD"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 detar, ajror dhe transporti</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7AC3BCF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4234E10A"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01AA14F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74F37436"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3ABE4111"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2FD2FB86"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4C080F0F"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8F2F5A" w:rsidRPr="007E6D65" w14:paraId="222D17AF"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02241668"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 zjarri dhe dëmtime të tjera prone</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3D7C401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62B28D10"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76DA9B31"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3B8094B9"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4ED642A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0CC85C36"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7D863F08"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8F2F5A" w:rsidRPr="007E6D65" w14:paraId="587E8655"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F25F21"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 i detyrimeve të përgjithshme</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0B384491"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08AB1E69"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27BA4A4F"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30C179F7"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0970B43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43BED117"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0A6825CB"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8F2F5A" w:rsidRPr="007E6D65" w14:paraId="1A6A29C2"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08F43D74"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Sigurimi kredisë dhe garancisë</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1CE6451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48F439F3"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5C5FEF86"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6774D61F"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0847596D"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343E6F3C"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5A3E12F5"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8F2F5A" w:rsidRPr="007E6D65" w14:paraId="5501A2C0"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75D0A867"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 i shpenzimeve ligjore</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60D968B5"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0F92DA2C"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0FC88B7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1B9B715C"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3558861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201C74D3"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7EBA8808"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8F2F5A" w:rsidRPr="007E6D65" w14:paraId="098A528C" w14:textId="77777777" w:rsidTr="008F2F5A">
        <w:trPr>
          <w:trHeight w:val="315"/>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3ACD85BA"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Asistencë</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79901293"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272581B9"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64EE547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262B7DA0"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6D7F2A8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428F8137"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165D04B5"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8F2F5A" w:rsidRPr="007E6D65" w14:paraId="020F6B73"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1A8D8094"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Humbje të ndryshme financiare</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418A7EB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792B065E"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02A03B9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581AB1A6"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131E041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018F246C"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6B74FCB4"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8F2F5A" w:rsidRPr="007E6D65" w14:paraId="0DABBA43" w14:textId="77777777" w:rsidTr="008F2F5A">
        <w:trPr>
          <w:trHeight w:val="46"/>
        </w:trPr>
        <w:tc>
          <w:tcPr>
            <w:tcW w:w="1823" w:type="pc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499C291"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Risigurim</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39C9F97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14740AF9"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42D5A389"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18EF97A3"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3A990C0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1C6F2AC8"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6FC90402"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8F2F5A" w:rsidRPr="007E6D65" w14:paraId="47CA4A01" w14:textId="77777777" w:rsidTr="008F2F5A">
        <w:trPr>
          <w:trHeight w:val="46"/>
        </w:trPr>
        <w:tc>
          <w:tcPr>
            <w:tcW w:w="1823" w:type="pct"/>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203BAD37" w14:textId="1334FC16" w:rsidR="00245E57" w:rsidRPr="00245E57" w:rsidRDefault="00245E57" w:rsidP="00245E57">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5</w:t>
            </w:r>
            <w:r>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 xml:space="preserve">Derivatë </w:t>
            </w:r>
            <w:r>
              <w:rPr>
                <w:rFonts w:ascii="Garamond" w:eastAsia="Times New Roman" w:hAnsi="Garamond" w:cs="Calibri"/>
                <w:b/>
                <w:bCs/>
                <w:color w:val="000000"/>
                <w:sz w:val="20"/>
                <w:szCs w:val="20"/>
                <w:lang w:eastAsia="en-GB"/>
              </w:rPr>
              <w:t>f</w:t>
            </w:r>
            <w:r w:rsidRPr="007E6D65">
              <w:rPr>
                <w:rFonts w:ascii="Garamond" w:eastAsia="Times New Roman" w:hAnsi="Garamond" w:cs="Calibri"/>
                <w:b/>
                <w:bCs/>
                <w:color w:val="000000"/>
                <w:sz w:val="20"/>
                <w:szCs w:val="20"/>
                <w:lang w:eastAsia="en-GB"/>
              </w:rPr>
              <w:t>inanciarë</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2C70E1FC"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019A5392"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1884C568"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3895F78E"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6C46E095"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76229C20"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28CC7C53"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8F2F5A" w:rsidRPr="007E6D65" w14:paraId="7EFBE8E7" w14:textId="77777777" w:rsidTr="008F2F5A">
        <w:trPr>
          <w:trHeight w:val="46"/>
        </w:trPr>
        <w:tc>
          <w:tcPr>
            <w:tcW w:w="1823" w:type="pct"/>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47AE68CC" w14:textId="3411986C" w:rsidR="00245E57" w:rsidRPr="00245E57" w:rsidRDefault="00245E57" w:rsidP="00245E57">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6</w:t>
            </w:r>
            <w:r>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Detyrime të tjera</w:t>
            </w:r>
          </w:p>
        </w:tc>
        <w:tc>
          <w:tcPr>
            <w:tcW w:w="342" w:type="pct"/>
            <w:tcBorders>
              <w:top w:val="single" w:sz="8" w:space="0" w:color="DDDDDD"/>
              <w:left w:val="nil"/>
              <w:bottom w:val="single" w:sz="8" w:space="0" w:color="000000"/>
              <w:right w:val="single" w:sz="8" w:space="0" w:color="000000"/>
            </w:tcBorders>
            <w:shd w:val="clear" w:color="000000" w:fill="FFFFFF"/>
            <w:vAlign w:val="center"/>
            <w:hideMark/>
          </w:tcPr>
          <w:p w14:paraId="08F7391F"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0F571A07"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5" w:type="pct"/>
            <w:tcBorders>
              <w:top w:val="single" w:sz="8" w:space="0" w:color="DDDDDD"/>
              <w:left w:val="nil"/>
              <w:bottom w:val="single" w:sz="8" w:space="0" w:color="000000"/>
              <w:right w:val="single" w:sz="8" w:space="0" w:color="000000"/>
            </w:tcBorders>
            <w:shd w:val="clear" w:color="000000" w:fill="FFFFFF"/>
            <w:vAlign w:val="center"/>
            <w:hideMark/>
          </w:tcPr>
          <w:p w14:paraId="1B8E4820"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40" w:type="pct"/>
            <w:tcBorders>
              <w:top w:val="single" w:sz="8" w:space="0" w:color="DDDDDD"/>
              <w:left w:val="nil"/>
              <w:bottom w:val="single" w:sz="8" w:space="0" w:color="000000"/>
              <w:right w:val="single" w:sz="8" w:space="0" w:color="000000"/>
            </w:tcBorders>
            <w:shd w:val="clear" w:color="000000" w:fill="FFFFFF"/>
            <w:vAlign w:val="center"/>
            <w:hideMark/>
          </w:tcPr>
          <w:p w14:paraId="3C71B556"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49" w:type="pct"/>
            <w:tcBorders>
              <w:top w:val="single" w:sz="8" w:space="0" w:color="DDDDDD"/>
              <w:left w:val="nil"/>
              <w:bottom w:val="single" w:sz="8" w:space="0" w:color="000000"/>
              <w:right w:val="single" w:sz="8" w:space="0" w:color="000000"/>
            </w:tcBorders>
            <w:shd w:val="clear" w:color="000000" w:fill="FFFFFF"/>
            <w:vAlign w:val="center"/>
            <w:hideMark/>
          </w:tcPr>
          <w:p w14:paraId="7146898B"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08" w:type="pct"/>
            <w:tcBorders>
              <w:top w:val="single" w:sz="8" w:space="0" w:color="DDDDDD"/>
              <w:left w:val="nil"/>
              <w:bottom w:val="single" w:sz="8" w:space="0" w:color="000000"/>
              <w:right w:val="single" w:sz="8" w:space="0" w:color="000000"/>
            </w:tcBorders>
            <w:shd w:val="clear" w:color="000000" w:fill="FFFFFF"/>
            <w:vAlign w:val="center"/>
            <w:hideMark/>
          </w:tcPr>
          <w:p w14:paraId="3A178984"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644" w:type="pct"/>
            <w:tcBorders>
              <w:top w:val="single" w:sz="8" w:space="0" w:color="DDDDDD"/>
              <w:left w:val="nil"/>
              <w:bottom w:val="single" w:sz="8" w:space="0" w:color="000000"/>
              <w:right w:val="single" w:sz="8" w:space="0" w:color="000000"/>
            </w:tcBorders>
            <w:shd w:val="clear" w:color="000000" w:fill="FFFFFF"/>
            <w:vAlign w:val="center"/>
            <w:hideMark/>
          </w:tcPr>
          <w:p w14:paraId="340355B6" w14:textId="77777777" w:rsidR="00245E57" w:rsidRPr="007E6D65" w:rsidRDefault="00245E57"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bl>
    <w:p w14:paraId="2122D231" w14:textId="77777777" w:rsidR="00EE658D" w:rsidRPr="007E6D65" w:rsidRDefault="00EE658D" w:rsidP="007E6D65">
      <w:pPr>
        <w:spacing w:after="0" w:line="240" w:lineRule="auto"/>
        <w:jc w:val="center"/>
        <w:rPr>
          <w:rFonts w:ascii="Garamond" w:hAnsi="Garamond" w:cs="Times New Roman"/>
          <w:b/>
          <w:sz w:val="20"/>
          <w:szCs w:val="20"/>
        </w:rPr>
      </w:pPr>
    </w:p>
    <w:p w14:paraId="4FE66769" w14:textId="77777777" w:rsidR="00EE658D" w:rsidRPr="007E6D65" w:rsidRDefault="00EE658D" w:rsidP="007E6D65">
      <w:pPr>
        <w:spacing w:after="0" w:line="240" w:lineRule="auto"/>
        <w:jc w:val="center"/>
        <w:rPr>
          <w:rFonts w:ascii="Garamond" w:hAnsi="Garamond" w:cs="Times New Roman"/>
          <w:b/>
          <w:sz w:val="20"/>
          <w:szCs w:val="20"/>
        </w:rPr>
      </w:pPr>
      <w:r w:rsidRPr="007E6D65">
        <w:rPr>
          <w:rFonts w:ascii="Garamond" w:hAnsi="Garamond" w:cs="Times New Roman"/>
          <w:b/>
          <w:sz w:val="20"/>
          <w:szCs w:val="20"/>
        </w:rPr>
        <w:t>Sasitë gjendje tremujore</w:t>
      </w:r>
    </w:p>
    <w:p w14:paraId="5519F72B" w14:textId="77777777" w:rsidR="00EE658D" w:rsidRPr="007E6D65" w:rsidRDefault="00EE658D" w:rsidP="007E6D65">
      <w:pPr>
        <w:spacing w:after="0" w:line="240" w:lineRule="auto"/>
        <w:jc w:val="center"/>
        <w:rPr>
          <w:rFonts w:ascii="Garamond" w:hAnsi="Garamond" w:cs="Times New Roman"/>
          <w:b/>
          <w:sz w:val="20"/>
          <w:szCs w:val="20"/>
        </w:rPr>
      </w:pPr>
      <w:r w:rsidRPr="007E6D65">
        <w:rPr>
          <w:rFonts w:ascii="Garamond" w:hAnsi="Garamond" w:cs="Times New Roman"/>
          <w:b/>
          <w:sz w:val="20"/>
          <w:szCs w:val="20"/>
        </w:rPr>
        <w:t>Tabela 2</w:t>
      </w:r>
    </w:p>
    <w:p w14:paraId="602C0629" w14:textId="385A17C8" w:rsidR="00EE658D" w:rsidRPr="007E6D65" w:rsidRDefault="00EE658D" w:rsidP="007E6D65">
      <w:pPr>
        <w:spacing w:after="0" w:line="240" w:lineRule="auto"/>
        <w:jc w:val="center"/>
        <w:rPr>
          <w:rFonts w:ascii="Garamond" w:hAnsi="Garamond" w:cs="Times New Roman"/>
          <w:b/>
          <w:sz w:val="20"/>
          <w:szCs w:val="20"/>
        </w:rPr>
      </w:pPr>
      <w:r w:rsidRPr="007E6D65">
        <w:rPr>
          <w:rFonts w:ascii="Garamond" w:hAnsi="Garamond" w:cs="Times New Roman"/>
          <w:b/>
          <w:sz w:val="20"/>
          <w:szCs w:val="20"/>
        </w:rPr>
        <w:t xml:space="preserve">Të dhënat e titujve – databaza </w:t>
      </w:r>
      <w:r w:rsidR="00B24C95">
        <w:rPr>
          <w:rFonts w:ascii="Garamond" w:hAnsi="Garamond" w:cs="Times New Roman"/>
          <w:b/>
          <w:sz w:val="20"/>
          <w:szCs w:val="20"/>
        </w:rPr>
        <w:t>“</w:t>
      </w:r>
      <w:r w:rsidRPr="007E6D65">
        <w:rPr>
          <w:rFonts w:ascii="Garamond" w:hAnsi="Garamond" w:cs="Times New Roman"/>
          <w:b/>
          <w:sz w:val="20"/>
          <w:szCs w:val="20"/>
        </w:rPr>
        <w:t>titull-për-titull</w:t>
      </w:r>
      <w:r w:rsidR="00B24C95">
        <w:rPr>
          <w:rFonts w:ascii="Garamond" w:hAnsi="Garamond" w:cs="Times New Roman"/>
          <w:b/>
          <w:sz w:val="20"/>
          <w:szCs w:val="20"/>
        </w:rPr>
        <w:t>”</w:t>
      </w:r>
    </w:p>
    <w:p w14:paraId="13F52F0F" w14:textId="1E00FDD1" w:rsidR="00EE658D" w:rsidRPr="007E6D65" w:rsidRDefault="00EE658D" w:rsidP="007E6D65">
      <w:pPr>
        <w:spacing w:after="0" w:line="240" w:lineRule="auto"/>
        <w:jc w:val="both"/>
        <w:rPr>
          <w:rFonts w:ascii="Garamond" w:hAnsi="Garamond" w:cs="Times New Roman"/>
          <w:sz w:val="20"/>
          <w:szCs w:val="20"/>
        </w:rPr>
      </w:pPr>
      <w:r w:rsidRPr="007E6D65">
        <w:rPr>
          <w:rFonts w:ascii="Garamond" w:hAnsi="Garamond" w:cs="Times New Roman"/>
          <w:sz w:val="20"/>
          <w:szCs w:val="20"/>
        </w:rPr>
        <w:t xml:space="preserve">Të dhënat për fushat në </w:t>
      </w:r>
      <w:r w:rsidR="00245E57" w:rsidRPr="007E6D65">
        <w:rPr>
          <w:rFonts w:ascii="Garamond" w:hAnsi="Garamond" w:cs="Times New Roman"/>
          <w:sz w:val="20"/>
          <w:szCs w:val="20"/>
        </w:rPr>
        <w:t xml:space="preserve">tabelën </w:t>
      </w:r>
      <w:r w:rsidRPr="007E6D65">
        <w:rPr>
          <w:rFonts w:ascii="Garamond" w:hAnsi="Garamond" w:cs="Times New Roman"/>
          <w:sz w:val="20"/>
          <w:szCs w:val="20"/>
        </w:rPr>
        <w:t xml:space="preserve">2 duhet të raportohen për secilin titull të klasifikuar nën kategoritë e instrumenteve </w:t>
      </w:r>
      <w:r w:rsidR="00B24C95">
        <w:rPr>
          <w:rFonts w:ascii="Garamond" w:hAnsi="Garamond" w:cs="Times New Roman"/>
          <w:sz w:val="20"/>
          <w:szCs w:val="20"/>
        </w:rPr>
        <w:t>“</w:t>
      </w:r>
      <w:r w:rsidRPr="007E6D65">
        <w:rPr>
          <w:rFonts w:ascii="Garamond" w:hAnsi="Garamond" w:cs="Times New Roman"/>
          <w:sz w:val="20"/>
          <w:szCs w:val="20"/>
        </w:rPr>
        <w:t>tituj të borxhit</w:t>
      </w:r>
      <w:r w:rsidR="00B24C95">
        <w:rPr>
          <w:rFonts w:ascii="Garamond" w:hAnsi="Garamond" w:cs="Times New Roman"/>
          <w:sz w:val="20"/>
          <w:szCs w:val="20"/>
        </w:rPr>
        <w:t>”</w:t>
      </w:r>
      <w:r w:rsidRPr="007E6D65">
        <w:rPr>
          <w:rFonts w:ascii="Garamond" w:hAnsi="Garamond" w:cs="Times New Roman"/>
          <w:sz w:val="20"/>
          <w:szCs w:val="20"/>
        </w:rPr>
        <w:t xml:space="preserve">, </w:t>
      </w:r>
      <w:r w:rsidR="00B24C95">
        <w:rPr>
          <w:rFonts w:ascii="Garamond" w:hAnsi="Garamond" w:cs="Times New Roman"/>
          <w:sz w:val="20"/>
          <w:szCs w:val="20"/>
        </w:rPr>
        <w:t>“</w:t>
      </w:r>
      <w:r w:rsidRPr="007E6D65">
        <w:rPr>
          <w:rFonts w:ascii="Garamond" w:hAnsi="Garamond" w:cs="Times New Roman"/>
          <w:sz w:val="20"/>
          <w:szCs w:val="20"/>
        </w:rPr>
        <w:t>kapitali</w:t>
      </w:r>
      <w:r w:rsidR="00B24C95">
        <w:rPr>
          <w:rFonts w:ascii="Garamond" w:hAnsi="Garamond" w:cs="Times New Roman"/>
          <w:sz w:val="20"/>
          <w:szCs w:val="20"/>
        </w:rPr>
        <w:t>”</w:t>
      </w:r>
      <w:r w:rsidRPr="007E6D65">
        <w:rPr>
          <w:rFonts w:ascii="Garamond" w:hAnsi="Garamond" w:cs="Times New Roman"/>
          <w:sz w:val="20"/>
          <w:szCs w:val="20"/>
        </w:rPr>
        <w:t xml:space="preserve"> dhe </w:t>
      </w:r>
      <w:r w:rsidR="00B24C95">
        <w:rPr>
          <w:rFonts w:ascii="Garamond" w:hAnsi="Garamond" w:cs="Times New Roman"/>
          <w:sz w:val="20"/>
          <w:szCs w:val="20"/>
        </w:rPr>
        <w:t>“</w:t>
      </w:r>
      <w:r w:rsidRPr="007E6D65">
        <w:rPr>
          <w:rFonts w:ascii="Garamond" w:hAnsi="Garamond" w:cs="Times New Roman"/>
          <w:sz w:val="20"/>
          <w:szCs w:val="20"/>
        </w:rPr>
        <w:t>aksionet/kuotat e fondeve të investimit</w:t>
      </w:r>
      <w:r w:rsidR="00B24C95">
        <w:rPr>
          <w:rFonts w:ascii="Garamond" w:hAnsi="Garamond" w:cs="Times New Roman"/>
          <w:sz w:val="20"/>
          <w:szCs w:val="20"/>
        </w:rPr>
        <w:t>”</w:t>
      </w:r>
      <w:r w:rsidRPr="007E6D65">
        <w:rPr>
          <w:rFonts w:ascii="Garamond" w:hAnsi="Garamond" w:cs="Times New Roman"/>
          <w:sz w:val="20"/>
          <w:szCs w:val="20"/>
        </w:rPr>
        <w:t xml:space="preserve"> (siç përcaktohet në </w:t>
      </w:r>
      <w:r w:rsidR="00245E57" w:rsidRPr="007E6D65">
        <w:rPr>
          <w:rFonts w:ascii="Garamond" w:hAnsi="Garamond" w:cs="Times New Roman"/>
          <w:sz w:val="20"/>
          <w:szCs w:val="20"/>
        </w:rPr>
        <w:t xml:space="preserve">tabela </w:t>
      </w:r>
      <w:r w:rsidRPr="007E6D65">
        <w:rPr>
          <w:rFonts w:ascii="Garamond" w:hAnsi="Garamond" w:cs="Times New Roman"/>
          <w:sz w:val="20"/>
          <w:szCs w:val="20"/>
        </w:rPr>
        <w:t xml:space="preserve">A e </w:t>
      </w:r>
      <w:r w:rsidR="00245E57" w:rsidRPr="007E6D65">
        <w:rPr>
          <w:rFonts w:ascii="Garamond" w:hAnsi="Garamond" w:cs="Times New Roman"/>
          <w:sz w:val="20"/>
          <w:szCs w:val="20"/>
        </w:rPr>
        <w:t xml:space="preserve">pjesës </w:t>
      </w:r>
      <w:r w:rsidRPr="007E6D65">
        <w:rPr>
          <w:rFonts w:ascii="Garamond" w:hAnsi="Garamond" w:cs="Times New Roman"/>
          <w:sz w:val="20"/>
          <w:szCs w:val="20"/>
        </w:rPr>
        <w:t xml:space="preserve">1 të </w:t>
      </w:r>
      <w:r w:rsidR="00245E57" w:rsidRPr="007E6D65">
        <w:rPr>
          <w:rFonts w:ascii="Garamond" w:hAnsi="Garamond" w:cs="Times New Roman"/>
          <w:sz w:val="20"/>
          <w:szCs w:val="20"/>
        </w:rPr>
        <w:t xml:space="preserve">aneksit </w:t>
      </w:r>
      <w:r w:rsidRPr="007E6D65">
        <w:rPr>
          <w:rFonts w:ascii="Garamond" w:hAnsi="Garamond" w:cs="Times New Roman"/>
          <w:sz w:val="20"/>
          <w:szCs w:val="20"/>
        </w:rPr>
        <w:t xml:space="preserve">II). </w:t>
      </w:r>
    </w:p>
    <w:p w14:paraId="5C4CD040" w14:textId="77777777" w:rsidR="007E6D65" w:rsidRPr="007E6D65" w:rsidRDefault="007E6D65" w:rsidP="007E6D65">
      <w:pPr>
        <w:spacing w:after="0" w:line="240" w:lineRule="auto"/>
        <w:jc w:val="center"/>
        <w:rPr>
          <w:rFonts w:ascii="Garamond" w:hAnsi="Garamond" w:cs="Times New Roman"/>
          <w:b/>
          <w:sz w:val="20"/>
          <w:szCs w:val="20"/>
        </w:rPr>
      </w:pPr>
    </w:p>
    <w:p w14:paraId="401B15F6" w14:textId="77777777" w:rsidR="00EE658D" w:rsidRPr="007E6D65" w:rsidRDefault="00EE658D" w:rsidP="007E6D65">
      <w:pPr>
        <w:spacing w:after="0" w:line="240" w:lineRule="auto"/>
        <w:jc w:val="center"/>
        <w:rPr>
          <w:rFonts w:ascii="Garamond" w:hAnsi="Garamond" w:cs="Times New Roman"/>
          <w:b/>
          <w:sz w:val="20"/>
          <w:szCs w:val="20"/>
        </w:rPr>
      </w:pPr>
      <w:r w:rsidRPr="007E6D65">
        <w:rPr>
          <w:rFonts w:ascii="Garamond" w:hAnsi="Garamond" w:cs="Times New Roman"/>
          <w:b/>
          <w:sz w:val="20"/>
          <w:szCs w:val="20"/>
        </w:rPr>
        <w:t>Tabela 2</w:t>
      </w:r>
    </w:p>
    <w:p w14:paraId="6A264B17" w14:textId="77777777" w:rsidR="00EE658D" w:rsidRPr="007E6D65" w:rsidRDefault="00EE658D" w:rsidP="007E6D65">
      <w:pPr>
        <w:spacing w:after="0" w:line="240" w:lineRule="auto"/>
        <w:jc w:val="center"/>
        <w:rPr>
          <w:rFonts w:ascii="Garamond" w:hAnsi="Garamond" w:cs="Times New Roman"/>
          <w:sz w:val="20"/>
          <w:szCs w:val="20"/>
        </w:rPr>
      </w:pPr>
      <w:r w:rsidRPr="007E6D65">
        <w:rPr>
          <w:rFonts w:ascii="Garamond" w:hAnsi="Garamond" w:cs="Times New Roman"/>
          <w:noProof/>
          <w:sz w:val="20"/>
          <w:szCs w:val="20"/>
          <w:lang w:val="en-US"/>
        </w:rPr>
        <w:drawing>
          <wp:inline distT="0" distB="0" distL="0" distR="0" wp14:anchorId="0C71E4A0" wp14:editId="085C88F3">
            <wp:extent cx="8782050" cy="9652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47540" cy="983388"/>
                    </a:xfrm>
                    <a:prstGeom prst="rect">
                      <a:avLst/>
                    </a:prstGeom>
                    <a:noFill/>
                  </pic:spPr>
                </pic:pic>
              </a:graphicData>
            </a:graphic>
          </wp:inline>
        </w:drawing>
      </w:r>
    </w:p>
    <w:p w14:paraId="09DE01FE" w14:textId="77777777" w:rsidR="007E6D65" w:rsidRPr="007E6D65" w:rsidRDefault="007E6D65" w:rsidP="007E6D65">
      <w:pPr>
        <w:spacing w:after="0" w:line="240" w:lineRule="auto"/>
        <w:jc w:val="center"/>
        <w:rPr>
          <w:rFonts w:ascii="Garamond" w:hAnsi="Garamond" w:cs="Times New Roman"/>
          <w:b/>
          <w:sz w:val="20"/>
          <w:szCs w:val="20"/>
        </w:rPr>
      </w:pPr>
    </w:p>
    <w:p w14:paraId="5A1BB18E" w14:textId="77777777" w:rsidR="00EE658D" w:rsidRPr="007E6D65" w:rsidRDefault="00EE658D" w:rsidP="007E6D65">
      <w:pPr>
        <w:spacing w:after="0" w:line="240" w:lineRule="auto"/>
        <w:jc w:val="center"/>
        <w:rPr>
          <w:rFonts w:ascii="Garamond" w:hAnsi="Garamond" w:cs="Times New Roman"/>
          <w:b/>
          <w:sz w:val="20"/>
          <w:szCs w:val="20"/>
        </w:rPr>
      </w:pPr>
      <w:r w:rsidRPr="007E6D65">
        <w:rPr>
          <w:rFonts w:ascii="Garamond" w:hAnsi="Garamond" w:cs="Times New Roman"/>
          <w:b/>
          <w:sz w:val="20"/>
          <w:szCs w:val="20"/>
        </w:rPr>
        <w:t>Rregullimet nga rivlerësimi ose transaksionet financiare tremujore</w:t>
      </w:r>
    </w:p>
    <w:p w14:paraId="73778C9E" w14:textId="77777777" w:rsidR="00EE658D" w:rsidRPr="007E6D65" w:rsidRDefault="00EE658D" w:rsidP="007E6D65">
      <w:pPr>
        <w:spacing w:after="0" w:line="240" w:lineRule="auto"/>
        <w:jc w:val="center"/>
        <w:rPr>
          <w:rFonts w:ascii="Garamond" w:hAnsi="Garamond" w:cs="Times New Roman"/>
          <w:b/>
          <w:sz w:val="20"/>
          <w:szCs w:val="20"/>
        </w:rPr>
      </w:pPr>
      <w:r w:rsidRPr="007E6D65">
        <w:rPr>
          <w:rFonts w:ascii="Garamond" w:hAnsi="Garamond" w:cs="Times New Roman"/>
          <w:b/>
          <w:sz w:val="20"/>
          <w:szCs w:val="20"/>
        </w:rPr>
        <w:t>Tabela 3a</w:t>
      </w:r>
    </w:p>
    <w:p w14:paraId="4C5A8927" w14:textId="77777777" w:rsidR="00EE658D" w:rsidRPr="007E6D65" w:rsidRDefault="00EE658D" w:rsidP="007E6D65">
      <w:pPr>
        <w:spacing w:after="0" w:line="240" w:lineRule="auto"/>
        <w:jc w:val="center"/>
        <w:rPr>
          <w:rFonts w:ascii="Garamond" w:hAnsi="Garamond" w:cs="Times New Roman"/>
          <w:b/>
          <w:sz w:val="20"/>
          <w:szCs w:val="20"/>
        </w:rPr>
      </w:pPr>
      <w:r w:rsidRPr="007E6D65">
        <w:rPr>
          <w:rFonts w:ascii="Garamond" w:hAnsi="Garamond" w:cs="Times New Roman"/>
          <w:b/>
          <w:sz w:val="20"/>
          <w:szCs w:val="20"/>
        </w:rPr>
        <w:t>Mjetet</w:t>
      </w:r>
    </w:p>
    <w:tbl>
      <w:tblPr>
        <w:tblW w:w="5000" w:type="pct"/>
        <w:tblLook w:val="0000" w:firstRow="0" w:lastRow="0" w:firstColumn="0" w:lastColumn="0" w:noHBand="0" w:noVBand="0"/>
      </w:tblPr>
      <w:tblGrid>
        <w:gridCol w:w="1010"/>
        <w:gridCol w:w="3470"/>
        <w:gridCol w:w="935"/>
        <w:gridCol w:w="1392"/>
        <w:gridCol w:w="1474"/>
        <w:gridCol w:w="1474"/>
        <w:gridCol w:w="938"/>
        <w:gridCol w:w="1477"/>
        <w:gridCol w:w="2004"/>
      </w:tblGrid>
      <w:tr w:rsidR="004B6EA1" w:rsidRPr="007E6D65" w14:paraId="207A9F71" w14:textId="77777777" w:rsidTr="004B6EA1">
        <w:trPr>
          <w:trHeight w:val="36"/>
        </w:trPr>
        <w:tc>
          <w:tcPr>
            <w:tcW w:w="356" w:type="pct"/>
            <w:tcBorders>
              <w:top w:val="single" w:sz="12" w:space="0" w:color="000000"/>
              <w:left w:val="single" w:sz="12" w:space="0" w:color="000000"/>
              <w:bottom w:val="nil"/>
              <w:right w:val="nil"/>
            </w:tcBorders>
            <w:shd w:val="solid" w:color="FFFFFF" w:fill="auto"/>
          </w:tcPr>
          <w:p w14:paraId="484C6B78" w14:textId="77777777" w:rsidR="004B6EA1" w:rsidRPr="007E6D65" w:rsidRDefault="004B6EA1" w:rsidP="007E6D65">
            <w:pPr>
              <w:autoSpaceDE w:val="0"/>
              <w:autoSpaceDN w:val="0"/>
              <w:adjustRightInd w:val="0"/>
              <w:spacing w:after="0" w:line="240" w:lineRule="auto"/>
              <w:rPr>
                <w:rFonts w:ascii="Garamond" w:hAnsi="Garamond" w:cs="Inherit"/>
                <w:color w:val="000000"/>
                <w:sz w:val="20"/>
                <w:szCs w:val="20"/>
              </w:rPr>
            </w:pPr>
          </w:p>
        </w:tc>
        <w:tc>
          <w:tcPr>
            <w:tcW w:w="1224" w:type="pct"/>
            <w:tcBorders>
              <w:top w:val="single" w:sz="12" w:space="0" w:color="000000"/>
              <w:left w:val="nil"/>
              <w:bottom w:val="nil"/>
              <w:right w:val="single" w:sz="12" w:space="0" w:color="000000"/>
            </w:tcBorders>
            <w:shd w:val="solid" w:color="FFFFFF" w:fill="auto"/>
          </w:tcPr>
          <w:p w14:paraId="36C3AD51" w14:textId="77777777" w:rsidR="004B6EA1" w:rsidRPr="007E6D65" w:rsidRDefault="004B6EA1" w:rsidP="007E6D65">
            <w:pPr>
              <w:autoSpaceDE w:val="0"/>
              <w:autoSpaceDN w:val="0"/>
              <w:adjustRightInd w:val="0"/>
              <w:spacing w:after="0" w:line="240" w:lineRule="auto"/>
              <w:rPr>
                <w:rFonts w:ascii="Garamond" w:hAnsi="Garamond" w:cs="Inherit"/>
                <w:color w:val="000000"/>
                <w:sz w:val="20"/>
                <w:szCs w:val="20"/>
              </w:rPr>
            </w:pPr>
          </w:p>
        </w:tc>
        <w:tc>
          <w:tcPr>
            <w:tcW w:w="330" w:type="pct"/>
            <w:tcBorders>
              <w:top w:val="single" w:sz="12" w:space="0" w:color="000000"/>
              <w:left w:val="single" w:sz="12" w:space="0" w:color="000000"/>
              <w:bottom w:val="nil"/>
              <w:right w:val="single" w:sz="12" w:space="0" w:color="000000"/>
            </w:tcBorders>
            <w:shd w:val="solid" w:color="FFFFFF" w:fill="auto"/>
          </w:tcPr>
          <w:p w14:paraId="0BDCC449" w14:textId="77777777" w:rsidR="004B6EA1" w:rsidRPr="007E6D65" w:rsidRDefault="004B6EA1"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Total</w:t>
            </w:r>
          </w:p>
        </w:tc>
        <w:tc>
          <w:tcPr>
            <w:tcW w:w="491" w:type="pct"/>
            <w:tcBorders>
              <w:top w:val="single" w:sz="12" w:space="0" w:color="000000"/>
              <w:left w:val="single" w:sz="12" w:space="0" w:color="000000"/>
              <w:bottom w:val="single" w:sz="12" w:space="0" w:color="000000"/>
              <w:right w:val="nil"/>
            </w:tcBorders>
            <w:shd w:val="solid" w:color="FFFFFF" w:fill="auto"/>
          </w:tcPr>
          <w:p w14:paraId="2F62DF6A" w14:textId="77777777" w:rsidR="004B6EA1" w:rsidRPr="007E6D65" w:rsidRDefault="004B6EA1"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Eurozona</w:t>
            </w:r>
          </w:p>
        </w:tc>
        <w:tc>
          <w:tcPr>
            <w:tcW w:w="520" w:type="pct"/>
            <w:tcBorders>
              <w:top w:val="single" w:sz="12" w:space="0" w:color="000000"/>
              <w:left w:val="nil"/>
              <w:bottom w:val="single" w:sz="12" w:space="0" w:color="000000"/>
              <w:right w:val="nil"/>
            </w:tcBorders>
            <w:shd w:val="solid" w:color="FFFFFF" w:fill="auto"/>
          </w:tcPr>
          <w:p w14:paraId="7F21B680" w14:textId="77777777" w:rsidR="004B6EA1" w:rsidRPr="007E6D65" w:rsidRDefault="004B6EA1" w:rsidP="007E6D65">
            <w:pPr>
              <w:autoSpaceDE w:val="0"/>
              <w:autoSpaceDN w:val="0"/>
              <w:adjustRightInd w:val="0"/>
              <w:spacing w:after="0" w:line="240" w:lineRule="auto"/>
              <w:jc w:val="center"/>
              <w:rPr>
                <w:rFonts w:ascii="Garamond" w:hAnsi="Garamond" w:cs="Inherit"/>
                <w:b/>
                <w:bCs/>
                <w:color w:val="000000"/>
                <w:sz w:val="20"/>
                <w:szCs w:val="20"/>
              </w:rPr>
            </w:pPr>
          </w:p>
        </w:tc>
        <w:tc>
          <w:tcPr>
            <w:tcW w:w="520" w:type="pct"/>
            <w:tcBorders>
              <w:top w:val="single" w:sz="12" w:space="0" w:color="000000"/>
              <w:left w:val="nil"/>
              <w:bottom w:val="single" w:sz="12" w:space="0" w:color="000000"/>
              <w:right w:val="single" w:sz="12" w:space="0" w:color="000000"/>
            </w:tcBorders>
            <w:shd w:val="solid" w:color="FFFFFF" w:fill="auto"/>
          </w:tcPr>
          <w:p w14:paraId="4B635A44" w14:textId="77777777" w:rsidR="004B6EA1" w:rsidRPr="007E6D65" w:rsidRDefault="004B6EA1" w:rsidP="007E6D65">
            <w:pPr>
              <w:autoSpaceDE w:val="0"/>
              <w:autoSpaceDN w:val="0"/>
              <w:adjustRightInd w:val="0"/>
              <w:spacing w:after="0" w:line="240" w:lineRule="auto"/>
              <w:jc w:val="center"/>
              <w:rPr>
                <w:rFonts w:ascii="Garamond" w:hAnsi="Garamond" w:cs="Inherit"/>
                <w:b/>
                <w:bCs/>
                <w:color w:val="000000"/>
                <w:sz w:val="20"/>
                <w:szCs w:val="20"/>
              </w:rPr>
            </w:pPr>
          </w:p>
        </w:tc>
        <w:tc>
          <w:tcPr>
            <w:tcW w:w="852" w:type="pct"/>
            <w:gridSpan w:val="2"/>
            <w:tcBorders>
              <w:top w:val="single" w:sz="12" w:space="0" w:color="000000"/>
              <w:left w:val="single" w:sz="12" w:space="0" w:color="000000"/>
              <w:bottom w:val="single" w:sz="12" w:space="0" w:color="000000"/>
              <w:right w:val="nil"/>
            </w:tcBorders>
            <w:shd w:val="solid" w:color="FFFFFF" w:fill="auto"/>
          </w:tcPr>
          <w:p w14:paraId="0C81886A" w14:textId="4BC9FAB3" w:rsidR="004B6EA1" w:rsidRPr="007E6D65" w:rsidRDefault="004B6EA1"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Pjesa tjetër e botës</w:t>
            </w:r>
          </w:p>
        </w:tc>
        <w:tc>
          <w:tcPr>
            <w:tcW w:w="708" w:type="pct"/>
            <w:tcBorders>
              <w:top w:val="single" w:sz="12" w:space="0" w:color="000000"/>
              <w:left w:val="nil"/>
              <w:bottom w:val="single" w:sz="12" w:space="0" w:color="000000"/>
              <w:right w:val="single" w:sz="12" w:space="0" w:color="000000"/>
            </w:tcBorders>
            <w:shd w:val="solid" w:color="FFFFFF" w:fill="auto"/>
          </w:tcPr>
          <w:p w14:paraId="605B0FD1" w14:textId="77777777" w:rsidR="004B6EA1" w:rsidRPr="007E6D65" w:rsidRDefault="004B6EA1" w:rsidP="007E6D65">
            <w:pPr>
              <w:autoSpaceDE w:val="0"/>
              <w:autoSpaceDN w:val="0"/>
              <w:adjustRightInd w:val="0"/>
              <w:spacing w:after="0" w:line="240" w:lineRule="auto"/>
              <w:jc w:val="center"/>
              <w:rPr>
                <w:rFonts w:ascii="Garamond" w:hAnsi="Garamond" w:cs="Inherit"/>
                <w:b/>
                <w:bCs/>
                <w:color w:val="000000"/>
                <w:sz w:val="20"/>
                <w:szCs w:val="20"/>
              </w:rPr>
            </w:pPr>
          </w:p>
        </w:tc>
      </w:tr>
      <w:tr w:rsidR="00EE658D" w:rsidRPr="007E6D65" w14:paraId="4317002C" w14:textId="77777777" w:rsidTr="004B6EA1">
        <w:trPr>
          <w:trHeight w:val="739"/>
        </w:trPr>
        <w:tc>
          <w:tcPr>
            <w:tcW w:w="356" w:type="pct"/>
            <w:tcBorders>
              <w:top w:val="nil"/>
              <w:left w:val="single" w:sz="12" w:space="0" w:color="000000"/>
              <w:bottom w:val="nil"/>
              <w:right w:val="nil"/>
            </w:tcBorders>
            <w:shd w:val="solid" w:color="FFFFFF" w:fill="auto"/>
          </w:tcPr>
          <w:p w14:paraId="1B4375B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1224" w:type="pct"/>
            <w:tcBorders>
              <w:top w:val="nil"/>
              <w:left w:val="nil"/>
              <w:bottom w:val="nil"/>
              <w:right w:val="single" w:sz="12" w:space="0" w:color="000000"/>
            </w:tcBorders>
            <w:shd w:val="solid" w:color="FFFFFF" w:fill="auto"/>
          </w:tcPr>
          <w:p w14:paraId="0607A1C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0" w:type="pct"/>
            <w:tcBorders>
              <w:top w:val="nil"/>
              <w:left w:val="single" w:sz="12" w:space="0" w:color="000000"/>
              <w:bottom w:val="nil"/>
              <w:right w:val="single" w:sz="12" w:space="0" w:color="000000"/>
            </w:tcBorders>
            <w:shd w:val="solid" w:color="FFFFFF" w:fill="auto"/>
          </w:tcPr>
          <w:p w14:paraId="6DD64740"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491" w:type="pct"/>
            <w:tcBorders>
              <w:top w:val="single" w:sz="12" w:space="0" w:color="000000"/>
              <w:left w:val="single" w:sz="12" w:space="0" w:color="000000"/>
              <w:bottom w:val="nil"/>
              <w:right w:val="single" w:sz="12" w:space="0" w:color="000000"/>
            </w:tcBorders>
            <w:shd w:val="solid" w:color="FFFFFF" w:fill="auto"/>
          </w:tcPr>
          <w:p w14:paraId="50785B09"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Rezident</w:t>
            </w:r>
          </w:p>
        </w:tc>
        <w:tc>
          <w:tcPr>
            <w:tcW w:w="520" w:type="pct"/>
            <w:tcBorders>
              <w:top w:val="single" w:sz="12" w:space="0" w:color="000000"/>
              <w:left w:val="single" w:sz="12" w:space="0" w:color="000000"/>
              <w:bottom w:val="nil"/>
              <w:right w:val="single" w:sz="12" w:space="0" w:color="000000"/>
            </w:tcBorders>
            <w:shd w:val="solid" w:color="FFFFFF" w:fill="auto"/>
          </w:tcPr>
          <w:p w14:paraId="34493A9E"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 xml:space="preserve">Shtete anëtare të Eurozonës </w:t>
            </w:r>
          </w:p>
        </w:tc>
        <w:tc>
          <w:tcPr>
            <w:tcW w:w="520" w:type="pct"/>
            <w:tcBorders>
              <w:top w:val="single" w:sz="12" w:space="0" w:color="C0C0C0"/>
              <w:left w:val="single" w:sz="12" w:space="0" w:color="000000"/>
              <w:bottom w:val="nil"/>
              <w:right w:val="single" w:sz="12" w:space="0" w:color="000000"/>
            </w:tcBorders>
            <w:shd w:val="solid" w:color="FFFFFF" w:fill="auto"/>
          </w:tcPr>
          <w:p w14:paraId="785A8AC6"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 xml:space="preserve">Shtete anëtare të Eurozonës </w:t>
            </w:r>
          </w:p>
        </w:tc>
        <w:tc>
          <w:tcPr>
            <w:tcW w:w="331" w:type="pct"/>
            <w:tcBorders>
              <w:top w:val="single" w:sz="12" w:space="0" w:color="000000"/>
              <w:left w:val="single" w:sz="12" w:space="0" w:color="000000"/>
              <w:bottom w:val="nil"/>
              <w:right w:val="single" w:sz="12" w:space="0" w:color="000000"/>
            </w:tcBorders>
            <w:shd w:val="solid" w:color="FFFFFF" w:fill="auto"/>
          </w:tcPr>
          <w:p w14:paraId="448AC3CB"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Total</w:t>
            </w:r>
          </w:p>
        </w:tc>
        <w:tc>
          <w:tcPr>
            <w:tcW w:w="521" w:type="pct"/>
            <w:tcBorders>
              <w:top w:val="single" w:sz="12" w:space="0" w:color="C0C0C0"/>
              <w:left w:val="single" w:sz="12" w:space="0" w:color="000000"/>
              <w:bottom w:val="nil"/>
              <w:right w:val="single" w:sz="12" w:space="0" w:color="000000"/>
            </w:tcBorders>
            <w:shd w:val="solid" w:color="FFFFFF" w:fill="auto"/>
          </w:tcPr>
          <w:p w14:paraId="1A8611F3" w14:textId="51F7C506"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Shtete t</w:t>
            </w:r>
            <w:r w:rsidR="004B6EA1" w:rsidRPr="007E6D65">
              <w:rPr>
                <w:rFonts w:ascii="Garamond" w:hAnsi="Garamond" w:cs="Inherit"/>
                <w:b/>
                <w:bCs/>
                <w:color w:val="000000"/>
                <w:sz w:val="20"/>
                <w:szCs w:val="20"/>
              </w:rPr>
              <w:t>ë</w:t>
            </w:r>
            <w:r w:rsidRPr="007E6D65">
              <w:rPr>
                <w:rFonts w:ascii="Garamond" w:hAnsi="Garamond" w:cs="Inherit"/>
                <w:b/>
                <w:bCs/>
                <w:color w:val="000000"/>
                <w:sz w:val="20"/>
                <w:szCs w:val="20"/>
              </w:rPr>
              <w:t xml:space="preserve"> tjera anëtare</w:t>
            </w:r>
          </w:p>
        </w:tc>
        <w:tc>
          <w:tcPr>
            <w:tcW w:w="708" w:type="pct"/>
            <w:tcBorders>
              <w:top w:val="single" w:sz="12" w:space="0" w:color="C0C0C0"/>
              <w:left w:val="single" w:sz="12" w:space="0" w:color="000000"/>
              <w:bottom w:val="nil"/>
              <w:right w:val="single" w:sz="12" w:space="0" w:color="000000"/>
            </w:tcBorders>
            <w:shd w:val="solid" w:color="FFFFFF" w:fill="auto"/>
          </w:tcPr>
          <w:p w14:paraId="246B4A88"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Shtetet kryesore jashtë Bashkimit Evropian</w:t>
            </w:r>
          </w:p>
        </w:tc>
      </w:tr>
      <w:tr w:rsidR="00EE658D" w:rsidRPr="007E6D65" w14:paraId="08981C0F" w14:textId="77777777" w:rsidTr="004B6EA1">
        <w:trPr>
          <w:trHeight w:val="774"/>
        </w:trPr>
        <w:tc>
          <w:tcPr>
            <w:tcW w:w="356" w:type="pct"/>
            <w:tcBorders>
              <w:top w:val="nil"/>
              <w:left w:val="single" w:sz="12" w:space="0" w:color="000000"/>
              <w:bottom w:val="single" w:sz="12" w:space="0" w:color="000000"/>
              <w:right w:val="nil"/>
            </w:tcBorders>
            <w:shd w:val="solid" w:color="FFFFFF" w:fill="auto"/>
          </w:tcPr>
          <w:p w14:paraId="646E7DB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1224" w:type="pct"/>
            <w:tcBorders>
              <w:top w:val="nil"/>
              <w:left w:val="nil"/>
              <w:bottom w:val="single" w:sz="12" w:space="0" w:color="000000"/>
              <w:right w:val="single" w:sz="12" w:space="0" w:color="000000"/>
            </w:tcBorders>
            <w:shd w:val="solid" w:color="FFFFFF" w:fill="auto"/>
          </w:tcPr>
          <w:p w14:paraId="7DDA88C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0" w:type="pct"/>
            <w:tcBorders>
              <w:top w:val="nil"/>
              <w:left w:val="single" w:sz="12" w:space="0" w:color="000000"/>
              <w:bottom w:val="single" w:sz="12" w:space="0" w:color="000000"/>
              <w:right w:val="single" w:sz="12" w:space="0" w:color="000000"/>
            </w:tcBorders>
            <w:shd w:val="solid" w:color="FFFFFF" w:fill="auto"/>
          </w:tcPr>
          <w:p w14:paraId="43BD7728"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491" w:type="pct"/>
            <w:tcBorders>
              <w:top w:val="nil"/>
              <w:left w:val="single" w:sz="12" w:space="0" w:color="000000"/>
              <w:bottom w:val="single" w:sz="12" w:space="0" w:color="000000"/>
              <w:right w:val="single" w:sz="12" w:space="0" w:color="000000"/>
            </w:tcBorders>
            <w:shd w:val="solid" w:color="FFFFFF" w:fill="auto"/>
          </w:tcPr>
          <w:p w14:paraId="56911CF6"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520" w:type="pct"/>
            <w:tcBorders>
              <w:top w:val="nil"/>
              <w:left w:val="single" w:sz="12" w:space="0" w:color="000000"/>
              <w:bottom w:val="single" w:sz="12" w:space="0" w:color="000000"/>
              <w:right w:val="single" w:sz="12" w:space="0" w:color="000000"/>
            </w:tcBorders>
            <w:shd w:val="solid" w:color="FFFFFF" w:fill="auto"/>
          </w:tcPr>
          <w:p w14:paraId="1810E4A2"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p>
        </w:tc>
        <w:tc>
          <w:tcPr>
            <w:tcW w:w="851" w:type="pct"/>
            <w:gridSpan w:val="2"/>
            <w:tcBorders>
              <w:top w:val="nil"/>
              <w:left w:val="single" w:sz="12" w:space="0" w:color="000000"/>
              <w:bottom w:val="single" w:sz="12" w:space="0" w:color="000000"/>
              <w:right w:val="single" w:sz="12" w:space="0" w:color="000000"/>
            </w:tcBorders>
            <w:shd w:val="solid" w:color="FFFFFF" w:fill="auto"/>
          </w:tcPr>
          <w:p w14:paraId="5B1FD778"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(informacion sipas shteteve)</w:t>
            </w:r>
          </w:p>
        </w:tc>
        <w:tc>
          <w:tcPr>
            <w:tcW w:w="521" w:type="pct"/>
            <w:tcBorders>
              <w:top w:val="nil"/>
              <w:left w:val="single" w:sz="12" w:space="0" w:color="000000"/>
              <w:bottom w:val="single" w:sz="12" w:space="0" w:color="000000"/>
              <w:right w:val="single" w:sz="12" w:space="0" w:color="000000"/>
            </w:tcBorders>
            <w:shd w:val="solid" w:color="FFFFFF" w:fill="auto"/>
          </w:tcPr>
          <w:p w14:paraId="6F99EE68"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(informacion sipas shteteve)</w:t>
            </w:r>
          </w:p>
        </w:tc>
        <w:tc>
          <w:tcPr>
            <w:tcW w:w="708" w:type="pct"/>
            <w:tcBorders>
              <w:top w:val="nil"/>
              <w:left w:val="single" w:sz="12" w:space="0" w:color="000000"/>
              <w:bottom w:val="single" w:sz="12" w:space="0" w:color="000000"/>
              <w:right w:val="single" w:sz="12" w:space="0" w:color="000000"/>
            </w:tcBorders>
            <w:shd w:val="solid" w:color="FFFFFF" w:fill="auto"/>
          </w:tcPr>
          <w:p w14:paraId="7F5C077C"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(informacion sipas shteteve për Brazil, Kanada, Kinë, Hong Kong, Indi, Japoni, Rusi, Zvicër, USA)</w:t>
            </w:r>
          </w:p>
        </w:tc>
      </w:tr>
      <w:tr w:rsidR="00EE658D" w:rsidRPr="007E6D65" w14:paraId="1570D51F" w14:textId="77777777" w:rsidTr="00D43BD6">
        <w:trPr>
          <w:trHeight w:val="36"/>
        </w:trPr>
        <w:tc>
          <w:tcPr>
            <w:tcW w:w="5000" w:type="pct"/>
            <w:gridSpan w:val="9"/>
            <w:tcBorders>
              <w:top w:val="single" w:sz="12" w:space="0" w:color="000000"/>
              <w:left w:val="single" w:sz="12" w:space="0" w:color="000000"/>
              <w:bottom w:val="single" w:sz="12" w:space="0" w:color="C0C0C0"/>
              <w:right w:val="single" w:sz="12" w:space="0" w:color="000000"/>
            </w:tcBorders>
            <w:shd w:val="solid" w:color="FFFFFF" w:fill="auto"/>
          </w:tcPr>
          <w:p w14:paraId="4E79103D" w14:textId="77777777" w:rsidR="00EE658D" w:rsidRPr="007E6D65" w:rsidRDefault="00EE658D" w:rsidP="007E6D65">
            <w:pPr>
              <w:autoSpaceDE w:val="0"/>
              <w:autoSpaceDN w:val="0"/>
              <w:adjustRightInd w:val="0"/>
              <w:spacing w:after="0" w:line="240" w:lineRule="auto"/>
              <w:jc w:val="center"/>
              <w:rPr>
                <w:rFonts w:ascii="Garamond" w:hAnsi="Garamond" w:cs="Inherit"/>
                <w:b/>
                <w:bCs/>
                <w:color w:val="000000"/>
                <w:sz w:val="20"/>
                <w:szCs w:val="20"/>
              </w:rPr>
            </w:pPr>
            <w:r w:rsidRPr="007E6D65">
              <w:rPr>
                <w:rFonts w:ascii="Garamond" w:hAnsi="Garamond" w:cs="Inherit"/>
                <w:b/>
                <w:bCs/>
                <w:color w:val="000000"/>
                <w:sz w:val="20"/>
                <w:szCs w:val="20"/>
              </w:rPr>
              <w:t>Mjetet</w:t>
            </w:r>
          </w:p>
        </w:tc>
      </w:tr>
      <w:tr w:rsidR="00D43BD6" w:rsidRPr="007E6D65" w14:paraId="177FD06C"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119D967D" w14:textId="096E2054" w:rsidR="00D43BD6" w:rsidRPr="00D43BD6" w:rsidRDefault="00D43BD6"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1</w:t>
            </w:r>
            <w:r>
              <w:rPr>
                <w:rFonts w:ascii="Garamond" w:hAnsi="Garamond" w:cs="Inherit"/>
                <w:color w:val="000000"/>
                <w:sz w:val="20"/>
                <w:szCs w:val="20"/>
              </w:rPr>
              <w:t xml:space="preserve">. </w:t>
            </w:r>
            <w:r w:rsidRPr="007E6D65">
              <w:rPr>
                <w:rFonts w:ascii="Garamond" w:hAnsi="Garamond" w:cs="Inherit"/>
                <w:b/>
                <w:bCs/>
                <w:color w:val="000000"/>
                <w:sz w:val="20"/>
                <w:szCs w:val="20"/>
              </w:rPr>
              <w:t>Monedha dhe depozita</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5A304DC" w14:textId="77777777" w:rsidR="00D43BD6" w:rsidRPr="007E6D65" w:rsidRDefault="00D43BD6"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9FE68C1" w14:textId="77777777" w:rsidR="00D43BD6" w:rsidRPr="007E6D65" w:rsidRDefault="00D43BD6"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0057F1D" w14:textId="77777777" w:rsidR="00D43BD6" w:rsidRPr="007E6D65" w:rsidRDefault="00D43BD6"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DEA74EC"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6943F1A" w14:textId="77777777" w:rsidR="00D43BD6" w:rsidRPr="007E6D65" w:rsidRDefault="00D43BD6" w:rsidP="007E6D65">
            <w:pPr>
              <w:autoSpaceDE w:val="0"/>
              <w:autoSpaceDN w:val="0"/>
              <w:adjustRightInd w:val="0"/>
              <w:spacing w:after="0" w:line="240" w:lineRule="auto"/>
              <w:rPr>
                <w:rFonts w:ascii="Garamond" w:hAnsi="Garamond" w:cs="Inherit"/>
                <w:b/>
                <w:bCs/>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0459938"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913CBD7"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r>
      <w:tr w:rsidR="00D43BD6" w:rsidRPr="007E6D65" w14:paraId="5546E575"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1135FA6" w14:textId="1C99313F"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deri në 1 vit (maturitet i mbetur)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F492EE9" w14:textId="77777777" w:rsidR="00D43BD6" w:rsidRPr="007E6D65" w:rsidRDefault="00D43BD6"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5995EAF"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7D248B2"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93BCECC"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667944F2"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556D3C6"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F07474A"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r>
      <w:tr w:rsidR="00D43BD6" w:rsidRPr="007E6D65" w14:paraId="7A678D22"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E30EB3B" w14:textId="7FD1EDAC"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mbi 1 vit (maturitet i mbetur)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5BCEF27" w14:textId="77777777" w:rsidR="00D43BD6" w:rsidRPr="007E6D65" w:rsidRDefault="00D43BD6"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C2F9843"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8F12E29"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784C358"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B46E8BF"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6A5BE929"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30CBACF" w14:textId="77777777" w:rsidR="00D43BD6" w:rsidRPr="007E6D65" w:rsidRDefault="00D43BD6"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64F3E964" w14:textId="77777777" w:rsidTr="004B6EA1">
        <w:trPr>
          <w:trHeight w:val="36"/>
        </w:trPr>
        <w:tc>
          <w:tcPr>
            <w:tcW w:w="2401" w:type="pct"/>
            <w:gridSpan w:val="4"/>
            <w:tcBorders>
              <w:top w:val="single" w:sz="12" w:space="0" w:color="C0C0C0"/>
              <w:left w:val="single" w:sz="12" w:space="0" w:color="000000"/>
              <w:bottom w:val="single" w:sz="12" w:space="0" w:color="000000"/>
              <w:right w:val="single" w:sz="12" w:space="0" w:color="000000"/>
            </w:tcBorders>
            <w:shd w:val="solid" w:color="FFFFFF" w:fill="auto"/>
          </w:tcPr>
          <w:p w14:paraId="611BCCCC" w14:textId="1BBF8D92" w:rsidR="00AD5AFE" w:rsidRPr="00D43BD6" w:rsidRDefault="00AD5AFE" w:rsidP="00D43BD6">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1x.</w:t>
            </w:r>
            <w:r w:rsidR="00D43BD6">
              <w:rPr>
                <w:rFonts w:ascii="Garamond" w:hAnsi="Garamond" w:cs="Inherit"/>
                <w:color w:val="000000"/>
                <w:sz w:val="20"/>
                <w:szCs w:val="20"/>
              </w:rPr>
              <w:t xml:space="preserve"> </w:t>
            </w:r>
            <w:r w:rsidRPr="007E6D65">
              <w:rPr>
                <w:rFonts w:ascii="Garamond" w:hAnsi="Garamond" w:cs="Inherit"/>
                <w:b/>
                <w:bCs/>
                <w:color w:val="000000"/>
                <w:sz w:val="20"/>
                <w:szCs w:val="20"/>
              </w:rPr>
              <w:t xml:space="preserve">Monedha dhe </w:t>
            </w:r>
            <w:r w:rsidR="00D43BD6">
              <w:rPr>
                <w:rFonts w:ascii="Garamond" w:hAnsi="Garamond" w:cs="Inherit"/>
                <w:b/>
                <w:bCs/>
                <w:color w:val="000000"/>
                <w:sz w:val="20"/>
                <w:szCs w:val="20"/>
              </w:rPr>
              <w:t>d</w:t>
            </w:r>
            <w:r w:rsidRPr="007E6D65">
              <w:rPr>
                <w:rFonts w:ascii="Garamond" w:hAnsi="Garamond" w:cs="Inherit"/>
                <w:b/>
                <w:bCs/>
                <w:color w:val="000000"/>
                <w:sz w:val="20"/>
                <w:szCs w:val="20"/>
              </w:rPr>
              <w:t>epozitat nga të cilat depozita të transferueshme</w:t>
            </w: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28C9CC8"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76762FF"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44DAF47"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349EAB8"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5BE69F7"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0DCA3379"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47D3603E" w14:textId="1FC8DE6C" w:rsidR="00AD5AFE" w:rsidRPr="00AD5AFE" w:rsidRDefault="00AD5AFE" w:rsidP="00AD5AFE">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1</w:t>
            </w:r>
            <w:r>
              <w:rPr>
                <w:rFonts w:ascii="Garamond" w:hAnsi="Garamond" w:cs="Inherit"/>
                <w:color w:val="000000"/>
                <w:sz w:val="20"/>
                <w:szCs w:val="20"/>
              </w:rPr>
              <w:t xml:space="preserve">. </w:t>
            </w:r>
            <w:r w:rsidRPr="007E6D65">
              <w:rPr>
                <w:rFonts w:ascii="Garamond" w:hAnsi="Garamond" w:cs="Inherit"/>
                <w:b/>
                <w:bCs/>
                <w:color w:val="000000"/>
                <w:sz w:val="20"/>
                <w:szCs w:val="20"/>
              </w:rPr>
              <w:t xml:space="preserve">Monedha dhe </w:t>
            </w:r>
            <w:r>
              <w:rPr>
                <w:rFonts w:ascii="Garamond" w:hAnsi="Garamond" w:cs="Inherit"/>
                <w:b/>
                <w:bCs/>
                <w:color w:val="000000"/>
                <w:sz w:val="20"/>
                <w:szCs w:val="20"/>
              </w:rPr>
              <w:t>d</w:t>
            </w:r>
            <w:r w:rsidRPr="007E6D65">
              <w:rPr>
                <w:rFonts w:ascii="Garamond" w:hAnsi="Garamond" w:cs="Inherit"/>
                <w:b/>
                <w:bCs/>
                <w:color w:val="000000"/>
                <w:sz w:val="20"/>
                <w:szCs w:val="20"/>
              </w:rPr>
              <w:t xml:space="preserve">epozitat </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3201466"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0BB59C8"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E70277F"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FA804CE"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BCD5297"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EE63928"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12B8640"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5ED62C08"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32747332" w14:textId="2E53DE31" w:rsidR="00AD5AFE" w:rsidRPr="00AD5AFE"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2</w:t>
            </w:r>
            <w:r>
              <w:rPr>
                <w:rFonts w:ascii="Garamond" w:hAnsi="Garamond" w:cs="Inherit"/>
                <w:color w:val="000000"/>
                <w:sz w:val="20"/>
                <w:szCs w:val="20"/>
              </w:rPr>
              <w:t xml:space="preserve">. </w:t>
            </w:r>
            <w:r w:rsidRPr="007E6D65">
              <w:rPr>
                <w:rFonts w:ascii="Garamond" w:hAnsi="Garamond" w:cs="Inherit"/>
                <w:b/>
                <w:bCs/>
                <w:color w:val="000000"/>
                <w:sz w:val="20"/>
                <w:szCs w:val="20"/>
              </w:rPr>
              <w:t>Tituj të borxhit</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8740634"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61EC5D7"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598B7D9"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ED1EB80"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6448E73"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F19C2D9"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A54B5FB"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E012AC8"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964248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1DAC91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160E346"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CFBDA8F"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4FC699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26C27F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A46F61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F5BC0D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3AC25B69"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32B3BD1" w14:textId="699448A6"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2CA270F5"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ED42B0A"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C840CC7"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0EB08BB"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63BAD0FD"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0F058B3"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F8775E2"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82E8AD8"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D398BC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3B554A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E7E2778"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8BD1064"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82AB87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9F2F1B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830B0F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F0183E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3FF0ED93"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71E5821" w14:textId="138F2080"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lastRenderedPageBreak/>
              <w:t>emetuar nga korporata sigurimi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227E540"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1F927403"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0794D90"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8A1692C"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34CB159"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03C808A"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C1C2CD6"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05C88672"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C1F791E" w14:textId="2654BB2F"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2E7639BC"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8919FDE"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5AEAE76"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967C228"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C90317B"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2C6F0F6"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516C676"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F5A117D"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8DA745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FAE1EE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5E4299C"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D1D073D"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DAB602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294FD2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8C0AF8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31B09F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F7ABBFE" w14:textId="77777777" w:rsidTr="004B6EA1">
        <w:trPr>
          <w:trHeight w:val="36"/>
        </w:trPr>
        <w:tc>
          <w:tcPr>
            <w:tcW w:w="1910"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2D5DAA3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D572C6F"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4508A39"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0D375C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B59977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715E57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E0FCEB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051DCCC8"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2EEC842" w14:textId="52085443"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deri në 1 vit (maturitet i mbetur)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D85794B"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48B32FA"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B2F56B1"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21DB525"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8BB1533"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C290750"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D0A7456"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19F8F60"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345B75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0497AEF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A21220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42486D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855EDC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390A98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6FC3F0D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AFB314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3C511D46"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D297234" w14:textId="5F80F5BA"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A0F0F8F"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ED497A5"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CCA85B5"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07858C2"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3F1C272"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CBD838E"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D6CA70B"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3BB6BDC"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EDCDCD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4A104EB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EA78D1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CDC1B9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31C773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615FAE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4484BA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48B6C0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377FA4C5"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507280A" w14:textId="0A07CC42"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E97B376"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1CCCC00A"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5EFF102"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0FDCE78"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3E68511"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6D8BD535"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87F5229"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31E480A3"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C9968F6" w14:textId="17C706CF"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45CA5F1"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1570312"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21D67F7"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D2A1878"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2F9793E"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7ACE8E3"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0F6F0A22"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CBCFF42"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627AF3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B7A1EE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6FFA3A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8356E6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4D8EBF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0E0287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27CFB4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FC0A66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BE58451" w14:textId="77777777" w:rsidTr="004B6EA1">
        <w:trPr>
          <w:trHeight w:val="36"/>
        </w:trPr>
        <w:tc>
          <w:tcPr>
            <w:tcW w:w="1910"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69995D2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B9729E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130995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0770DB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6257373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6EF441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413851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3F1FE34F"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1278F6F" w14:textId="303428BC"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1-2 vjet (maturitet fillestar)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25B65A43"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FB17403"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5BC6F5B"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908CEDA"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1F43E0B"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1FCCBFE"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A2A9842"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7562A4D"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560248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466AFF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279EE9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AC3492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0DB759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E3B738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9CAFE8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B93FCC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1D562A94"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6859832" w14:textId="693B0161"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E2C739C"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A5BD90D"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0A2961A"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86516C6"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9276DA9"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8A6F463"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7FA6DE1"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61D4FEF1"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DAC417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24573F1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21BB07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B4E9D8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1FE100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AB970B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725578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E9C6B8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5D644774"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256B6BE" w14:textId="794710BC"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3AD682B"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E822EF6"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3505814"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C4FC066"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A94C753"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8AF6C75"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CE08BE9"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403273DE"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9780170" w14:textId="751FEA9B"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BDC07EC"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328A13A"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8BE2CA0"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2C2C7F3"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257D763E"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92DEE81"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223BDBA"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7E76D4B7"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A93E9A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4778B6D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D0B2EE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112EA6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DB7116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323D87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1350A1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AD1675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791CB5C" w14:textId="77777777" w:rsidTr="004B6EA1">
        <w:trPr>
          <w:trHeight w:val="36"/>
        </w:trPr>
        <w:tc>
          <w:tcPr>
            <w:tcW w:w="1910"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2FCB60F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853167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6923C1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318C65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687D5B4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C23C00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28AF2C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3ABB3E7C"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3BA5A14" w14:textId="493CD0FB"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mbi 2 vjet (maturitet fillestar)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F1E82DC"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08F2AB5"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F663419"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EE994D4"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1FF324D"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6399109"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097DD0AD"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464D2B0E"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C58F96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C63F26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1563B8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437283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30E0B2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CCF0D8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E476BA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4FAD86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3F38D051"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964114F" w14:textId="035277C8"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EF8F032"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F23889A"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13C5F00"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41561EF"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35AECFD"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2424D3F"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49A5196"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C4231EF"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19C91B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E8DD3B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20112D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E3BA56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1464E1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212DCB9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4E89C3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1ABE294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05B989F1"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ADABB24" w14:textId="303336EE"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44A14F7"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9132D1B"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FB65BDE"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1EF458B"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34B9C91"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6C253EC"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81A5847"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65E888F2"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AB29B70" w14:textId="1BC046AD"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101FEB6"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49582F5"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6CDA7A1"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AA48EEC"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60BDFDB"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097B285"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6A8699D"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7DA51F56"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4DA8EB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FA2FF4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B27B14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CC938C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E93FC6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E474B5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0224AE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EA07B4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0970FA6" w14:textId="77777777" w:rsidTr="004B6EA1">
        <w:trPr>
          <w:trHeight w:val="36"/>
        </w:trPr>
        <w:tc>
          <w:tcPr>
            <w:tcW w:w="1910"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42B0255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A94970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172B20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82458F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574B0F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8B62CB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FDEC77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503EE077"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FA62F64" w14:textId="4635563F"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deri në 1 vit (maturitet i mbetur)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574D23C"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1DB24FDE"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CAECC17"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8D88365"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653588E3"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1D16C71"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A3A0E2E"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6152D51D"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736025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0E044D3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6125A9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92A547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7F7D5A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9CCB29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CEB86B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029D22F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678868B7"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AB48B2D" w14:textId="70B02983"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B4C2F4F"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4BFF48B"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315424D"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19D5A98"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2CA92BCC"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101FBE3"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42917F1"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C1EDB20"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726318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lastRenderedPageBreak/>
              <w:t>emetuar nga ndërmjetës të tjerë financiar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0F4734A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9BCBDD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8CCD28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4B4651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79644F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ADFD6D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84221F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52ACC839"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E5C1D02" w14:textId="200255F9"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ED1B09D"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D715D8A"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11E3D31"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01E5446"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693C23D"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D8FA2EF"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A6A7F92"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36683BB7"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1BF5522" w14:textId="7B3AADA8"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431CE65"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5C7D8BF"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ED31259"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27396A7"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76778F5"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7982540"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2D9BE59"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443BBA95"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7C7BE1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24D42D5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ADBD97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F327DE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F15C2E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0E27DD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C02993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ABCB36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2EFB10D" w14:textId="77777777" w:rsidTr="004B6EA1">
        <w:trPr>
          <w:trHeight w:val="36"/>
        </w:trPr>
        <w:tc>
          <w:tcPr>
            <w:tcW w:w="1910"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4271AE2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1E323D8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86FEC9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8D52B2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4E6965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D2299D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0375A2B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39A3145A"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4F4379F" w14:textId="7FD8836F"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1-2 vjet (maturitet i mbetur)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806B017"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39E60AF"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DEFFCDB" w14:textId="77777777" w:rsidR="00AD5AFE" w:rsidRPr="007E6D65" w:rsidRDefault="00AD5AF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AC42AE3"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22AE0B53"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9F54639"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193AEBC"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0C59C4E"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050810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B73F76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AE7649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A0BC36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0546DF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20B2F8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22B8B4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0B8C4F2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15B13531"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9DE98C2" w14:textId="707A65E0"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0B96FA49"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A0C71A6"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A70D0D0"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507776F"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2A7D95D2"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EE9717B"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CB34D81"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4211FD8C"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A525EC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50B118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4AC069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686931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3C4F1C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57D44C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1C4511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367040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673A3CD3"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54B5F49" w14:textId="1F8CD563"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793644A"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C7B2C86"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C67C8A6"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4897C71"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977E9E0"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853DC4A"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436D947"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AD5AFE" w:rsidRPr="007E6D65" w14:paraId="5ED0C87E"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874A9E2" w14:textId="4C4D83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EA63DC2"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A9C2294"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2E75F35"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13C4D1E"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1676212"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62A3524"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0C456F70" w14:textId="77777777" w:rsidR="00AD5AFE" w:rsidRPr="007E6D65" w:rsidRDefault="00AD5AF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665E98C7"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AA87B7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C94669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430355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87C763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9D0341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36AFF7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AD853E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817713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7A5B3FB8" w14:textId="77777777" w:rsidTr="004B6EA1">
        <w:trPr>
          <w:trHeight w:val="36"/>
        </w:trPr>
        <w:tc>
          <w:tcPr>
            <w:tcW w:w="1910"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5617EFA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F526A1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7BD78B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ACD7F9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8A3AB2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9E9C9F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8F5D78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C64FD3" w:rsidRPr="007E6D65" w14:paraId="1E3F65A1"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D80AACB" w14:textId="3BC27E70" w:rsidR="00C64FD3" w:rsidRPr="007E6D65" w:rsidRDefault="00C64FD3"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2-5 vjet (maturitet i mbetur)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C251A64" w14:textId="77777777" w:rsidR="00C64FD3" w:rsidRPr="007E6D65" w:rsidRDefault="00C64FD3"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67256DB" w14:textId="77777777" w:rsidR="00C64FD3" w:rsidRPr="007E6D65" w:rsidRDefault="00C64FD3"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B7AD205" w14:textId="77777777" w:rsidR="00C64FD3" w:rsidRPr="007E6D65" w:rsidRDefault="00C64FD3"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1D7E814"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22EF0E13"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7FBBB54"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1F4E69D9"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7F274912"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12A830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6F10CC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8838CA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9B7B29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74C2A0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FF5CF3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41C894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5CAC65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C64FD3" w:rsidRPr="007E6D65" w14:paraId="37EFA3E5"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3313853" w14:textId="40B5F629"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24A7B8D"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E72C14A"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36E1164"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09E1D8A"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2CE02CD9"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F254205"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36294B4"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3958F40B"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F6F4E3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C19C0B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3033A2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DDB700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666297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851A16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EA9F13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896B98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C64FD3" w:rsidRPr="007E6D65" w14:paraId="5CADB37A"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6F5C704" w14:textId="3FD0ED10"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2DE0B980"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1391D32"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721DBC3"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8F87E16"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009FF50"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A947A6D"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1D2983B0"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r>
      <w:tr w:rsidR="00C64FD3" w:rsidRPr="007E6D65" w14:paraId="368F1C3E"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75DA8DF" w14:textId="76C349E3"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4F244834"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DF2E0E3"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9AA30D2"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11F9F4A"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52E99CC"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7CEFEA0"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B0B2B76"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3A03AA0E"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B3B503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C64FD3">
              <w:rPr>
                <w:rFonts w:ascii="Garamond" w:hAnsi="Garamond" w:cs="Inherit"/>
                <w:color w:val="000000"/>
                <w:sz w:val="20"/>
                <w:szCs w:val="20"/>
              </w:rPr>
              <w:t>emetuar nga korporata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D8111B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B917B1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72CD50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DF4A70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DB8E10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89DC4C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793BE9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330944A5" w14:textId="77777777" w:rsidTr="004B6EA1">
        <w:trPr>
          <w:trHeight w:val="492"/>
        </w:trPr>
        <w:tc>
          <w:tcPr>
            <w:tcW w:w="1910"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399FB6F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F3A564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C0CBF0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00861B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6C99162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7F38EE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5BD87A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C64FD3" w:rsidRPr="007E6D65" w14:paraId="556DB670"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CF04570" w14:textId="0A6761CD" w:rsidR="00C64FD3" w:rsidRPr="007E6D65" w:rsidRDefault="00C64FD3"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Mbi 5 vjet (maturitet i mbetur)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8A4B195" w14:textId="77777777" w:rsidR="00C64FD3" w:rsidRPr="007E6D65" w:rsidRDefault="00C64FD3"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13D5715" w14:textId="77777777" w:rsidR="00C64FD3" w:rsidRPr="007E6D65" w:rsidRDefault="00C64FD3"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9426BB7" w14:textId="77777777" w:rsidR="00C64FD3" w:rsidRPr="007E6D65" w:rsidRDefault="00C64FD3"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42B0FF7"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3105CD2"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5C5BDAE"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E0A8A6F"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D1F14DF"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CFCD90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B1EC26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615A43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748C86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E3D517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16B1C9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534CF4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601C63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C64FD3" w:rsidRPr="007E6D65" w14:paraId="2473D659"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F7EFB93" w14:textId="6AF2265E"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585FA4A"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FDFB216"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3BFE197"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33E3168"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3FA0434"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97FF2D2"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C93280A"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4C3BB6B"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AF2D3D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20B57D1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D8DA4D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DFA232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024BE8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CAE360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25AB2F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C903EB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C64FD3" w:rsidRPr="007E6D65" w14:paraId="1249049D"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E7F6C5C" w14:textId="09DCAE7A"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96D003A"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5AEA62E"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82A2F50"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56612E4"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7EF6E00"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75BC02D"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15E877CF"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r>
      <w:tr w:rsidR="00C64FD3" w:rsidRPr="007E6D65" w14:paraId="10E9072F"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63F1400" w14:textId="0C148F6F"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0CEEF3CF"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60BFB54"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4B5A905"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822070C"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2C753638"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7ADDA89"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3A58B97" w14:textId="77777777" w:rsidR="00C64FD3" w:rsidRPr="007E6D65" w:rsidRDefault="00C64FD3"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B1A200F"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6C55C0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C6977F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52B909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356357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D4CE1F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985266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4202D3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17470D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44583379" w14:textId="77777777" w:rsidTr="004B6EA1">
        <w:trPr>
          <w:trHeight w:val="36"/>
        </w:trPr>
        <w:tc>
          <w:tcPr>
            <w:tcW w:w="1910"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044C902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individë dhe institucionet jo me qëllim fitimi që u shërbejnë individëve</w:t>
            </w: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843048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E12940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9C4AAB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8D67C8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7745B0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5D4EB6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312CD131"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642AEB8B" w14:textId="63104B08" w:rsidR="006D004F" w:rsidRPr="007E6D65" w:rsidRDefault="006D004F" w:rsidP="006D004F">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color w:val="000000"/>
                <w:sz w:val="20"/>
                <w:szCs w:val="20"/>
              </w:rPr>
              <w:t>3</w:t>
            </w:r>
            <w:r>
              <w:rPr>
                <w:rFonts w:ascii="Garamond" w:hAnsi="Garamond" w:cs="Inherit"/>
                <w:color w:val="000000"/>
                <w:sz w:val="20"/>
                <w:szCs w:val="20"/>
              </w:rPr>
              <w:t xml:space="preserve">. </w:t>
            </w:r>
            <w:r w:rsidRPr="007E6D65">
              <w:rPr>
                <w:rFonts w:ascii="Garamond" w:hAnsi="Garamond" w:cs="Inherit"/>
                <w:b/>
                <w:bCs/>
                <w:color w:val="000000"/>
                <w:sz w:val="20"/>
                <w:szCs w:val="20"/>
              </w:rPr>
              <w:t xml:space="preserve">Huat </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D9B2DA1" w14:textId="77777777" w:rsidR="006D004F" w:rsidRPr="007E6D65" w:rsidRDefault="006D004F"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532562D" w14:textId="77777777" w:rsidR="006D004F" w:rsidRPr="007E6D65" w:rsidRDefault="006D004F"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720CA47" w14:textId="77777777" w:rsidR="006D004F" w:rsidRPr="007E6D65" w:rsidRDefault="006D004F"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FFCB5AC"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CD263F1" w14:textId="77777777" w:rsidR="006D004F" w:rsidRPr="007E6D65" w:rsidRDefault="006D004F" w:rsidP="007E6D65">
            <w:pPr>
              <w:autoSpaceDE w:val="0"/>
              <w:autoSpaceDN w:val="0"/>
              <w:adjustRightInd w:val="0"/>
              <w:spacing w:after="0" w:line="240" w:lineRule="auto"/>
              <w:rPr>
                <w:rFonts w:ascii="Garamond" w:hAnsi="Garamond" w:cs="Inherit"/>
                <w:b/>
                <w:bCs/>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E511A4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86AB849"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398FB1A9"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E4A78C7" w14:textId="78E5E4A4" w:rsidR="006D004F" w:rsidRPr="007E6D65" w:rsidRDefault="006D004F"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 xml:space="preserve">maturitet fillestar deri në 1 vit </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A081620" w14:textId="77777777" w:rsidR="006D004F" w:rsidRPr="007E6D65" w:rsidRDefault="006D004F"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345AD6F" w14:textId="77777777" w:rsidR="006D004F" w:rsidRPr="007E6D65" w:rsidRDefault="006D004F"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31B2CB4" w14:textId="77777777" w:rsidR="006D004F" w:rsidRPr="007E6D65" w:rsidRDefault="006D004F"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48EC3C4"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3F926E5"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856003A"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6536D2A"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7B260A48" w14:textId="77777777" w:rsidTr="004B6EA1">
        <w:trPr>
          <w:trHeight w:val="36"/>
        </w:trPr>
        <w:tc>
          <w:tcPr>
            <w:tcW w:w="1910" w:type="pct"/>
            <w:gridSpan w:val="3"/>
            <w:tcBorders>
              <w:top w:val="single" w:sz="12" w:space="0" w:color="000000"/>
              <w:left w:val="single" w:sz="12" w:space="0" w:color="000000"/>
              <w:bottom w:val="single" w:sz="12" w:space="0" w:color="000000"/>
              <w:right w:val="single" w:sz="12" w:space="0" w:color="000000"/>
            </w:tcBorders>
            <w:shd w:val="solid" w:color="FFFFFF" w:fill="auto"/>
          </w:tcPr>
          <w:p w14:paraId="799E786D" w14:textId="71F2BCD2"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lastRenderedPageBreak/>
              <w:t>për institucione monetare financiare</w:t>
            </w: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F7EE901"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2BDAB7F"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16902B3"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4996585"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BD866A6"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7E6C525"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6759C4F7"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89E844A" w14:textId="1A556ECC"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qeveri e përgjithshme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445D117"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57340C2"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18857C6"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69C262A"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6F70EDE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A6480A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CA9561F"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7D313B5B"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F2DA6D0" w14:textId="32A5AB24"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fonde investimi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565228C"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3EB3C68"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2796309"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5D9107C"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35A3214"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63FD241"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971C8C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647D03BC"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3123029" w14:textId="1B5692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ndërmjetës të tjerë financiar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BCE4200"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2C6E12C"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2B959C2"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BB53C39"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62D41AE4"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E1881E7"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0D3C7C66"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423AF281"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F2A2EA6" w14:textId="181CA44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korporata sigurimi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04C9948"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5A1261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24000E5"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C6F53A5"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5E89D8E"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7F14EC3"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F678A8B"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05878EC2"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D6B1C69" w14:textId="745A5790"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fonde pensioni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212DC3A2"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3B6EF5F"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C0A0154"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6E1CA0F"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F11736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B85C523"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5E88D75"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35D6DAFF"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B6FFF57" w14:textId="52DEFFDA"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korporata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2A36241"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0FD338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CAF7D30"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36299E3"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28B6989F"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009C8AF"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1264888A"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E2FDFC8" w14:textId="77777777" w:rsidTr="004B6EA1">
        <w:trPr>
          <w:trHeight w:val="305"/>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E9C270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individë dhe institucionet jo me qëllim fitimi që u shërbejnë individëve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790DB6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B3DE54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092572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9260BA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39A882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A66D84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68457F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149FF640"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3F039D6" w14:textId="01843161" w:rsidR="006D004F" w:rsidRPr="007E6D65" w:rsidRDefault="006D004F"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 xml:space="preserve">maturitet fillestar 1-5 vjet </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1E76AC9" w14:textId="77777777" w:rsidR="006D004F" w:rsidRPr="007E6D65" w:rsidRDefault="006D004F"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15F862A9" w14:textId="77777777" w:rsidR="006D004F" w:rsidRPr="007E6D65" w:rsidRDefault="006D004F"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4EDA55D" w14:textId="77777777" w:rsidR="006D004F" w:rsidRPr="007E6D65" w:rsidRDefault="006D004F"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BEDD4EC"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E0E508E"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63523DE"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0FADABAE"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0F58D047"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150C3DE7" w14:textId="5D3ED87C"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institucione monetare 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1AF74DA"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13228FF0"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FF89B44"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F695891"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7779CDA"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2C91983"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7E4608C"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25E1B44A" w14:textId="77777777" w:rsidTr="004B6EA1">
        <w:trPr>
          <w:trHeight w:val="36"/>
        </w:trPr>
        <w:tc>
          <w:tcPr>
            <w:tcW w:w="1580" w:type="pct"/>
            <w:gridSpan w:val="2"/>
            <w:vMerge w:val="restart"/>
            <w:tcBorders>
              <w:top w:val="single" w:sz="12" w:space="0" w:color="000000"/>
              <w:left w:val="single" w:sz="12" w:space="0" w:color="000000"/>
              <w:right w:val="single" w:sz="12" w:space="0" w:color="000000"/>
            </w:tcBorders>
            <w:shd w:val="solid" w:color="FFFFFF" w:fill="auto"/>
          </w:tcPr>
          <w:p w14:paraId="5BB548E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qeveri e përgjithshme</w:t>
            </w:r>
          </w:p>
          <w:p w14:paraId="391A447B" w14:textId="54BB8E8D"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fonde investimi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FC1E226"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C0D9FE1"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1BB2693"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3C392D9"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0E54037"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5DD3CFC"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3797747"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075B0B7C" w14:textId="77777777" w:rsidTr="004B6EA1">
        <w:trPr>
          <w:trHeight w:val="36"/>
        </w:trPr>
        <w:tc>
          <w:tcPr>
            <w:tcW w:w="1580" w:type="pct"/>
            <w:gridSpan w:val="2"/>
            <w:vMerge/>
            <w:tcBorders>
              <w:left w:val="single" w:sz="12" w:space="0" w:color="000000"/>
              <w:bottom w:val="single" w:sz="12" w:space="0" w:color="000000"/>
              <w:right w:val="single" w:sz="12" w:space="0" w:color="000000"/>
            </w:tcBorders>
            <w:shd w:val="solid" w:color="FFFFFF" w:fill="auto"/>
          </w:tcPr>
          <w:p w14:paraId="2848206A" w14:textId="61E610D8"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2103B00"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3B46D8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BDBB27B"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65B070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D2A6CFE"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6FA41BFF"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05D2E9AB"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5891C8E0"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A41EE73" w14:textId="655F1ABE"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ndërmjetës të tjerë financiar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E6591AF"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992D397"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0CC5313"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99BC643"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811C152"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C323D7C"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E6D7797"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24984CB6"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39883A4" w14:textId="6CDFF2AE"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korporata sigurimi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4CFF0C0F"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F7E8159"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33534BB"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B34DE73"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646A691"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F70B269"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017946A8"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480C73B4"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9C44912" w14:textId="63EE6FED"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fonde pensioni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0A340B6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9A71929"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A7CF516"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6D339D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05FAA35"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1115B56"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1E9F944"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22D51D57"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20DF548" w14:textId="7B54CF1F"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korporata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C87D148"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1747007"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AFA9137"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9A1A832"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9BE6F5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9C31D85"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D50763F"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B5E3F3C"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4D34CE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individë dhe institucionet jo me qëllim fitimi që u shërbejnë individëve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939F98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026B86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87D847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24F876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00B0AE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2AF3E5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7F7E02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19B7A54"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9ACB431"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maturitet fillestar mbi 5 vjet — vlerë tregu</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1899C02"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732DB42"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5124758"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947E90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26C3F7F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70C24E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7EFB26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0AB29D5E"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42CAA2A" w14:textId="21ADF554"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institucione monetare 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0088F018"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06F6C3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D981762"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EC5EAEB"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9D23994"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60F78E26"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1415282A"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675AD96E"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2CE0D76" w14:textId="7B3C9ACB"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qeveri e përgjithshme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45E75A82"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7880F15"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9B77B03"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EF6E886"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1432CA1"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913EF10"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CC6F2BC"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41F7697C"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34A9A7B" w14:textId="672A984C"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fonde investimi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01556D9"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1DB1878B"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EA9A8A0"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DB6E6C2"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CBF51C8"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2B12D11"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21A9CA0"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025B9D0B"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C66499B" w14:textId="11814B69"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ndërmjetës të tjerë financiar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2B22B699"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DC3C5A6"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A8268BE"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7F9092E"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7E2007B"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4392F32"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0D47A10"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65E4C5A8"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2AA1361" w14:textId="264AA9F5"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korporata sigurimi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41B641B0"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802C16D"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CC326D2"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5B53749"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64169BB2"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25FF400"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62072E6"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5BBD65DC"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1CEEB33" w14:textId="3C46733E"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fonde pensioni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A21B859"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AAA30B5"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E1B82C4"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0749283"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325886E"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1EF9975"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FDF11DE"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6D004F" w:rsidRPr="007E6D65" w14:paraId="398BA34D"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2479468" w14:textId="32536A24"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korporata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0F150E4F"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5D2ACD7"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E3D912A"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AF6E906"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D567340"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89069EA"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73C2606" w14:textId="77777777" w:rsidR="006D004F" w:rsidRPr="007E6D65" w:rsidRDefault="006D004F"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D073360"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D0482C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për individë dhe institucionet jo me qëllim fitimi që u shërbejnë individëve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11938B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6FA2E34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6F6309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DB2552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D79027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6609ED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3BB8C6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03CA23C3"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84AB46F"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 xml:space="preserve">deri në 1 vit mbetur deri në maturim </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4F8AF89"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372F0D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B8F1CD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C5118D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E32388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7AEB59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479E81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4D295F" w:rsidRPr="007E6D65" w14:paraId="2CC25D3F"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3D43884" w14:textId="5A2BCFEE" w:rsidR="004D295F" w:rsidRPr="007E6D65" w:rsidRDefault="004D295F"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 xml:space="preserve">1-2 vjet mbetur deri në maturim </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F88DF1D" w14:textId="77777777" w:rsidR="004D295F" w:rsidRPr="007E6D65" w:rsidRDefault="004D295F"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0E46075"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4554B56"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737EC20"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276A3ED9"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1F9DFA7"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A05D4D2"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r>
      <w:tr w:rsidR="004D295F" w:rsidRPr="007E6D65" w14:paraId="76BFF8F4"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7C0D566" w14:textId="15901C0A" w:rsidR="004D295F" w:rsidRPr="007E6D65" w:rsidRDefault="004D295F"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 xml:space="preserve">2-5 vjet mbetur deri në maturim </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4BC77582" w14:textId="77777777" w:rsidR="004D295F" w:rsidRPr="007E6D65" w:rsidRDefault="004D295F"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DF3D2B2"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DE6C1AB"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8A09025"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2C698CF"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7E10DFA"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FE1DBF4"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r>
      <w:tr w:rsidR="004D295F" w:rsidRPr="007E6D65" w14:paraId="2799D8B1"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397584A" w14:textId="5865489A" w:rsidR="004D295F" w:rsidRPr="007E6D65" w:rsidRDefault="004D295F"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 xml:space="preserve">mbi 5 vjet mbetur deri në maturim </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022E174" w14:textId="77777777" w:rsidR="004D295F" w:rsidRPr="007E6D65" w:rsidRDefault="004D295F"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52FFF6D"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D66BBD0"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93FCB6B"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6F6B8BD4"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BE03A8E"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4331AD9"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r>
      <w:tr w:rsidR="004D295F" w:rsidRPr="007E6D65" w14:paraId="2C782D0A" w14:textId="77777777" w:rsidTr="004B6EA1">
        <w:trPr>
          <w:trHeight w:val="36"/>
        </w:trPr>
        <w:tc>
          <w:tcPr>
            <w:tcW w:w="2401" w:type="pct"/>
            <w:gridSpan w:val="4"/>
            <w:tcBorders>
              <w:top w:val="single" w:sz="12" w:space="0" w:color="C0C0C0"/>
              <w:left w:val="single" w:sz="12" w:space="0" w:color="000000"/>
              <w:bottom w:val="single" w:sz="12" w:space="0" w:color="000000"/>
              <w:right w:val="single" w:sz="12" w:space="0" w:color="000000"/>
            </w:tcBorders>
            <w:shd w:val="solid" w:color="FFFFFF" w:fill="auto"/>
          </w:tcPr>
          <w:p w14:paraId="206AA239" w14:textId="610FD34A" w:rsidR="004D295F" w:rsidRPr="007E6D65" w:rsidRDefault="004D295F" w:rsidP="004D295F">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color w:val="000000"/>
                <w:sz w:val="20"/>
                <w:szCs w:val="20"/>
              </w:rPr>
              <w:t>3x.</w:t>
            </w:r>
            <w:r>
              <w:rPr>
                <w:rFonts w:ascii="Garamond" w:hAnsi="Garamond" w:cs="Inherit"/>
                <w:color w:val="000000"/>
                <w:sz w:val="20"/>
                <w:szCs w:val="20"/>
              </w:rPr>
              <w:t xml:space="preserve"> </w:t>
            </w:r>
            <w:r w:rsidRPr="007E6D65">
              <w:rPr>
                <w:rFonts w:ascii="Garamond" w:hAnsi="Garamond" w:cs="Inherit"/>
                <w:b/>
                <w:bCs/>
                <w:color w:val="000000"/>
                <w:sz w:val="20"/>
                <w:szCs w:val="20"/>
              </w:rPr>
              <w:t xml:space="preserve">Huat nga të cilat garancitë e depozitave në lidhje me risigurimin </w:t>
            </w: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5DE34A8" w14:textId="77777777" w:rsidR="004D295F" w:rsidRPr="007E6D65" w:rsidRDefault="004D295F"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896E39B"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FA66B3A"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6E6C7991"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280A649" w14:textId="77777777" w:rsidR="004D295F" w:rsidRPr="007E6D65" w:rsidRDefault="004D295F" w:rsidP="007E6D65">
            <w:pPr>
              <w:autoSpaceDE w:val="0"/>
              <w:autoSpaceDN w:val="0"/>
              <w:adjustRightInd w:val="0"/>
              <w:spacing w:after="0" w:line="240" w:lineRule="auto"/>
              <w:rPr>
                <w:rFonts w:ascii="Garamond" w:hAnsi="Garamond" w:cs="Inherit"/>
                <w:color w:val="000000"/>
                <w:sz w:val="20"/>
                <w:szCs w:val="20"/>
              </w:rPr>
            </w:pPr>
          </w:p>
        </w:tc>
      </w:tr>
      <w:tr w:rsidR="004A1A11" w:rsidRPr="007E6D65" w14:paraId="5F66D52C"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46A9C2EE" w14:textId="6878D839" w:rsidR="004A1A11" w:rsidRPr="004A1A11" w:rsidRDefault="004A1A11" w:rsidP="004A1A11">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3</w:t>
            </w:r>
            <w:r>
              <w:rPr>
                <w:rFonts w:ascii="Garamond" w:hAnsi="Garamond" w:cs="Inherit"/>
                <w:color w:val="000000"/>
                <w:sz w:val="20"/>
                <w:szCs w:val="20"/>
              </w:rPr>
              <w:t xml:space="preserve">. </w:t>
            </w:r>
            <w:r w:rsidRPr="007E6D65">
              <w:rPr>
                <w:rFonts w:ascii="Garamond" w:hAnsi="Garamond" w:cs="Inherit"/>
                <w:b/>
                <w:bCs/>
                <w:color w:val="000000"/>
                <w:sz w:val="20"/>
                <w:szCs w:val="20"/>
              </w:rPr>
              <w:t>Huat</w:t>
            </w:r>
            <w:r>
              <w:rPr>
                <w:rFonts w:ascii="Garamond" w:hAnsi="Garamond" w:cs="Inherit"/>
                <w:b/>
                <w:bCs/>
                <w:color w:val="000000"/>
                <w:sz w:val="20"/>
                <w:szCs w:val="20"/>
              </w:rPr>
              <w:t xml:space="preserve"> </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9A80D5B"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F1567A6"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336346E"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18633BB"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47B699E"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D8FC6B1"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FC6242E"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3EC0C50"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70CD85F"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lastRenderedPageBreak/>
              <w:t>maturitet fillestar deri në 1 vit — vlerë nominale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2D570C2"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153777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A1A60B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0FD934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B076D6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6FD9A4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A149D8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8532198"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1A12723"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maturitet fillestar 1-5 vjet — vlerë nominale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E674DE4"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C241E6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0AF824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825B95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A44B0B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83B984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14E6A5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70B4AD9D"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83C7359"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r w:rsidRPr="007E6D65">
              <w:rPr>
                <w:rFonts w:ascii="Garamond" w:hAnsi="Garamond" w:cs="Inherit"/>
                <w:b/>
                <w:bCs/>
                <w:color w:val="000000"/>
                <w:sz w:val="20"/>
                <w:szCs w:val="20"/>
              </w:rPr>
              <w:t>maturitet fillestar mbi 5 vjet — vlerë nominale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22200D6"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D86F3F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D4A765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CA9D9C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B1413F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C4EA39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FE71F9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4A1A11" w:rsidRPr="007E6D65" w14:paraId="635B5482"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54875D89" w14:textId="1867075A" w:rsidR="004A1A11" w:rsidRPr="004A1A11" w:rsidRDefault="004A1A11"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4</w:t>
            </w:r>
            <w:r>
              <w:rPr>
                <w:rFonts w:ascii="Garamond" w:hAnsi="Garamond" w:cs="Inherit"/>
                <w:color w:val="000000"/>
                <w:sz w:val="20"/>
                <w:szCs w:val="20"/>
              </w:rPr>
              <w:t xml:space="preserve">. </w:t>
            </w:r>
            <w:r w:rsidRPr="007E6D65">
              <w:rPr>
                <w:rFonts w:ascii="Garamond" w:hAnsi="Garamond" w:cs="Inherit"/>
                <w:b/>
                <w:bCs/>
                <w:color w:val="000000"/>
                <w:sz w:val="20"/>
                <w:szCs w:val="20"/>
              </w:rPr>
              <w:t>Kapital</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81C2955"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1B6A968B"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31E2537"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6869D34"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5498EC9"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1F78605"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FDD2EDA"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r>
      <w:tr w:rsidR="004A1A11" w:rsidRPr="007E6D65" w14:paraId="62664E51"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614A0EA2" w14:textId="2AA717C8" w:rsidR="004A1A11" w:rsidRPr="004A1A11" w:rsidRDefault="004A1A11"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4a.</w:t>
            </w:r>
            <w:r>
              <w:rPr>
                <w:rFonts w:ascii="Garamond" w:hAnsi="Garamond" w:cs="Inherit"/>
                <w:color w:val="000000"/>
                <w:sz w:val="20"/>
                <w:szCs w:val="20"/>
              </w:rPr>
              <w:t xml:space="preserve"> </w:t>
            </w:r>
            <w:r w:rsidRPr="007E6D65">
              <w:rPr>
                <w:rFonts w:ascii="Garamond" w:hAnsi="Garamond" w:cs="Inherit"/>
                <w:b/>
                <w:bCs/>
                <w:color w:val="000000"/>
                <w:sz w:val="20"/>
                <w:szCs w:val="20"/>
              </w:rPr>
              <w:t>nga të cilat aksione të listuara</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120599B"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11A79B6"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FBBEBE5"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755938D"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90A41B1"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987095B"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C7EAAAC"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45CAC79"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9D75E5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264B963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CCF591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99959EF"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B1C27D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230A92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FD7609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4A2607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4A1A11" w:rsidRPr="007E6D65" w14:paraId="39470005"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873B58B" w14:textId="322FC625"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A086B4B"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008CEE6"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CF61F4C"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91BAD56"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5D56023"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65D5D26A"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6F61315"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71ACFBD7"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3D88F2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5F925C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22C513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9355F3D"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F9364F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4959F0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6B0322C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25994C3"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4A1A11" w:rsidRPr="007E6D65" w14:paraId="7E652DDA"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6B499B34" w14:textId="547B30B2"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01D40B56"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EC39605"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05F04FF"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84FB0E9"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442A14D"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B32EBD4"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B8DEA60"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r>
      <w:tr w:rsidR="004A1A11" w:rsidRPr="007E6D65" w14:paraId="751F524C"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445D43C" w14:textId="186608F9"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w:t>
            </w:r>
            <w:r>
              <w:rPr>
                <w:rFonts w:ascii="Garamond" w:hAnsi="Garamond" w:cs="Inherit"/>
                <w:color w:val="000000"/>
                <w:sz w:val="20"/>
                <w:szCs w:val="20"/>
              </w:rPr>
              <w:t>n</w:t>
            </w:r>
            <w:r w:rsidRPr="007E6D65">
              <w:rPr>
                <w:rFonts w:ascii="Garamond" w:hAnsi="Garamond" w:cs="Inherit"/>
                <w:color w:val="000000"/>
                <w:sz w:val="20"/>
                <w:szCs w:val="20"/>
              </w:rPr>
              <w:t>sioni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45EBCF6C"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28142F9"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3F2EAAD" w14:textId="77777777" w:rsidR="004A1A11" w:rsidRPr="007E6D65" w:rsidRDefault="004A1A11"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921CCBD"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0B829A0"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6421DD74"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02398E93" w14:textId="77777777" w:rsidR="004A1A11" w:rsidRPr="007E6D65" w:rsidRDefault="004A1A11"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5EFBB6C8"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4DA536F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63A1D7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E89042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970D5D6"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8C836C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3EA476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DC350A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8FAF7A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86609E" w:rsidRPr="007E6D65" w14:paraId="71B4B450"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074D3026" w14:textId="4F3FF5DA" w:rsidR="0086609E" w:rsidRPr="0086609E" w:rsidRDefault="0086609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4b.</w:t>
            </w:r>
            <w:r>
              <w:rPr>
                <w:rFonts w:ascii="Garamond" w:hAnsi="Garamond" w:cs="Inherit"/>
                <w:color w:val="000000"/>
                <w:sz w:val="20"/>
                <w:szCs w:val="20"/>
              </w:rPr>
              <w:t xml:space="preserve"> </w:t>
            </w:r>
            <w:r w:rsidRPr="007E6D65">
              <w:rPr>
                <w:rFonts w:ascii="Garamond" w:hAnsi="Garamond" w:cs="Inherit"/>
                <w:b/>
                <w:bCs/>
                <w:color w:val="000000"/>
                <w:sz w:val="20"/>
                <w:szCs w:val="20"/>
              </w:rPr>
              <w:t>nga të cilat aksione të palistuara</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73CDF06" w14:textId="77777777" w:rsidR="0086609E" w:rsidRPr="007E6D65" w:rsidRDefault="0086609E"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544AC04" w14:textId="77777777" w:rsidR="0086609E" w:rsidRPr="007E6D65" w:rsidRDefault="0086609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687F031" w14:textId="77777777" w:rsidR="0086609E" w:rsidRPr="007E6D65" w:rsidRDefault="0086609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816605E" w14:textId="77777777" w:rsidR="0086609E" w:rsidRPr="007E6D65" w:rsidRDefault="0086609E" w:rsidP="007E6D65">
            <w:pPr>
              <w:autoSpaceDE w:val="0"/>
              <w:autoSpaceDN w:val="0"/>
              <w:adjustRightInd w:val="0"/>
              <w:spacing w:after="0" w:line="240" w:lineRule="auto"/>
              <w:rPr>
                <w:rFonts w:ascii="Garamond" w:hAnsi="Garamond" w:cs="Inherit"/>
                <w:b/>
                <w:bCs/>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D7BC473"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02C4280" w14:textId="77777777" w:rsidR="0086609E" w:rsidRPr="007E6D65" w:rsidRDefault="0086609E" w:rsidP="007E6D65">
            <w:pPr>
              <w:autoSpaceDE w:val="0"/>
              <w:autoSpaceDN w:val="0"/>
              <w:adjustRightInd w:val="0"/>
              <w:spacing w:after="0" w:line="240" w:lineRule="auto"/>
              <w:rPr>
                <w:rFonts w:ascii="Garamond" w:hAnsi="Garamond" w:cs="Inherit"/>
                <w:b/>
                <w:bCs/>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CFFF05C"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737110F7"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C76586C"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232B0EB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5E0300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49FB3E4"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DC51DE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E17F15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793789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F852F3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86609E" w:rsidRPr="007E6D65" w14:paraId="708D23CC"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615818D" w14:textId="2FD6CDC6"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217EB9E"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AB6EDBB"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6CAF6E6" w14:textId="77777777" w:rsidR="0086609E" w:rsidRPr="007E6D65" w:rsidRDefault="0086609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36EB8D6"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69B5B711"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B3CF265"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C2C0A1E"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61B7025C"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71A32F8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C63804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03DC23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C51AE2C"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493AC2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6040D3D2"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20B163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E5F867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86609E" w:rsidRPr="007E6D65" w14:paraId="0A12BF23"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DEF44AE" w14:textId="271D1DEF"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F2AA626"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234B89A"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B9AB9A5" w14:textId="77777777" w:rsidR="0086609E" w:rsidRPr="007E6D65" w:rsidRDefault="0086609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9D0D6A4"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BC73A67"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05185FC2"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131E3CE4"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r>
      <w:tr w:rsidR="0086609E" w:rsidRPr="007E6D65" w14:paraId="2805D68A"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CE0D7B8" w14:textId="60FDE5A0"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pensioni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8C0977E"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F809AF5"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3C58F36" w14:textId="77777777" w:rsidR="0086609E" w:rsidRPr="007E6D65" w:rsidRDefault="0086609E"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D13B4CE"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80C006E"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F793B47"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08E3D8EE" w14:textId="77777777" w:rsidR="0086609E" w:rsidRPr="007E6D65" w:rsidRDefault="0086609E"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36CEEAF2"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030428D4"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19F057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5CA06AE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1325998"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3A3D3BD"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4EFEEA5A"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4715FB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2C724507"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A3E5B" w:rsidRPr="007E6D65" w14:paraId="07E9BDD0"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256D78F9" w14:textId="0C1F10B9" w:rsidR="00EA3E5B" w:rsidRPr="00EA3E5B" w:rsidRDefault="00EA3E5B"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4c.</w:t>
            </w:r>
            <w:r>
              <w:rPr>
                <w:rFonts w:ascii="Garamond" w:hAnsi="Garamond" w:cs="Inherit"/>
                <w:color w:val="000000"/>
                <w:sz w:val="20"/>
                <w:szCs w:val="20"/>
              </w:rPr>
              <w:t xml:space="preserve"> </w:t>
            </w:r>
            <w:r w:rsidRPr="007E6D65">
              <w:rPr>
                <w:rFonts w:ascii="Garamond" w:hAnsi="Garamond" w:cs="Inherit"/>
                <w:b/>
                <w:bCs/>
                <w:color w:val="000000"/>
                <w:sz w:val="20"/>
                <w:szCs w:val="20"/>
              </w:rPr>
              <w:t xml:space="preserve">nga të cilat kapitale të tjera </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3C69EDA"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5C90C74"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CEF9057"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D81170B"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C5DFF19"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D1056E6"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16E26FDA"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D339AC1"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D23903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institucione monetare 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48600B35"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79AD4C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9E2D9E5"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ECE181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137EBB1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7FDB420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19820CD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A3E5B" w:rsidRPr="007E6D65" w14:paraId="0FBCE2A4"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56AE480" w14:textId="646D38D0"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qeveri e përgjithshme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10CCCA96"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1B8485EE"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612C018"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860413E"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FB3D045"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049E4B9"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1DD85836"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2CBB7F17"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5C4F6AF1"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ndërmjetës të tjerë financiar</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DC696A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68FB06E"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1706BB8"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0E119C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66A6E06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2AFABC8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0209330"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A3E5B" w:rsidRPr="007E6D65" w14:paraId="352A9BF6"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27672CAB" w14:textId="22E2C892"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sigurimi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C295571"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18BFA82B"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BA3447A"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186C168"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9B67863"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68356459"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357AA3C"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r>
      <w:tr w:rsidR="00EA3E5B" w:rsidRPr="007E6D65" w14:paraId="17F1CEE3"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1D85777" w14:textId="148B98C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fonde pasioni</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53A04A12"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47466636"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2CBFF01"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702BDF4"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F3E0564"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6961BFAB"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6602E400"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r>
      <w:tr w:rsidR="00EE658D" w:rsidRPr="007E6D65" w14:paraId="1327A8FC" w14:textId="77777777" w:rsidTr="004B6EA1">
        <w:trPr>
          <w:trHeight w:val="36"/>
        </w:trPr>
        <w:tc>
          <w:tcPr>
            <w:tcW w:w="1580" w:type="pct"/>
            <w:gridSpan w:val="2"/>
            <w:tcBorders>
              <w:top w:val="single" w:sz="12" w:space="0" w:color="000000"/>
              <w:left w:val="single" w:sz="12" w:space="0" w:color="000000"/>
              <w:bottom w:val="single" w:sz="12" w:space="0" w:color="000000"/>
              <w:right w:val="single" w:sz="12" w:space="0" w:color="000000"/>
            </w:tcBorders>
            <w:shd w:val="solid" w:color="FFFFFF" w:fill="auto"/>
          </w:tcPr>
          <w:p w14:paraId="329A89B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emetuar nga korporata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DA32F76"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2860C23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307BE07" w14:textId="77777777" w:rsidR="00EE658D" w:rsidRPr="007E6D65" w:rsidRDefault="00EE658D"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7B11EAA8"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7964203F"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135FC69"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F2114CB" w14:textId="77777777" w:rsidR="00EE658D" w:rsidRPr="007E6D65" w:rsidRDefault="00EE658D" w:rsidP="007E6D65">
            <w:pPr>
              <w:autoSpaceDE w:val="0"/>
              <w:autoSpaceDN w:val="0"/>
              <w:adjustRightInd w:val="0"/>
              <w:spacing w:after="0" w:line="240" w:lineRule="auto"/>
              <w:rPr>
                <w:rFonts w:ascii="Garamond" w:hAnsi="Garamond" w:cs="Inherit"/>
                <w:color w:val="000000"/>
                <w:sz w:val="20"/>
                <w:szCs w:val="20"/>
              </w:rPr>
            </w:pPr>
          </w:p>
        </w:tc>
      </w:tr>
      <w:tr w:rsidR="00EA3E5B" w:rsidRPr="007E6D65" w14:paraId="645B4EBF"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229CA1D6" w14:textId="4721DCEB" w:rsidR="00EA3E5B" w:rsidRPr="00EA3E5B" w:rsidRDefault="00EA3E5B"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5</w:t>
            </w:r>
            <w:r>
              <w:rPr>
                <w:rFonts w:ascii="Garamond" w:hAnsi="Garamond" w:cs="Inherit"/>
                <w:color w:val="000000"/>
                <w:sz w:val="20"/>
                <w:szCs w:val="20"/>
              </w:rPr>
              <w:t xml:space="preserve">. </w:t>
            </w:r>
            <w:r w:rsidRPr="007E6D65">
              <w:rPr>
                <w:rFonts w:ascii="Garamond" w:hAnsi="Garamond" w:cs="Inherit"/>
                <w:b/>
                <w:bCs/>
                <w:color w:val="000000"/>
                <w:sz w:val="20"/>
                <w:szCs w:val="20"/>
              </w:rPr>
              <w:t>Aksione/kuota të fondeve të investimit</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DF9607D"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12F77BC5"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B53FED2"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2063985B"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27D89B46"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BC99975"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010ECDA"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r>
      <w:tr w:rsidR="00EA3E5B" w:rsidRPr="007E6D65" w14:paraId="3F06C5FD" w14:textId="77777777" w:rsidTr="004B6EA1">
        <w:trPr>
          <w:trHeight w:val="36"/>
        </w:trPr>
        <w:tc>
          <w:tcPr>
            <w:tcW w:w="1910" w:type="pct"/>
            <w:gridSpan w:val="3"/>
            <w:tcBorders>
              <w:top w:val="single" w:sz="12" w:space="0" w:color="C0C0C0"/>
              <w:left w:val="single" w:sz="12" w:space="0" w:color="000000"/>
              <w:bottom w:val="single" w:sz="12" w:space="0" w:color="000000"/>
              <w:right w:val="single" w:sz="12" w:space="0" w:color="000000"/>
            </w:tcBorders>
            <w:shd w:val="solid" w:color="FFFFFF" w:fill="auto"/>
          </w:tcPr>
          <w:p w14:paraId="078AF3EF" w14:textId="6FCFC4A0" w:rsidR="00EA3E5B" w:rsidRPr="00EA3E5B" w:rsidRDefault="00EA3E5B"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5a.</w:t>
            </w:r>
            <w:r>
              <w:rPr>
                <w:rFonts w:ascii="Garamond" w:hAnsi="Garamond" w:cs="Inherit"/>
                <w:color w:val="000000"/>
                <w:sz w:val="20"/>
                <w:szCs w:val="20"/>
              </w:rPr>
              <w:t xml:space="preserve"> </w:t>
            </w:r>
            <w:r w:rsidRPr="007E6D65">
              <w:rPr>
                <w:rFonts w:ascii="Garamond" w:hAnsi="Garamond" w:cs="Inherit"/>
                <w:b/>
                <w:bCs/>
                <w:color w:val="000000"/>
                <w:sz w:val="20"/>
                <w:szCs w:val="20"/>
              </w:rPr>
              <w:t>Aksione/kuota te fondet e tregut të parasë</w:t>
            </w: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8BCDDE1"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098FA93"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07D19A5E"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0F1BCE23"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8BFC65B"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02964A4"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r>
      <w:tr w:rsidR="00EA3E5B" w:rsidRPr="007E6D65" w14:paraId="081D4334" w14:textId="77777777" w:rsidTr="004B6EA1">
        <w:trPr>
          <w:trHeight w:val="249"/>
        </w:trPr>
        <w:tc>
          <w:tcPr>
            <w:tcW w:w="1910" w:type="pct"/>
            <w:gridSpan w:val="3"/>
            <w:tcBorders>
              <w:top w:val="single" w:sz="12" w:space="0" w:color="C0C0C0"/>
              <w:left w:val="single" w:sz="12" w:space="0" w:color="000000"/>
              <w:bottom w:val="single" w:sz="12" w:space="0" w:color="000000"/>
              <w:right w:val="single" w:sz="12" w:space="0" w:color="000000"/>
            </w:tcBorders>
            <w:shd w:val="solid" w:color="FFFFFF" w:fill="auto"/>
          </w:tcPr>
          <w:p w14:paraId="7B8AA436" w14:textId="65E985BF" w:rsidR="00EA3E5B" w:rsidRPr="00EA3E5B" w:rsidRDefault="00EA3E5B"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5b.</w:t>
            </w:r>
            <w:r>
              <w:rPr>
                <w:rFonts w:ascii="Garamond" w:hAnsi="Garamond" w:cs="Inherit"/>
                <w:color w:val="000000"/>
                <w:sz w:val="20"/>
                <w:szCs w:val="20"/>
              </w:rPr>
              <w:t xml:space="preserve"> </w:t>
            </w:r>
            <w:r w:rsidRPr="007E6D65">
              <w:rPr>
                <w:rFonts w:ascii="Garamond" w:hAnsi="Garamond" w:cs="Inherit"/>
                <w:b/>
                <w:bCs/>
                <w:color w:val="000000"/>
                <w:sz w:val="20"/>
                <w:szCs w:val="20"/>
              </w:rPr>
              <w:t>Aksione/kuota te fondet e tregut jo të parasë</w:t>
            </w: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10CAB710"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BDDAC91"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23202A8"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239CA18D"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AEE72BE"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8B4B8AB"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r>
      <w:tr w:rsidR="00EA3E5B" w:rsidRPr="007E6D65" w14:paraId="227DEF97"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72B7088F" w14:textId="22EB8613" w:rsidR="00EA3E5B" w:rsidRPr="00EA3E5B" w:rsidRDefault="00EA3E5B" w:rsidP="00EA3E5B">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6</w:t>
            </w:r>
            <w:r>
              <w:rPr>
                <w:rFonts w:ascii="Garamond" w:hAnsi="Garamond" w:cs="Inherit"/>
                <w:color w:val="000000"/>
                <w:sz w:val="20"/>
                <w:szCs w:val="20"/>
              </w:rPr>
              <w:t xml:space="preserve">. </w:t>
            </w:r>
            <w:r w:rsidRPr="007E6D65">
              <w:rPr>
                <w:rFonts w:ascii="Garamond" w:hAnsi="Garamond" w:cs="Inherit"/>
                <w:b/>
                <w:bCs/>
                <w:color w:val="000000"/>
                <w:sz w:val="20"/>
                <w:szCs w:val="20"/>
              </w:rPr>
              <w:t xml:space="preserve">Derivativë </w:t>
            </w:r>
            <w:r>
              <w:rPr>
                <w:rFonts w:ascii="Garamond" w:hAnsi="Garamond" w:cs="Inherit"/>
                <w:b/>
                <w:bCs/>
                <w:color w:val="000000"/>
                <w:sz w:val="20"/>
                <w:szCs w:val="20"/>
              </w:rPr>
              <w:t>f</w:t>
            </w:r>
            <w:r w:rsidRPr="007E6D65">
              <w:rPr>
                <w:rFonts w:ascii="Garamond" w:hAnsi="Garamond" w:cs="Inherit"/>
                <w:b/>
                <w:bCs/>
                <w:color w:val="000000"/>
                <w:sz w:val="20"/>
                <w:szCs w:val="20"/>
              </w:rPr>
              <w:t>inanciarë</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72D04D75"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C3876EB"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5D36E11F"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D67549B"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202578D4"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58993189"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080E2A6B"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r>
      <w:tr w:rsidR="00EA3E5B" w:rsidRPr="007E6D65" w14:paraId="14139A22"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14C0794C" w14:textId="331703EF" w:rsidR="00EA3E5B" w:rsidRPr="00EA3E5B" w:rsidRDefault="00EA3E5B"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7</w:t>
            </w:r>
            <w:r>
              <w:rPr>
                <w:rFonts w:ascii="Garamond" w:hAnsi="Garamond" w:cs="Inherit"/>
                <w:color w:val="000000"/>
                <w:sz w:val="20"/>
                <w:szCs w:val="20"/>
              </w:rPr>
              <w:t xml:space="preserve">. </w:t>
            </w:r>
            <w:r w:rsidRPr="007E6D65">
              <w:rPr>
                <w:rFonts w:ascii="Garamond" w:hAnsi="Garamond" w:cs="Inherit"/>
                <w:b/>
                <w:bCs/>
                <w:color w:val="000000"/>
                <w:sz w:val="20"/>
                <w:szCs w:val="20"/>
              </w:rPr>
              <w:t>Rezervat teknike të sigurimit jojetë</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36FA0365"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306108AB"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5964CD5"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20E5082"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A336FDB"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6256FC39"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3E17047A"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r>
      <w:tr w:rsidR="00EA3E5B" w:rsidRPr="007E6D65" w14:paraId="4BCF1159"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393CA445" w14:textId="0AF380DD" w:rsidR="00EA3E5B" w:rsidRPr="00EA3E5B" w:rsidRDefault="00EA3E5B"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8</w:t>
            </w:r>
            <w:r>
              <w:rPr>
                <w:rFonts w:ascii="Garamond" w:hAnsi="Garamond" w:cs="Inherit"/>
                <w:color w:val="000000"/>
                <w:sz w:val="20"/>
                <w:szCs w:val="20"/>
              </w:rPr>
              <w:t xml:space="preserve">. </w:t>
            </w:r>
            <w:r w:rsidRPr="007E6D65">
              <w:rPr>
                <w:rFonts w:ascii="Garamond" w:hAnsi="Garamond" w:cs="Inherit"/>
                <w:b/>
                <w:bCs/>
                <w:color w:val="000000"/>
                <w:sz w:val="20"/>
                <w:szCs w:val="20"/>
              </w:rPr>
              <w:t>Mjete jofinanciare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6676CD25"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6A8FBB9"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BCDEF01"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3656CA83"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AA3D291"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39D1C963"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4027A418"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r>
      <w:tr w:rsidR="00EA3E5B" w:rsidRPr="007E6D65" w14:paraId="2290C960"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6A84D668" w14:textId="0BD8E4D7" w:rsidR="00EA3E5B" w:rsidRPr="00EA3E5B" w:rsidRDefault="00EA3E5B"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9</w:t>
            </w:r>
            <w:r>
              <w:rPr>
                <w:rFonts w:ascii="Garamond" w:hAnsi="Garamond" w:cs="Inherit"/>
                <w:color w:val="000000"/>
                <w:sz w:val="20"/>
                <w:szCs w:val="20"/>
              </w:rPr>
              <w:t xml:space="preserve">. </w:t>
            </w:r>
            <w:r w:rsidRPr="007E6D65">
              <w:rPr>
                <w:rFonts w:ascii="Garamond" w:hAnsi="Garamond" w:cs="Inherit"/>
                <w:b/>
                <w:bCs/>
                <w:color w:val="000000"/>
                <w:sz w:val="20"/>
                <w:szCs w:val="20"/>
              </w:rPr>
              <w:t>Mjete të tjera</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05223198"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0BD55795"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128DADEC"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055F273"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5C431D10"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15BECF40"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542174F5"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r>
      <w:tr w:rsidR="00EA3E5B" w:rsidRPr="007E6D65" w14:paraId="2646F229" w14:textId="77777777" w:rsidTr="004B6EA1">
        <w:trPr>
          <w:trHeight w:val="36"/>
        </w:trPr>
        <w:tc>
          <w:tcPr>
            <w:tcW w:w="1580" w:type="pct"/>
            <w:gridSpan w:val="2"/>
            <w:tcBorders>
              <w:top w:val="single" w:sz="12" w:space="0" w:color="C0C0C0"/>
              <w:left w:val="single" w:sz="12" w:space="0" w:color="000000"/>
              <w:bottom w:val="single" w:sz="12" w:space="0" w:color="000000"/>
              <w:right w:val="single" w:sz="12" w:space="0" w:color="000000"/>
            </w:tcBorders>
            <w:shd w:val="solid" w:color="FFFFFF" w:fill="auto"/>
          </w:tcPr>
          <w:p w14:paraId="7B7B5882" w14:textId="40E726E7" w:rsidR="00EA3E5B" w:rsidRPr="00EA3E5B" w:rsidRDefault="00EA3E5B" w:rsidP="007E6D65">
            <w:pPr>
              <w:autoSpaceDE w:val="0"/>
              <w:autoSpaceDN w:val="0"/>
              <w:adjustRightInd w:val="0"/>
              <w:spacing w:after="0" w:line="240" w:lineRule="auto"/>
              <w:rPr>
                <w:rFonts w:ascii="Garamond" w:hAnsi="Garamond" w:cs="Inherit"/>
                <w:color w:val="000000"/>
                <w:sz w:val="20"/>
                <w:szCs w:val="20"/>
              </w:rPr>
            </w:pPr>
            <w:r w:rsidRPr="007E6D65">
              <w:rPr>
                <w:rFonts w:ascii="Garamond" w:hAnsi="Garamond" w:cs="Inherit"/>
                <w:color w:val="000000"/>
                <w:sz w:val="20"/>
                <w:szCs w:val="20"/>
              </w:rPr>
              <w:t>10</w:t>
            </w:r>
            <w:r>
              <w:rPr>
                <w:rFonts w:ascii="Garamond" w:hAnsi="Garamond" w:cs="Inherit"/>
                <w:color w:val="000000"/>
                <w:sz w:val="20"/>
                <w:szCs w:val="20"/>
              </w:rPr>
              <w:t xml:space="preserve">. </w:t>
            </w:r>
            <w:r w:rsidRPr="007E6D65">
              <w:rPr>
                <w:rFonts w:ascii="Garamond" w:hAnsi="Garamond" w:cs="Inherit"/>
                <w:b/>
                <w:bCs/>
                <w:color w:val="000000"/>
                <w:sz w:val="20"/>
                <w:szCs w:val="20"/>
              </w:rPr>
              <w:t>Totali i aktiveve</w:t>
            </w:r>
          </w:p>
        </w:tc>
        <w:tc>
          <w:tcPr>
            <w:tcW w:w="330" w:type="pct"/>
            <w:tcBorders>
              <w:top w:val="single" w:sz="12" w:space="0" w:color="C0C0C0"/>
              <w:left w:val="single" w:sz="12" w:space="0" w:color="000000"/>
              <w:bottom w:val="single" w:sz="12" w:space="0" w:color="000000"/>
              <w:right w:val="single" w:sz="12" w:space="0" w:color="000000"/>
            </w:tcBorders>
            <w:shd w:val="solid" w:color="FFFFFF" w:fill="auto"/>
          </w:tcPr>
          <w:p w14:paraId="45FF5B60" w14:textId="77777777" w:rsidR="00EA3E5B" w:rsidRPr="007E6D65" w:rsidRDefault="00EA3E5B" w:rsidP="007E6D65">
            <w:pPr>
              <w:autoSpaceDE w:val="0"/>
              <w:autoSpaceDN w:val="0"/>
              <w:adjustRightInd w:val="0"/>
              <w:spacing w:after="0" w:line="240" w:lineRule="auto"/>
              <w:rPr>
                <w:rFonts w:ascii="Garamond" w:hAnsi="Garamond" w:cs="Inherit"/>
                <w:b/>
                <w:bCs/>
                <w:color w:val="000000"/>
                <w:sz w:val="20"/>
                <w:szCs w:val="20"/>
              </w:rPr>
            </w:pPr>
          </w:p>
        </w:tc>
        <w:tc>
          <w:tcPr>
            <w:tcW w:w="491" w:type="pct"/>
            <w:tcBorders>
              <w:top w:val="single" w:sz="12" w:space="0" w:color="C0C0C0"/>
              <w:left w:val="single" w:sz="12" w:space="0" w:color="000000"/>
              <w:bottom w:val="single" w:sz="12" w:space="0" w:color="000000"/>
              <w:right w:val="single" w:sz="12" w:space="0" w:color="000000"/>
            </w:tcBorders>
            <w:shd w:val="solid" w:color="FFFFFF" w:fill="auto"/>
          </w:tcPr>
          <w:p w14:paraId="70615E4B"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626B5D14"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0" w:type="pct"/>
            <w:tcBorders>
              <w:top w:val="single" w:sz="12" w:space="0" w:color="C0C0C0"/>
              <w:left w:val="single" w:sz="12" w:space="0" w:color="000000"/>
              <w:bottom w:val="single" w:sz="12" w:space="0" w:color="000000"/>
              <w:right w:val="single" w:sz="12" w:space="0" w:color="000000"/>
            </w:tcBorders>
            <w:shd w:val="solid" w:color="FFFFFF" w:fill="auto"/>
          </w:tcPr>
          <w:p w14:paraId="4BDEAF97"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331" w:type="pct"/>
            <w:tcBorders>
              <w:top w:val="single" w:sz="12" w:space="0" w:color="C0C0C0"/>
              <w:left w:val="single" w:sz="12" w:space="0" w:color="000000"/>
              <w:bottom w:val="single" w:sz="12" w:space="0" w:color="000000"/>
              <w:right w:val="single" w:sz="12" w:space="0" w:color="000000"/>
            </w:tcBorders>
            <w:shd w:val="solid" w:color="FFFFFF" w:fill="auto"/>
          </w:tcPr>
          <w:p w14:paraId="39032034"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521" w:type="pct"/>
            <w:tcBorders>
              <w:top w:val="single" w:sz="12" w:space="0" w:color="C0C0C0"/>
              <w:left w:val="single" w:sz="12" w:space="0" w:color="000000"/>
              <w:bottom w:val="single" w:sz="12" w:space="0" w:color="000000"/>
              <w:right w:val="single" w:sz="12" w:space="0" w:color="000000"/>
            </w:tcBorders>
            <w:shd w:val="solid" w:color="FFFFFF" w:fill="auto"/>
          </w:tcPr>
          <w:p w14:paraId="47F73764"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c>
          <w:tcPr>
            <w:tcW w:w="708" w:type="pct"/>
            <w:tcBorders>
              <w:top w:val="single" w:sz="12" w:space="0" w:color="C0C0C0"/>
              <w:left w:val="single" w:sz="12" w:space="0" w:color="000000"/>
              <w:bottom w:val="single" w:sz="12" w:space="0" w:color="000000"/>
              <w:right w:val="single" w:sz="12" w:space="0" w:color="000000"/>
            </w:tcBorders>
            <w:shd w:val="solid" w:color="FFFFFF" w:fill="auto"/>
          </w:tcPr>
          <w:p w14:paraId="7214E29F" w14:textId="77777777" w:rsidR="00EA3E5B" w:rsidRPr="007E6D65" w:rsidRDefault="00EA3E5B" w:rsidP="007E6D65">
            <w:pPr>
              <w:autoSpaceDE w:val="0"/>
              <w:autoSpaceDN w:val="0"/>
              <w:adjustRightInd w:val="0"/>
              <w:spacing w:after="0" w:line="240" w:lineRule="auto"/>
              <w:rPr>
                <w:rFonts w:ascii="Garamond" w:hAnsi="Garamond" w:cs="Inherit"/>
                <w:color w:val="000000"/>
                <w:sz w:val="20"/>
                <w:szCs w:val="20"/>
              </w:rPr>
            </w:pPr>
          </w:p>
        </w:tc>
      </w:tr>
    </w:tbl>
    <w:p w14:paraId="0AC4E73D" w14:textId="77777777" w:rsidR="00EE658D" w:rsidRPr="007E6D65" w:rsidRDefault="00EE658D" w:rsidP="007E6D65">
      <w:pPr>
        <w:spacing w:after="0" w:line="240" w:lineRule="auto"/>
        <w:rPr>
          <w:rFonts w:ascii="Garamond" w:hAnsi="Garamond" w:cs="Times New Roman"/>
          <w:b/>
          <w:sz w:val="20"/>
          <w:szCs w:val="20"/>
        </w:rPr>
      </w:pPr>
    </w:p>
    <w:p w14:paraId="5D05CEAB" w14:textId="77777777" w:rsidR="00EE658D" w:rsidRPr="007E6D65" w:rsidRDefault="00EE658D" w:rsidP="007E6D65">
      <w:pPr>
        <w:spacing w:after="0" w:line="240" w:lineRule="auto"/>
        <w:jc w:val="center"/>
        <w:rPr>
          <w:rFonts w:ascii="Garamond" w:hAnsi="Garamond" w:cs="Times New Roman"/>
          <w:b/>
          <w:sz w:val="20"/>
          <w:szCs w:val="20"/>
        </w:rPr>
      </w:pPr>
      <w:r w:rsidRPr="007E6D65">
        <w:rPr>
          <w:rFonts w:ascii="Garamond" w:hAnsi="Garamond" w:cs="Times New Roman"/>
          <w:b/>
          <w:sz w:val="20"/>
          <w:szCs w:val="20"/>
        </w:rPr>
        <w:t>Rregullimet nga rivlerësimi ose transaksionet financiare tremujore</w:t>
      </w:r>
    </w:p>
    <w:p w14:paraId="42D66338" w14:textId="77777777" w:rsidR="00EE658D" w:rsidRPr="007E6D65" w:rsidRDefault="00EE658D" w:rsidP="007E6D65">
      <w:pPr>
        <w:spacing w:after="0" w:line="240" w:lineRule="auto"/>
        <w:jc w:val="center"/>
        <w:rPr>
          <w:rFonts w:ascii="Garamond" w:hAnsi="Garamond" w:cs="Times New Roman"/>
          <w:b/>
          <w:sz w:val="20"/>
          <w:szCs w:val="20"/>
        </w:rPr>
      </w:pPr>
      <w:r w:rsidRPr="007E6D65">
        <w:rPr>
          <w:rFonts w:ascii="Garamond" w:hAnsi="Garamond" w:cs="Times New Roman"/>
          <w:b/>
          <w:sz w:val="20"/>
          <w:szCs w:val="20"/>
        </w:rPr>
        <w:lastRenderedPageBreak/>
        <w:t>Tabela 3b</w:t>
      </w:r>
    </w:p>
    <w:p w14:paraId="35A920CE" w14:textId="77777777" w:rsidR="00EE658D" w:rsidRPr="007E6D65" w:rsidRDefault="00EE658D" w:rsidP="007E6D65">
      <w:pPr>
        <w:spacing w:after="0" w:line="240" w:lineRule="auto"/>
        <w:jc w:val="center"/>
        <w:rPr>
          <w:rFonts w:ascii="Garamond" w:hAnsi="Garamond" w:cs="Times New Roman"/>
          <w:b/>
          <w:sz w:val="20"/>
          <w:szCs w:val="20"/>
        </w:rPr>
      </w:pPr>
      <w:r w:rsidRPr="007E6D65">
        <w:rPr>
          <w:rFonts w:ascii="Garamond" w:hAnsi="Garamond" w:cs="Times New Roman"/>
          <w:b/>
          <w:sz w:val="20"/>
          <w:szCs w:val="20"/>
        </w:rPr>
        <w:t>Detyrimet</w:t>
      </w:r>
    </w:p>
    <w:tbl>
      <w:tblPr>
        <w:tblW w:w="5000" w:type="pct"/>
        <w:tblLook w:val="04A0" w:firstRow="1" w:lastRow="0" w:firstColumn="1" w:lastColumn="0" w:noHBand="0" w:noVBand="1"/>
      </w:tblPr>
      <w:tblGrid>
        <w:gridCol w:w="354"/>
        <w:gridCol w:w="151"/>
        <w:gridCol w:w="4692"/>
        <w:gridCol w:w="1262"/>
        <w:gridCol w:w="1262"/>
        <w:gridCol w:w="1262"/>
        <w:gridCol w:w="1317"/>
        <w:gridCol w:w="889"/>
        <w:gridCol w:w="1345"/>
        <w:gridCol w:w="1640"/>
      </w:tblGrid>
      <w:tr w:rsidR="00EE658D" w:rsidRPr="007E6D65" w14:paraId="765B9EF6" w14:textId="77777777" w:rsidTr="00710375">
        <w:trPr>
          <w:trHeight w:val="46"/>
        </w:trPr>
        <w:tc>
          <w:tcPr>
            <w:tcW w:w="1822" w:type="pct"/>
            <w:gridSpan w:val="3"/>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345C40E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vMerge w:val="restart"/>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52337F84"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Total</w:t>
            </w:r>
          </w:p>
        </w:tc>
        <w:tc>
          <w:tcPr>
            <w:tcW w:w="1359" w:type="pct"/>
            <w:gridSpan w:val="3"/>
            <w:tcBorders>
              <w:top w:val="single" w:sz="8" w:space="0" w:color="000000"/>
              <w:left w:val="nil"/>
              <w:bottom w:val="single" w:sz="8" w:space="0" w:color="000000"/>
              <w:right w:val="single" w:sz="8" w:space="0" w:color="000000"/>
            </w:tcBorders>
            <w:shd w:val="clear" w:color="000000" w:fill="FFFFFF"/>
            <w:vAlign w:val="center"/>
            <w:hideMark/>
          </w:tcPr>
          <w:p w14:paraId="1CAFC65E"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Eurozona</w:t>
            </w:r>
          </w:p>
        </w:tc>
        <w:tc>
          <w:tcPr>
            <w:tcW w:w="1373" w:type="pct"/>
            <w:gridSpan w:val="3"/>
            <w:tcBorders>
              <w:top w:val="single" w:sz="8" w:space="0" w:color="000000"/>
              <w:left w:val="nil"/>
              <w:bottom w:val="single" w:sz="8" w:space="0" w:color="000000"/>
              <w:right w:val="single" w:sz="8" w:space="0" w:color="000000"/>
            </w:tcBorders>
            <w:shd w:val="clear" w:color="000000" w:fill="FFFFFF"/>
            <w:vAlign w:val="center"/>
            <w:hideMark/>
          </w:tcPr>
          <w:p w14:paraId="1E59CEB4"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Pjesa tjetër e botës</w:t>
            </w:r>
          </w:p>
        </w:tc>
      </w:tr>
      <w:tr w:rsidR="00EE658D" w:rsidRPr="007E6D65" w14:paraId="54933E46" w14:textId="77777777" w:rsidTr="00710375">
        <w:trPr>
          <w:trHeight w:val="765"/>
        </w:trPr>
        <w:tc>
          <w:tcPr>
            <w:tcW w:w="1822" w:type="pct"/>
            <w:gridSpan w:val="3"/>
            <w:vMerge/>
            <w:tcBorders>
              <w:top w:val="single" w:sz="8" w:space="0" w:color="000000"/>
              <w:left w:val="single" w:sz="8" w:space="0" w:color="000000"/>
              <w:bottom w:val="single" w:sz="8" w:space="0" w:color="000000"/>
              <w:right w:val="single" w:sz="8" w:space="0" w:color="000000"/>
            </w:tcBorders>
            <w:vAlign w:val="center"/>
            <w:hideMark/>
          </w:tcPr>
          <w:p w14:paraId="33EE3FD3"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p>
        </w:tc>
        <w:tc>
          <w:tcPr>
            <w:tcW w:w="447" w:type="pct"/>
            <w:vMerge/>
            <w:tcBorders>
              <w:top w:val="single" w:sz="8" w:space="0" w:color="000000"/>
              <w:left w:val="single" w:sz="8" w:space="0" w:color="000000"/>
              <w:bottom w:val="single" w:sz="8" w:space="0" w:color="000000"/>
              <w:right w:val="single" w:sz="8" w:space="0" w:color="000000"/>
            </w:tcBorders>
            <w:vAlign w:val="center"/>
            <w:hideMark/>
          </w:tcPr>
          <w:p w14:paraId="56135040"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p>
        </w:tc>
        <w:tc>
          <w:tcPr>
            <w:tcW w:w="447" w:type="pct"/>
            <w:vMerge w:val="restart"/>
            <w:tcBorders>
              <w:top w:val="nil"/>
              <w:left w:val="single" w:sz="8" w:space="0" w:color="000000"/>
              <w:bottom w:val="single" w:sz="8" w:space="0" w:color="000000"/>
              <w:right w:val="single" w:sz="8" w:space="0" w:color="000000"/>
            </w:tcBorders>
            <w:shd w:val="clear" w:color="000000" w:fill="FFFFFF"/>
            <w:vAlign w:val="center"/>
            <w:hideMark/>
          </w:tcPr>
          <w:p w14:paraId="3DFA95D8"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Rezident</w:t>
            </w:r>
          </w:p>
        </w:tc>
        <w:tc>
          <w:tcPr>
            <w:tcW w:w="447" w:type="pct"/>
            <w:vMerge w:val="restart"/>
            <w:tcBorders>
              <w:top w:val="nil"/>
              <w:left w:val="single" w:sz="8" w:space="0" w:color="000000"/>
              <w:bottom w:val="single" w:sz="8" w:space="0" w:color="000000"/>
              <w:right w:val="single" w:sz="8" w:space="0" w:color="000000"/>
            </w:tcBorders>
            <w:shd w:val="clear" w:color="000000" w:fill="FFFFFF"/>
            <w:vAlign w:val="center"/>
            <w:hideMark/>
          </w:tcPr>
          <w:p w14:paraId="51535D34"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xml:space="preserve">Shtete anëtare të Eurozonës </w:t>
            </w:r>
          </w:p>
        </w:tc>
        <w:tc>
          <w:tcPr>
            <w:tcW w:w="465" w:type="pct"/>
            <w:tcBorders>
              <w:top w:val="single" w:sz="8" w:space="0" w:color="DDDDDD"/>
              <w:left w:val="nil"/>
              <w:bottom w:val="nil"/>
              <w:right w:val="single" w:sz="8" w:space="0" w:color="000000"/>
            </w:tcBorders>
            <w:shd w:val="clear" w:color="000000" w:fill="FFFFFF"/>
            <w:vAlign w:val="center"/>
            <w:hideMark/>
          </w:tcPr>
          <w:p w14:paraId="062B76A6"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xml:space="preserve">Shtete anëtare të Eurozonës </w:t>
            </w:r>
          </w:p>
        </w:tc>
        <w:tc>
          <w:tcPr>
            <w:tcW w:w="316" w:type="pct"/>
            <w:vMerge w:val="restart"/>
            <w:tcBorders>
              <w:top w:val="nil"/>
              <w:left w:val="single" w:sz="8" w:space="0" w:color="000000"/>
              <w:bottom w:val="single" w:sz="8" w:space="0" w:color="000000"/>
              <w:right w:val="single" w:sz="8" w:space="0" w:color="000000"/>
            </w:tcBorders>
            <w:shd w:val="clear" w:color="000000" w:fill="FFFFFF"/>
            <w:vAlign w:val="center"/>
            <w:hideMark/>
          </w:tcPr>
          <w:p w14:paraId="4C738137"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Total</w:t>
            </w:r>
          </w:p>
        </w:tc>
        <w:tc>
          <w:tcPr>
            <w:tcW w:w="476" w:type="pct"/>
            <w:tcBorders>
              <w:top w:val="single" w:sz="8" w:space="0" w:color="DDDDDD"/>
              <w:left w:val="nil"/>
              <w:bottom w:val="nil"/>
              <w:right w:val="single" w:sz="8" w:space="0" w:color="000000"/>
            </w:tcBorders>
            <w:shd w:val="clear" w:color="000000" w:fill="FFFFFF"/>
            <w:vAlign w:val="center"/>
            <w:hideMark/>
          </w:tcPr>
          <w:p w14:paraId="0630FCB1"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Shtete të tjera anëtare</w:t>
            </w:r>
          </w:p>
        </w:tc>
        <w:tc>
          <w:tcPr>
            <w:tcW w:w="581" w:type="pct"/>
            <w:tcBorders>
              <w:top w:val="single" w:sz="8" w:space="0" w:color="DDDDDD"/>
              <w:left w:val="nil"/>
              <w:bottom w:val="nil"/>
              <w:right w:val="single" w:sz="8" w:space="0" w:color="000000"/>
            </w:tcBorders>
            <w:shd w:val="clear" w:color="000000" w:fill="FFFFFF"/>
            <w:vAlign w:val="center"/>
            <w:hideMark/>
          </w:tcPr>
          <w:p w14:paraId="205AC062"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Shtetet kryesore jashtë Bashkimit Evropian</w:t>
            </w:r>
          </w:p>
        </w:tc>
      </w:tr>
      <w:tr w:rsidR="00EE658D" w:rsidRPr="007E6D65" w14:paraId="0192F4C2" w14:textId="77777777" w:rsidTr="00710375">
        <w:trPr>
          <w:trHeight w:val="1545"/>
        </w:trPr>
        <w:tc>
          <w:tcPr>
            <w:tcW w:w="1822" w:type="pct"/>
            <w:gridSpan w:val="3"/>
            <w:vMerge/>
            <w:tcBorders>
              <w:top w:val="single" w:sz="8" w:space="0" w:color="000000"/>
              <w:left w:val="single" w:sz="8" w:space="0" w:color="000000"/>
              <w:bottom w:val="single" w:sz="8" w:space="0" w:color="000000"/>
              <w:right w:val="single" w:sz="8" w:space="0" w:color="000000"/>
            </w:tcBorders>
            <w:vAlign w:val="center"/>
            <w:hideMark/>
          </w:tcPr>
          <w:p w14:paraId="2FC8F8FE"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p>
        </w:tc>
        <w:tc>
          <w:tcPr>
            <w:tcW w:w="447" w:type="pct"/>
            <w:vMerge/>
            <w:tcBorders>
              <w:top w:val="single" w:sz="8" w:space="0" w:color="000000"/>
              <w:left w:val="single" w:sz="8" w:space="0" w:color="000000"/>
              <w:bottom w:val="single" w:sz="8" w:space="0" w:color="000000"/>
              <w:right w:val="single" w:sz="8" w:space="0" w:color="000000"/>
            </w:tcBorders>
            <w:vAlign w:val="center"/>
            <w:hideMark/>
          </w:tcPr>
          <w:p w14:paraId="4C0501E3"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p>
        </w:tc>
        <w:tc>
          <w:tcPr>
            <w:tcW w:w="447" w:type="pct"/>
            <w:vMerge/>
            <w:tcBorders>
              <w:top w:val="nil"/>
              <w:left w:val="single" w:sz="8" w:space="0" w:color="000000"/>
              <w:bottom w:val="single" w:sz="8" w:space="0" w:color="000000"/>
              <w:right w:val="single" w:sz="8" w:space="0" w:color="000000"/>
            </w:tcBorders>
            <w:vAlign w:val="center"/>
            <w:hideMark/>
          </w:tcPr>
          <w:p w14:paraId="77264498"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p>
        </w:tc>
        <w:tc>
          <w:tcPr>
            <w:tcW w:w="447" w:type="pct"/>
            <w:vMerge/>
            <w:tcBorders>
              <w:top w:val="nil"/>
              <w:left w:val="single" w:sz="8" w:space="0" w:color="000000"/>
              <w:bottom w:val="single" w:sz="8" w:space="0" w:color="000000"/>
              <w:right w:val="single" w:sz="8" w:space="0" w:color="000000"/>
            </w:tcBorders>
            <w:vAlign w:val="center"/>
            <w:hideMark/>
          </w:tcPr>
          <w:p w14:paraId="122260F9"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p>
        </w:tc>
        <w:tc>
          <w:tcPr>
            <w:tcW w:w="465" w:type="pct"/>
            <w:tcBorders>
              <w:top w:val="nil"/>
              <w:left w:val="nil"/>
              <w:bottom w:val="single" w:sz="8" w:space="0" w:color="000000"/>
              <w:right w:val="single" w:sz="8" w:space="0" w:color="000000"/>
            </w:tcBorders>
            <w:shd w:val="clear" w:color="000000" w:fill="FFFFFF"/>
            <w:vAlign w:val="center"/>
            <w:hideMark/>
          </w:tcPr>
          <w:p w14:paraId="4BEEFDB5"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(informacion sipas shteteve)</w:t>
            </w:r>
          </w:p>
        </w:tc>
        <w:tc>
          <w:tcPr>
            <w:tcW w:w="316" w:type="pct"/>
            <w:vMerge/>
            <w:tcBorders>
              <w:top w:val="nil"/>
              <w:left w:val="single" w:sz="8" w:space="0" w:color="000000"/>
              <w:bottom w:val="single" w:sz="8" w:space="0" w:color="000000"/>
              <w:right w:val="single" w:sz="8" w:space="0" w:color="000000"/>
            </w:tcBorders>
            <w:vAlign w:val="center"/>
            <w:hideMark/>
          </w:tcPr>
          <w:p w14:paraId="2A87ED02"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p>
        </w:tc>
        <w:tc>
          <w:tcPr>
            <w:tcW w:w="476" w:type="pct"/>
            <w:tcBorders>
              <w:top w:val="nil"/>
              <w:left w:val="nil"/>
              <w:bottom w:val="single" w:sz="8" w:space="0" w:color="000000"/>
              <w:right w:val="single" w:sz="8" w:space="0" w:color="000000"/>
            </w:tcBorders>
            <w:shd w:val="clear" w:color="000000" w:fill="FFFFFF"/>
            <w:vAlign w:val="center"/>
            <w:hideMark/>
          </w:tcPr>
          <w:p w14:paraId="3B9C40EA"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(informacion sipas shteteve)</w:t>
            </w:r>
          </w:p>
        </w:tc>
        <w:tc>
          <w:tcPr>
            <w:tcW w:w="581" w:type="pct"/>
            <w:tcBorders>
              <w:top w:val="nil"/>
              <w:left w:val="nil"/>
              <w:bottom w:val="single" w:sz="8" w:space="0" w:color="000000"/>
              <w:right w:val="single" w:sz="8" w:space="0" w:color="000000"/>
            </w:tcBorders>
            <w:shd w:val="clear" w:color="000000" w:fill="FFFFFF"/>
            <w:vAlign w:val="center"/>
            <w:hideMark/>
          </w:tcPr>
          <w:p w14:paraId="74732D04"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(informacion sipas shteteve për Brazil, Kanada, Kinë, Hong Kong, Indi, Japoni, Rusi, Zvicër, USA)</w:t>
            </w:r>
          </w:p>
        </w:tc>
      </w:tr>
      <w:tr w:rsidR="00EE658D" w:rsidRPr="007E6D65" w14:paraId="72698F96" w14:textId="77777777" w:rsidTr="00710375">
        <w:trPr>
          <w:trHeight w:val="142"/>
        </w:trPr>
        <w:tc>
          <w:tcPr>
            <w:tcW w:w="5000" w:type="pct"/>
            <w:gridSpan w:val="10"/>
            <w:tcBorders>
              <w:top w:val="single" w:sz="8" w:space="0" w:color="000000"/>
              <w:left w:val="single" w:sz="8" w:space="0" w:color="000000"/>
              <w:bottom w:val="single" w:sz="8" w:space="0" w:color="DDDDDD"/>
              <w:right w:val="single" w:sz="8" w:space="0" w:color="000000"/>
            </w:tcBorders>
            <w:shd w:val="clear" w:color="000000" w:fill="FFFFFF"/>
            <w:vAlign w:val="center"/>
            <w:hideMark/>
          </w:tcPr>
          <w:p w14:paraId="7DC46527" w14:textId="77777777" w:rsidR="00EE658D" w:rsidRPr="007E6D65" w:rsidRDefault="00EE658D" w:rsidP="007E6D65">
            <w:pPr>
              <w:spacing w:after="0" w:line="240" w:lineRule="auto"/>
              <w:jc w:val="center"/>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DETYRIMET</w:t>
            </w:r>
          </w:p>
        </w:tc>
      </w:tr>
      <w:tr w:rsidR="00EE658D" w:rsidRPr="007E6D65" w14:paraId="50F59252" w14:textId="77777777" w:rsidTr="00710375">
        <w:trPr>
          <w:trHeight w:val="46"/>
        </w:trPr>
        <w:tc>
          <w:tcPr>
            <w:tcW w:w="110" w:type="pct"/>
            <w:tcBorders>
              <w:top w:val="nil"/>
              <w:left w:val="single" w:sz="8" w:space="0" w:color="000000"/>
              <w:bottom w:val="single" w:sz="8" w:space="0" w:color="000000"/>
              <w:right w:val="nil"/>
            </w:tcBorders>
            <w:shd w:val="clear" w:color="000000" w:fill="FFFFFF"/>
            <w:vAlign w:val="center"/>
            <w:hideMark/>
          </w:tcPr>
          <w:p w14:paraId="56B673FD" w14:textId="40A44C26"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1</w:t>
            </w:r>
            <w:r w:rsidR="00EA3E5B">
              <w:rPr>
                <w:rFonts w:ascii="Garamond" w:eastAsia="Times New Roman" w:hAnsi="Garamond" w:cs="Calibri"/>
                <w:color w:val="000000"/>
                <w:sz w:val="20"/>
                <w:szCs w:val="20"/>
                <w:lang w:eastAsia="en-GB"/>
              </w:rPr>
              <w:t>.</w:t>
            </w:r>
          </w:p>
        </w:tc>
        <w:tc>
          <w:tcPr>
            <w:tcW w:w="1712" w:type="pct"/>
            <w:gridSpan w:val="2"/>
            <w:tcBorders>
              <w:top w:val="nil"/>
              <w:left w:val="nil"/>
              <w:bottom w:val="single" w:sz="8" w:space="0" w:color="000000"/>
              <w:right w:val="single" w:sz="8" w:space="0" w:color="000000"/>
            </w:tcBorders>
            <w:shd w:val="clear" w:color="000000" w:fill="FFFFFF"/>
            <w:hideMark/>
          </w:tcPr>
          <w:p w14:paraId="308C8C8C"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Tituj të borxhit të emetuara</w:t>
            </w:r>
          </w:p>
        </w:tc>
        <w:tc>
          <w:tcPr>
            <w:tcW w:w="447" w:type="pct"/>
            <w:tcBorders>
              <w:top w:val="nil"/>
              <w:left w:val="nil"/>
              <w:bottom w:val="single" w:sz="8" w:space="0" w:color="000000"/>
              <w:right w:val="single" w:sz="8" w:space="0" w:color="000000"/>
            </w:tcBorders>
            <w:shd w:val="clear" w:color="000000" w:fill="FFFFFF"/>
            <w:vAlign w:val="center"/>
            <w:hideMark/>
          </w:tcPr>
          <w:p w14:paraId="1AF8B652"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nil"/>
              <w:left w:val="nil"/>
              <w:bottom w:val="single" w:sz="8" w:space="0" w:color="000000"/>
              <w:right w:val="single" w:sz="8" w:space="0" w:color="000000"/>
            </w:tcBorders>
            <w:shd w:val="clear" w:color="000000" w:fill="FFFFFF"/>
            <w:vAlign w:val="center"/>
            <w:hideMark/>
          </w:tcPr>
          <w:p w14:paraId="52772B0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nil"/>
              <w:left w:val="nil"/>
              <w:bottom w:val="single" w:sz="8" w:space="0" w:color="000000"/>
              <w:right w:val="single" w:sz="8" w:space="0" w:color="000000"/>
            </w:tcBorders>
            <w:shd w:val="clear" w:color="000000" w:fill="FFFFFF"/>
            <w:vAlign w:val="center"/>
            <w:hideMark/>
          </w:tcPr>
          <w:p w14:paraId="40B9763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nil"/>
              <w:left w:val="nil"/>
              <w:bottom w:val="single" w:sz="8" w:space="0" w:color="000000"/>
              <w:right w:val="single" w:sz="8" w:space="0" w:color="000000"/>
            </w:tcBorders>
            <w:shd w:val="clear" w:color="000000" w:fill="FFFFFF"/>
            <w:vAlign w:val="center"/>
            <w:hideMark/>
          </w:tcPr>
          <w:p w14:paraId="25F9064E"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nil"/>
              <w:left w:val="nil"/>
              <w:bottom w:val="single" w:sz="8" w:space="0" w:color="000000"/>
              <w:right w:val="single" w:sz="8" w:space="0" w:color="000000"/>
            </w:tcBorders>
            <w:shd w:val="clear" w:color="000000" w:fill="FFFFFF"/>
            <w:vAlign w:val="center"/>
            <w:hideMark/>
          </w:tcPr>
          <w:p w14:paraId="5D73AE82"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nil"/>
              <w:left w:val="nil"/>
              <w:bottom w:val="single" w:sz="8" w:space="0" w:color="000000"/>
              <w:right w:val="single" w:sz="8" w:space="0" w:color="000000"/>
            </w:tcBorders>
            <w:shd w:val="clear" w:color="000000" w:fill="FFFFFF"/>
            <w:vAlign w:val="center"/>
            <w:hideMark/>
          </w:tcPr>
          <w:p w14:paraId="39FA98B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nil"/>
              <w:left w:val="nil"/>
              <w:bottom w:val="single" w:sz="8" w:space="0" w:color="000000"/>
              <w:right w:val="single" w:sz="8" w:space="0" w:color="000000"/>
            </w:tcBorders>
            <w:shd w:val="clear" w:color="000000" w:fill="FFFFFF"/>
            <w:vAlign w:val="center"/>
            <w:hideMark/>
          </w:tcPr>
          <w:p w14:paraId="5DC1054F"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EE658D" w:rsidRPr="007E6D65" w14:paraId="2FE072FC" w14:textId="77777777" w:rsidTr="00710375">
        <w:trPr>
          <w:trHeight w:val="46"/>
        </w:trPr>
        <w:tc>
          <w:tcPr>
            <w:tcW w:w="110" w:type="pct"/>
            <w:tcBorders>
              <w:top w:val="single" w:sz="8" w:space="0" w:color="DDDDDD"/>
              <w:left w:val="single" w:sz="8" w:space="0" w:color="000000"/>
              <w:bottom w:val="single" w:sz="8" w:space="0" w:color="000000"/>
              <w:right w:val="nil"/>
            </w:tcBorders>
            <w:shd w:val="clear" w:color="000000" w:fill="FFFFFF"/>
            <w:vAlign w:val="center"/>
            <w:hideMark/>
          </w:tcPr>
          <w:p w14:paraId="77FB3FD5" w14:textId="7A0A1B94"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2</w:t>
            </w:r>
            <w:r w:rsidR="00EA3E5B">
              <w:rPr>
                <w:rFonts w:ascii="Garamond" w:eastAsia="Times New Roman" w:hAnsi="Garamond" w:cs="Calibri"/>
                <w:color w:val="000000"/>
                <w:sz w:val="20"/>
                <w:szCs w:val="20"/>
                <w:lang w:eastAsia="en-GB"/>
              </w:rPr>
              <w:t>.</w:t>
            </w:r>
          </w:p>
        </w:tc>
        <w:tc>
          <w:tcPr>
            <w:tcW w:w="1712" w:type="pct"/>
            <w:gridSpan w:val="2"/>
            <w:tcBorders>
              <w:top w:val="single" w:sz="8" w:space="0" w:color="DDDDDD"/>
              <w:left w:val="nil"/>
              <w:bottom w:val="single" w:sz="8" w:space="0" w:color="000000"/>
              <w:right w:val="single" w:sz="8" w:space="0" w:color="000000"/>
            </w:tcBorders>
            <w:shd w:val="clear" w:color="000000" w:fill="FFFFFF"/>
            <w:hideMark/>
          </w:tcPr>
          <w:p w14:paraId="7CCCCBBB" w14:textId="79A8C211" w:rsidR="00EE658D" w:rsidRPr="007E6D65" w:rsidRDefault="00EE658D" w:rsidP="0071037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Huat</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7B0C0C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32E0E8F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79560E9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7579AB69"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57B1DA26"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5D0AB926"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7F6DBC5F"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EE658D" w:rsidRPr="007E6D65" w14:paraId="016CE1D6"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50A80BBB"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emetuar nga institucione monetare financiare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9D6EB22"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5076E4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91DE44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7ACBF6E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7DCCA83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2F5EB9E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600D832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EE658D" w:rsidRPr="007E6D65" w14:paraId="4F22C80D"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4920757B" w14:textId="77777777" w:rsidR="00EE658D" w:rsidRPr="007E6D65" w:rsidRDefault="009E69D6" w:rsidP="007E6D65">
            <w:pPr>
              <w:spacing w:after="0" w:line="240" w:lineRule="auto"/>
              <w:rPr>
                <w:rFonts w:ascii="Garamond" w:eastAsia="Times New Roman" w:hAnsi="Garamond" w:cs="Calibri"/>
                <w:color w:val="000000"/>
                <w:sz w:val="20"/>
                <w:szCs w:val="20"/>
                <w:lang w:eastAsia="en-GB"/>
              </w:rPr>
            </w:pPr>
            <w:hyperlink r:id="rId15" w:anchor="ntr3-L_2014366EN.01004301-E0003" w:history="1">
              <w:r w:rsidR="00EE658D" w:rsidRPr="007E6D65">
                <w:rPr>
                  <w:rFonts w:ascii="Garamond" w:eastAsia="Times New Roman" w:hAnsi="Garamond" w:cs="Calibri"/>
                  <w:color w:val="000000"/>
                  <w:sz w:val="20"/>
                  <w:szCs w:val="20"/>
                  <w:lang w:eastAsia="en-GB"/>
                </w:rPr>
                <w:t>emetuar nga institucione të tjera financiare</w:t>
              </w:r>
            </w:hyperlink>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7D47C600"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4583DCE5"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6EBE106F"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0C896AF6"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0ED923EE"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3B441CA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3F0C1F8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F54903" w:rsidRPr="007E6D65" w14:paraId="6939452C" w14:textId="77777777" w:rsidTr="00710375">
        <w:trPr>
          <w:trHeight w:val="46"/>
        </w:trPr>
        <w:tc>
          <w:tcPr>
            <w:tcW w:w="1822" w:type="pct"/>
            <w:gridSpan w:val="3"/>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280C9DA5" w14:textId="320E2EFF" w:rsidR="00F54903" w:rsidRPr="00F54903" w:rsidRDefault="00F54903" w:rsidP="00F54903">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2.x.</w:t>
            </w:r>
            <w:r>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 xml:space="preserve">nga të cilat garancitë e depozitave në lidhje me risigurimin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0708828F" w14:textId="77777777" w:rsidR="00F54903" w:rsidRPr="007E6D65" w:rsidRDefault="00F54903"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6C856397" w14:textId="77777777" w:rsidR="00F54903" w:rsidRPr="007E6D65" w:rsidRDefault="00F54903"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44A882C" w14:textId="77777777" w:rsidR="00F54903" w:rsidRPr="007E6D65" w:rsidRDefault="00F54903"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4A56E49D" w14:textId="77777777" w:rsidR="00F54903" w:rsidRPr="007E6D65" w:rsidRDefault="00F54903"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028D32B5" w14:textId="77777777" w:rsidR="00F54903" w:rsidRPr="007E6D65" w:rsidRDefault="00F54903"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7DDEEACB" w14:textId="77777777" w:rsidR="00F54903" w:rsidRPr="007E6D65" w:rsidRDefault="00F54903"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6BE271EB" w14:textId="77777777" w:rsidR="00F54903" w:rsidRPr="007E6D65" w:rsidRDefault="00F54903"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710375" w:rsidRPr="007E6D65" w14:paraId="11976007" w14:textId="77777777" w:rsidTr="00710375">
        <w:trPr>
          <w:trHeight w:val="46"/>
        </w:trPr>
        <w:tc>
          <w:tcPr>
            <w:tcW w:w="1822" w:type="pct"/>
            <w:gridSpan w:val="3"/>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364F1A4A" w14:textId="1812F6C3" w:rsidR="00710375" w:rsidRPr="00710375" w:rsidRDefault="00710375" w:rsidP="0071037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3</w:t>
            </w:r>
            <w:r>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 xml:space="preserve">Kapital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13B055FD" w14:textId="77777777" w:rsidR="00710375" w:rsidRPr="007E6D65" w:rsidRDefault="00710375"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6EDF7ADD" w14:textId="77777777" w:rsidR="00710375" w:rsidRPr="007E6D65" w:rsidRDefault="0071037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0E7953B8" w14:textId="77777777" w:rsidR="00710375" w:rsidRPr="007E6D65" w:rsidRDefault="0071037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5F8D6ED1" w14:textId="77777777" w:rsidR="00710375" w:rsidRPr="007E6D65" w:rsidRDefault="0071037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4FE131E0" w14:textId="77777777" w:rsidR="00710375" w:rsidRPr="007E6D65" w:rsidRDefault="0071037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0D433213" w14:textId="77777777" w:rsidR="00710375" w:rsidRPr="007E6D65" w:rsidRDefault="0071037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65E4B241" w14:textId="77777777" w:rsidR="00710375" w:rsidRPr="007E6D65" w:rsidRDefault="0071037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EE658D" w:rsidRPr="007E6D65" w14:paraId="3B3226FE" w14:textId="77777777" w:rsidTr="00710375">
        <w:trPr>
          <w:trHeight w:val="46"/>
        </w:trPr>
        <w:tc>
          <w:tcPr>
            <w:tcW w:w="165" w:type="pct"/>
            <w:gridSpan w:val="2"/>
            <w:tcBorders>
              <w:top w:val="single" w:sz="8" w:space="0" w:color="DDDDDD"/>
              <w:left w:val="single" w:sz="8" w:space="0" w:color="000000"/>
              <w:bottom w:val="single" w:sz="8" w:space="0" w:color="000000"/>
              <w:right w:val="nil"/>
            </w:tcBorders>
            <w:shd w:val="clear" w:color="000000" w:fill="FFFFFF"/>
            <w:vAlign w:val="center"/>
            <w:hideMark/>
          </w:tcPr>
          <w:p w14:paraId="774B9C0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3a.</w:t>
            </w:r>
          </w:p>
        </w:tc>
        <w:tc>
          <w:tcPr>
            <w:tcW w:w="1657" w:type="pct"/>
            <w:tcBorders>
              <w:top w:val="single" w:sz="8" w:space="0" w:color="DDDDDD"/>
              <w:left w:val="nil"/>
              <w:bottom w:val="single" w:sz="8" w:space="0" w:color="000000"/>
              <w:right w:val="single" w:sz="8" w:space="0" w:color="000000"/>
            </w:tcBorders>
            <w:shd w:val="clear" w:color="000000" w:fill="FFFFFF"/>
            <w:hideMark/>
          </w:tcPr>
          <w:p w14:paraId="2AAE5858"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nga të cilat aksione të listuara</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7D7FF5A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310088D3"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7C8DC91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66693BC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6E27C81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07330E8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4CC1A05E"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EE658D" w:rsidRPr="007E6D65" w14:paraId="0524BD7F" w14:textId="77777777" w:rsidTr="00710375">
        <w:trPr>
          <w:trHeight w:val="46"/>
        </w:trPr>
        <w:tc>
          <w:tcPr>
            <w:tcW w:w="165" w:type="pct"/>
            <w:gridSpan w:val="2"/>
            <w:tcBorders>
              <w:top w:val="single" w:sz="8" w:space="0" w:color="DDDDDD"/>
              <w:left w:val="single" w:sz="8" w:space="0" w:color="000000"/>
              <w:bottom w:val="single" w:sz="8" w:space="0" w:color="000000"/>
              <w:right w:val="nil"/>
            </w:tcBorders>
            <w:shd w:val="clear" w:color="000000" w:fill="FFFFFF"/>
            <w:vAlign w:val="center"/>
            <w:hideMark/>
          </w:tcPr>
          <w:p w14:paraId="0E0EA6E2"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3b.</w:t>
            </w:r>
          </w:p>
        </w:tc>
        <w:tc>
          <w:tcPr>
            <w:tcW w:w="1657" w:type="pct"/>
            <w:tcBorders>
              <w:top w:val="single" w:sz="8" w:space="0" w:color="DDDDDD"/>
              <w:left w:val="nil"/>
              <w:bottom w:val="single" w:sz="8" w:space="0" w:color="000000"/>
              <w:right w:val="single" w:sz="8" w:space="0" w:color="000000"/>
            </w:tcBorders>
            <w:shd w:val="clear" w:color="000000" w:fill="FFFFFF"/>
            <w:hideMark/>
          </w:tcPr>
          <w:p w14:paraId="6324DFF3"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nga të cilat aksione të pa listuara</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18B061C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41A46D8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C0ACA81"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2507975F"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2F46EF8E"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4F60DE7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52439129"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EE658D" w:rsidRPr="007E6D65" w14:paraId="030FBED3" w14:textId="77777777" w:rsidTr="00710375">
        <w:trPr>
          <w:trHeight w:val="46"/>
        </w:trPr>
        <w:tc>
          <w:tcPr>
            <w:tcW w:w="165" w:type="pct"/>
            <w:gridSpan w:val="2"/>
            <w:tcBorders>
              <w:top w:val="single" w:sz="8" w:space="0" w:color="DDDDDD"/>
              <w:left w:val="single" w:sz="8" w:space="0" w:color="000000"/>
              <w:bottom w:val="single" w:sz="8" w:space="0" w:color="000000"/>
              <w:right w:val="nil"/>
            </w:tcBorders>
            <w:shd w:val="clear" w:color="000000" w:fill="FFFFFF"/>
            <w:vAlign w:val="center"/>
            <w:hideMark/>
          </w:tcPr>
          <w:p w14:paraId="6D865E51"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3c.</w:t>
            </w:r>
          </w:p>
        </w:tc>
        <w:tc>
          <w:tcPr>
            <w:tcW w:w="1657" w:type="pct"/>
            <w:tcBorders>
              <w:top w:val="single" w:sz="8" w:space="0" w:color="DDDDDD"/>
              <w:left w:val="nil"/>
              <w:bottom w:val="single" w:sz="8" w:space="0" w:color="000000"/>
              <w:right w:val="single" w:sz="8" w:space="0" w:color="000000"/>
            </w:tcBorders>
            <w:shd w:val="clear" w:color="000000" w:fill="FFFFFF"/>
            <w:hideMark/>
          </w:tcPr>
          <w:p w14:paraId="56DD3792"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nga të cilat kapitale të tjera</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7FA9B679"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CCA4961"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676DC6CF"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7970D25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7842E11F"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38C34A0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36FC2B23"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CA1035" w:rsidRPr="007E6D65" w14:paraId="5A66A551" w14:textId="77777777" w:rsidTr="00710375">
        <w:trPr>
          <w:trHeight w:val="315"/>
        </w:trPr>
        <w:tc>
          <w:tcPr>
            <w:tcW w:w="1822" w:type="pct"/>
            <w:gridSpan w:val="3"/>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594FA0C3" w14:textId="79877BD2" w:rsidR="00CA1035" w:rsidRPr="00CA1035" w:rsidRDefault="00CA1035" w:rsidP="00CA103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4</w:t>
            </w:r>
            <w:r>
              <w:rPr>
                <w:rFonts w:ascii="Garamond" w:eastAsia="Times New Roman" w:hAnsi="Garamond" w:cs="Calibri"/>
                <w:color w:val="000000"/>
                <w:sz w:val="20"/>
                <w:szCs w:val="20"/>
                <w:lang w:eastAsia="en-GB"/>
              </w:rPr>
              <w:t xml:space="preserve">. </w:t>
            </w:r>
            <w:hyperlink r:id="rId16" w:anchor="ntr4-L_2014366EN.01004301-E0004" w:history="1">
              <w:r w:rsidRPr="007E6D65">
                <w:rPr>
                  <w:rFonts w:ascii="Garamond" w:eastAsia="Times New Roman" w:hAnsi="Garamond" w:cs="Calibri"/>
                  <w:b/>
                  <w:bCs/>
                  <w:color w:val="000000"/>
                  <w:sz w:val="20"/>
                  <w:szCs w:val="20"/>
                  <w:lang w:eastAsia="en-GB"/>
                </w:rPr>
                <w:t>Rezervat teknike të sigurimit</w:t>
              </w:r>
            </w:hyperlink>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ED73C0B" w14:textId="77777777" w:rsidR="00CA1035" w:rsidRPr="007E6D65" w:rsidRDefault="00CA1035"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02275EB9" w14:textId="77777777" w:rsidR="00CA1035" w:rsidRPr="007E6D65" w:rsidRDefault="00CA103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3B6981D3" w14:textId="77777777" w:rsidR="00CA1035" w:rsidRPr="007E6D65" w:rsidRDefault="00CA103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59A65258" w14:textId="77777777" w:rsidR="00CA1035" w:rsidRPr="007E6D65" w:rsidRDefault="00CA103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5CB1F0E1" w14:textId="77777777" w:rsidR="00CA1035" w:rsidRPr="007E6D65" w:rsidRDefault="00CA103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3172CBB2" w14:textId="77777777" w:rsidR="00CA1035" w:rsidRPr="007E6D65" w:rsidRDefault="00CA103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1BFD2AFB" w14:textId="77777777" w:rsidR="00CA1035" w:rsidRPr="007E6D65" w:rsidRDefault="00CA103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9A07EB" w:rsidRPr="007E6D65" w14:paraId="407BD993" w14:textId="77777777" w:rsidTr="00710375">
        <w:trPr>
          <w:trHeight w:val="46"/>
        </w:trPr>
        <w:tc>
          <w:tcPr>
            <w:tcW w:w="1822" w:type="pct"/>
            <w:gridSpan w:val="3"/>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06387758" w14:textId="1A522B72" w:rsidR="009A07EB" w:rsidRPr="009A07EB" w:rsidRDefault="009A07EB" w:rsidP="009A07EB">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4.1</w:t>
            </w:r>
            <w:r>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Rezervat teknike të sigurimit të jetës</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3F472364" w14:textId="77777777" w:rsidR="009A07EB" w:rsidRPr="007E6D65" w:rsidRDefault="009A07EB"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725848D" w14:textId="77777777" w:rsidR="009A07EB" w:rsidRPr="007E6D65" w:rsidRDefault="009A07EB"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655AEB2A" w14:textId="77777777" w:rsidR="009A07EB" w:rsidRPr="007E6D65" w:rsidRDefault="009A07EB"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6BFC9135" w14:textId="77777777" w:rsidR="009A07EB" w:rsidRPr="007E6D65" w:rsidRDefault="009A07EB"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535B8E1F" w14:textId="77777777" w:rsidR="009A07EB" w:rsidRPr="007E6D65" w:rsidRDefault="009A07EB"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7A681C71" w14:textId="77777777" w:rsidR="009A07EB" w:rsidRPr="007E6D65" w:rsidRDefault="009A07EB"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07180B72" w14:textId="77777777" w:rsidR="009A07EB" w:rsidRPr="007E6D65" w:rsidRDefault="009A07EB"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EE658D" w:rsidRPr="007E6D65" w14:paraId="7289D9A5"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56A8FA"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nga të cilat me njësi të lidhura</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199D711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480832E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7D95C6E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75FD210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0AE7F21E"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7F4018C6"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590366C1"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EE658D" w:rsidRPr="007E6D65" w14:paraId="1325808A"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6F7F7C"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nga të cilat me njësi të palidhura</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97A8B4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D3E8E8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43EE48B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2768DB31"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7CADB58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2F1AB86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2F20A9F9"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EE658D" w:rsidRPr="007E6D65" w14:paraId="4CF66355"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0C0E1C3"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nga të cilat përfitimet e pensioneve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2A1AF16"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FC6B02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7460240D"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2753F1C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5A6FE85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123030A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5DC796F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EE658D" w:rsidRPr="007E6D65" w14:paraId="78EFCAD5"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34D8E2B"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nga të cilat skemat me kontribute të përcaktuara</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7153DCBD"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394825B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1FDAA17D"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2171F601"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2BF743AE"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47EC305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4B077A6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EE658D" w:rsidRPr="007E6D65" w14:paraId="0BE632B7"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2455287"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nga të cilat skemat përfitime të përcaktuara</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87BD65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1DAA485"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BE63EC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2B036EE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3DC24B2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61C978E5"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092FDAB6"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EE658D" w:rsidRPr="007E6D65" w14:paraId="61348B45"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19344B9B"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nga të cilat skema hibride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06454AD6"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B5498D5"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6777F9D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00B8C4D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4B6418C3"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5A16D492"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38E5C14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B24C95" w:rsidRPr="007E6D65" w14:paraId="64103705" w14:textId="77777777" w:rsidTr="00710375">
        <w:trPr>
          <w:trHeight w:val="46"/>
        </w:trPr>
        <w:tc>
          <w:tcPr>
            <w:tcW w:w="1822" w:type="pct"/>
            <w:gridSpan w:val="3"/>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38C6C47C" w14:textId="360FFAFD" w:rsidR="00B24C95" w:rsidRPr="00B24C95" w:rsidRDefault="00B24C95" w:rsidP="00B24C9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4.2</w:t>
            </w:r>
            <w:r>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Rezervat teknike të sigurimit jojetë</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3C6C9733" w14:textId="77777777" w:rsidR="00B24C95" w:rsidRPr="007E6D65" w:rsidRDefault="00B24C95"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CF14450" w14:textId="77777777" w:rsidR="00B24C95" w:rsidRPr="007E6D65" w:rsidRDefault="00B24C9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3ED68129" w14:textId="77777777" w:rsidR="00B24C95" w:rsidRPr="007E6D65" w:rsidRDefault="00B24C95"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4625E267" w14:textId="77777777" w:rsidR="00B24C95" w:rsidRPr="007E6D65" w:rsidRDefault="00B24C9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366B6176" w14:textId="77777777" w:rsidR="00B24C95" w:rsidRPr="007E6D65" w:rsidRDefault="00B24C9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5086AFC0" w14:textId="77777777" w:rsidR="00B24C95" w:rsidRPr="007E6D65" w:rsidRDefault="00B24C9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5A114851" w14:textId="77777777" w:rsidR="00B24C95" w:rsidRPr="007E6D65" w:rsidRDefault="00B24C95"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EE658D" w:rsidRPr="007E6D65" w14:paraId="60160755"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5D1BB4B9"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Sipas linjës së biznesit</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0AF10B5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C4D55F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1DE879A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7A9055C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0E37D07F"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0E464EE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3A4E120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EE658D" w:rsidRPr="007E6D65" w14:paraId="79C59213"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48242697"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Sigurimi i shpenzimeve mjekësore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DE9391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6740C13C"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3A42016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113B8CE8"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34994945"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779C9D40"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4E49A180"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EE658D" w:rsidRPr="007E6D65" w14:paraId="43F54ADE"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B81D64B"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Sigurimi për mbrojtjen e të ardhurave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F06CA99"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329710C5"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686B307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732EB8A4"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626E57FF"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3E32CB8C"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3DB781A4"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EE658D" w:rsidRPr="007E6D65" w14:paraId="457823FE"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3445FBC5"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lastRenderedPageBreak/>
              <w:t>Sigurimi i kompensimit të punonjësve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7BD8753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3A1628E8"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7F2C296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5C3DBF3E"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47DE918D"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4082BADE"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7247BF05"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EE658D" w:rsidRPr="007E6D65" w14:paraId="22B5A82C"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D09A6CF"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Sigurimi i borxhit të mjeteve motorike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66511D6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0E0E555"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ECAD893"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26E3726B"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7EA945BD"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3EE55FD1"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0099AE05"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EE658D" w:rsidRPr="007E6D65" w14:paraId="15AC365A"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E0155DC"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Sigurime të tjera motorike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0447AEE8"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4D0DAB2C"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06C919D"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001AEEEF"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244CF176"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36D7FCE8"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170E2B9F"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EE658D" w:rsidRPr="007E6D65" w14:paraId="7ED8FE2C"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0AADC808"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 detar, ajror dhe transporti</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47DF8A43"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65C7FE62"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4476F1D5"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2228585D"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00D2B56A"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2E865DE1"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73CC4752"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EE658D" w:rsidRPr="007E6D65" w14:paraId="3EA8B38F"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659BDD6F"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 zjarri dhe dëmtime të tjera prone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78AEA7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17522D87"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46A95A6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69FDEA65"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4D1621BF"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65197C4B"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1DC23645"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EE658D" w:rsidRPr="007E6D65" w14:paraId="1AFA926F"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FD3B28"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 i detyrimeve të përgjithshme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5D34EF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6882C20"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111806C"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27787CF0"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545DC486"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2C493182"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0EFD0020"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EE658D" w:rsidRPr="007E6D65" w14:paraId="6472CCFC"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19D078C1"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Sigurimi kredisë dhe garancisë</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6DB54214"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DB4DB6C"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7E529646"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415BE5AE"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7D870D90"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412046D9"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0E4ABE4A"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EE658D" w:rsidRPr="007E6D65" w14:paraId="072ED545"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32ED0EA"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Sigurim i shpenzimeve ligjore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6117407"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769D1445"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031F9235"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6D38A789"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31801A06"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1A732E46"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4FC301F4"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EE658D" w:rsidRPr="007E6D65" w14:paraId="05B5C1B8"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AB87390"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Asistencë</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01361756"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1329DE51"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48427303"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3843182A"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0102CBCB"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6350D7A0"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2F6D0DC3"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EE658D" w:rsidRPr="007E6D65" w14:paraId="089DBD48"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8D55516"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Humbje të ndryshme financiare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1B2DEB09"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4B9E7B08"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19E2B5AE"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29608A89"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77AF77B1"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218FBDE9"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227549D2"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EE658D" w:rsidRPr="007E6D65" w14:paraId="37E347B8" w14:textId="77777777" w:rsidTr="00710375">
        <w:trPr>
          <w:trHeight w:val="46"/>
        </w:trPr>
        <w:tc>
          <w:tcPr>
            <w:tcW w:w="1822" w:type="pct"/>
            <w:gridSpan w:val="3"/>
            <w:tcBorders>
              <w:top w:val="single" w:sz="8" w:space="0" w:color="000000"/>
              <w:left w:val="single" w:sz="8" w:space="0" w:color="000000"/>
              <w:bottom w:val="single" w:sz="8" w:space="0" w:color="000000"/>
              <w:right w:val="single" w:sz="8" w:space="0" w:color="000000"/>
            </w:tcBorders>
            <w:shd w:val="clear" w:color="000000" w:fill="FFFFFF"/>
            <w:vAlign w:val="center"/>
            <w:hideMark/>
          </w:tcPr>
          <w:p w14:paraId="26732B48" w14:textId="77777777" w:rsidR="00EE658D" w:rsidRPr="007E6D65" w:rsidRDefault="00EE658D" w:rsidP="007E6D65">
            <w:pPr>
              <w:spacing w:after="0" w:line="240" w:lineRule="auto"/>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Risigurim</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2B501E82"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3BAF214A"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489CF956"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49162FD5"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7335E52D" w14:textId="77777777" w:rsidR="00EE658D" w:rsidRPr="007E6D65" w:rsidRDefault="00EE658D"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75A5F7A4"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7B1A3800" w14:textId="77777777" w:rsidR="00EE658D" w:rsidRPr="007E6D65" w:rsidRDefault="00EE658D" w:rsidP="007E6D65">
            <w:pPr>
              <w:spacing w:after="0" w:line="240" w:lineRule="auto"/>
              <w:rPr>
                <w:rFonts w:ascii="Garamond" w:eastAsia="Times New Roman" w:hAnsi="Garamond" w:cs="Calibri"/>
                <w:b/>
                <w:bCs/>
                <w:color w:val="000000"/>
                <w:sz w:val="20"/>
                <w:szCs w:val="20"/>
                <w:lang w:eastAsia="en-GB"/>
              </w:rPr>
            </w:pPr>
            <w:r w:rsidRPr="007E6D65">
              <w:rPr>
                <w:rFonts w:ascii="Garamond" w:eastAsia="Times New Roman" w:hAnsi="Garamond" w:cs="Calibri"/>
                <w:b/>
                <w:bCs/>
                <w:color w:val="000000"/>
                <w:sz w:val="20"/>
                <w:szCs w:val="20"/>
                <w:lang w:eastAsia="en-GB"/>
              </w:rPr>
              <w:t>Vjetore</w:t>
            </w:r>
          </w:p>
        </w:tc>
      </w:tr>
      <w:tr w:rsidR="005A345C" w:rsidRPr="007E6D65" w14:paraId="1437234B" w14:textId="77777777" w:rsidTr="00710375">
        <w:trPr>
          <w:trHeight w:val="46"/>
        </w:trPr>
        <w:tc>
          <w:tcPr>
            <w:tcW w:w="1822" w:type="pct"/>
            <w:gridSpan w:val="3"/>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1DBF11A1" w14:textId="51BDA84D" w:rsidR="005A345C" w:rsidRPr="005A345C" w:rsidRDefault="005A345C" w:rsidP="005A345C">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5</w:t>
            </w:r>
            <w:r>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 xml:space="preserve">Derivatë </w:t>
            </w:r>
            <w:r>
              <w:rPr>
                <w:rFonts w:ascii="Garamond" w:eastAsia="Times New Roman" w:hAnsi="Garamond" w:cs="Calibri"/>
                <w:b/>
                <w:bCs/>
                <w:color w:val="000000"/>
                <w:sz w:val="20"/>
                <w:szCs w:val="20"/>
                <w:lang w:eastAsia="en-GB"/>
              </w:rPr>
              <w:t>f</w:t>
            </w:r>
            <w:r w:rsidRPr="007E6D65">
              <w:rPr>
                <w:rFonts w:ascii="Garamond" w:eastAsia="Times New Roman" w:hAnsi="Garamond" w:cs="Calibri"/>
                <w:b/>
                <w:bCs/>
                <w:color w:val="000000"/>
                <w:sz w:val="20"/>
                <w:szCs w:val="20"/>
                <w:lang w:eastAsia="en-GB"/>
              </w:rPr>
              <w:t>inanciarë</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461411E6" w14:textId="77777777" w:rsidR="005A345C" w:rsidRPr="007E6D65" w:rsidRDefault="005A345C"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0AFF782E" w14:textId="77777777" w:rsidR="005A345C" w:rsidRPr="007E6D65" w:rsidRDefault="005A345C"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05B2251A" w14:textId="77777777" w:rsidR="005A345C" w:rsidRPr="007E6D65" w:rsidRDefault="005A345C"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1E460640" w14:textId="77777777" w:rsidR="005A345C" w:rsidRPr="007E6D65" w:rsidRDefault="005A345C"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7F6A9ABD" w14:textId="77777777" w:rsidR="005A345C" w:rsidRPr="007E6D65" w:rsidRDefault="005A345C"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37BF4E87" w14:textId="77777777" w:rsidR="005A345C" w:rsidRPr="007E6D65" w:rsidRDefault="005A345C"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41347346" w14:textId="77777777" w:rsidR="005A345C" w:rsidRPr="007E6D65" w:rsidRDefault="005A345C"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r w:rsidR="005A345C" w:rsidRPr="007E6D65" w14:paraId="0E0356EC" w14:textId="77777777" w:rsidTr="00710375">
        <w:trPr>
          <w:trHeight w:val="46"/>
        </w:trPr>
        <w:tc>
          <w:tcPr>
            <w:tcW w:w="1822" w:type="pct"/>
            <w:gridSpan w:val="3"/>
            <w:tcBorders>
              <w:top w:val="single" w:sz="8" w:space="0" w:color="DDDDDD"/>
              <w:left w:val="single" w:sz="8" w:space="0" w:color="000000"/>
              <w:bottom w:val="single" w:sz="8" w:space="0" w:color="000000"/>
              <w:right w:val="single" w:sz="8" w:space="0" w:color="000000"/>
            </w:tcBorders>
            <w:shd w:val="clear" w:color="000000" w:fill="FFFFFF"/>
            <w:vAlign w:val="center"/>
            <w:hideMark/>
          </w:tcPr>
          <w:p w14:paraId="315CF8BA" w14:textId="308B33B6" w:rsidR="005A345C" w:rsidRPr="005A345C" w:rsidRDefault="005A345C" w:rsidP="005A345C">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6</w:t>
            </w:r>
            <w:r>
              <w:rPr>
                <w:rFonts w:ascii="Garamond" w:eastAsia="Times New Roman" w:hAnsi="Garamond" w:cs="Calibri"/>
                <w:color w:val="000000"/>
                <w:sz w:val="20"/>
                <w:szCs w:val="20"/>
                <w:lang w:eastAsia="en-GB"/>
              </w:rPr>
              <w:t xml:space="preserve">. </w:t>
            </w:r>
            <w:r w:rsidRPr="007E6D65">
              <w:rPr>
                <w:rFonts w:ascii="Garamond" w:eastAsia="Times New Roman" w:hAnsi="Garamond" w:cs="Calibri"/>
                <w:b/>
                <w:bCs/>
                <w:color w:val="000000"/>
                <w:sz w:val="20"/>
                <w:szCs w:val="20"/>
                <w:lang w:eastAsia="en-GB"/>
              </w:rPr>
              <w:t>Detyrime të tjera</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56BEB888" w14:textId="77777777" w:rsidR="005A345C" w:rsidRPr="007E6D65" w:rsidRDefault="005A345C"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6DBA25C0" w14:textId="77777777" w:rsidR="005A345C" w:rsidRPr="007E6D65" w:rsidRDefault="005A345C"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47" w:type="pct"/>
            <w:tcBorders>
              <w:top w:val="single" w:sz="8" w:space="0" w:color="DDDDDD"/>
              <w:left w:val="nil"/>
              <w:bottom w:val="single" w:sz="8" w:space="0" w:color="000000"/>
              <w:right w:val="single" w:sz="8" w:space="0" w:color="000000"/>
            </w:tcBorders>
            <w:shd w:val="clear" w:color="000000" w:fill="FFFFFF"/>
            <w:vAlign w:val="center"/>
            <w:hideMark/>
          </w:tcPr>
          <w:p w14:paraId="1947299E" w14:textId="77777777" w:rsidR="005A345C" w:rsidRPr="007E6D65" w:rsidRDefault="005A345C"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65" w:type="pct"/>
            <w:tcBorders>
              <w:top w:val="single" w:sz="8" w:space="0" w:color="DDDDDD"/>
              <w:left w:val="nil"/>
              <w:bottom w:val="single" w:sz="8" w:space="0" w:color="000000"/>
              <w:right w:val="single" w:sz="8" w:space="0" w:color="000000"/>
            </w:tcBorders>
            <w:shd w:val="clear" w:color="000000" w:fill="FFFFFF"/>
            <w:vAlign w:val="center"/>
            <w:hideMark/>
          </w:tcPr>
          <w:p w14:paraId="5A145768" w14:textId="77777777" w:rsidR="005A345C" w:rsidRPr="007E6D65" w:rsidRDefault="005A345C"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316" w:type="pct"/>
            <w:tcBorders>
              <w:top w:val="single" w:sz="8" w:space="0" w:color="DDDDDD"/>
              <w:left w:val="nil"/>
              <w:bottom w:val="single" w:sz="8" w:space="0" w:color="000000"/>
              <w:right w:val="single" w:sz="8" w:space="0" w:color="000000"/>
            </w:tcBorders>
            <w:shd w:val="clear" w:color="000000" w:fill="FFFFFF"/>
            <w:vAlign w:val="center"/>
            <w:hideMark/>
          </w:tcPr>
          <w:p w14:paraId="596A15C9" w14:textId="77777777" w:rsidR="005A345C" w:rsidRPr="007E6D65" w:rsidRDefault="005A345C"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476" w:type="pct"/>
            <w:tcBorders>
              <w:top w:val="single" w:sz="8" w:space="0" w:color="DDDDDD"/>
              <w:left w:val="nil"/>
              <w:bottom w:val="single" w:sz="8" w:space="0" w:color="000000"/>
              <w:right w:val="single" w:sz="8" w:space="0" w:color="000000"/>
            </w:tcBorders>
            <w:shd w:val="clear" w:color="000000" w:fill="FFFFFF"/>
            <w:vAlign w:val="center"/>
            <w:hideMark/>
          </w:tcPr>
          <w:p w14:paraId="55D2942A" w14:textId="77777777" w:rsidR="005A345C" w:rsidRPr="007E6D65" w:rsidRDefault="005A345C"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c>
          <w:tcPr>
            <w:tcW w:w="581" w:type="pct"/>
            <w:tcBorders>
              <w:top w:val="single" w:sz="8" w:space="0" w:color="DDDDDD"/>
              <w:left w:val="nil"/>
              <w:bottom w:val="single" w:sz="8" w:space="0" w:color="000000"/>
              <w:right w:val="single" w:sz="8" w:space="0" w:color="000000"/>
            </w:tcBorders>
            <w:shd w:val="clear" w:color="000000" w:fill="FFFFFF"/>
            <w:vAlign w:val="center"/>
            <w:hideMark/>
          </w:tcPr>
          <w:p w14:paraId="0A8AE86D" w14:textId="77777777" w:rsidR="005A345C" w:rsidRPr="007E6D65" w:rsidRDefault="005A345C" w:rsidP="007E6D65">
            <w:pPr>
              <w:spacing w:after="0" w:line="240" w:lineRule="auto"/>
              <w:jc w:val="both"/>
              <w:rPr>
                <w:rFonts w:ascii="Garamond" w:eastAsia="Times New Roman" w:hAnsi="Garamond" w:cs="Calibri"/>
                <w:color w:val="000000"/>
                <w:sz w:val="20"/>
                <w:szCs w:val="20"/>
                <w:lang w:eastAsia="en-GB"/>
              </w:rPr>
            </w:pPr>
            <w:r w:rsidRPr="007E6D65">
              <w:rPr>
                <w:rFonts w:ascii="Garamond" w:eastAsia="Times New Roman" w:hAnsi="Garamond" w:cs="Calibri"/>
                <w:color w:val="000000"/>
                <w:sz w:val="20"/>
                <w:szCs w:val="20"/>
                <w:lang w:eastAsia="en-GB"/>
              </w:rPr>
              <w:t> </w:t>
            </w:r>
          </w:p>
        </w:tc>
      </w:tr>
    </w:tbl>
    <w:p w14:paraId="312A4D7D" w14:textId="77777777" w:rsidR="00EE658D" w:rsidRPr="007E6D65" w:rsidRDefault="00EE658D" w:rsidP="007E6D65">
      <w:pPr>
        <w:spacing w:after="0" w:line="240" w:lineRule="auto"/>
        <w:rPr>
          <w:rFonts w:ascii="Garamond" w:hAnsi="Garamond" w:cs="Times New Roman"/>
          <w:b/>
          <w:sz w:val="20"/>
          <w:szCs w:val="20"/>
        </w:rPr>
      </w:pPr>
    </w:p>
    <w:p w14:paraId="3EEB7F44" w14:textId="77777777" w:rsidR="00EE658D" w:rsidRPr="007E6D65" w:rsidRDefault="00EE658D" w:rsidP="007E6D65">
      <w:pPr>
        <w:spacing w:after="0" w:line="240" w:lineRule="auto"/>
        <w:rPr>
          <w:rFonts w:ascii="Garamond" w:hAnsi="Garamond" w:cs="Times New Roman"/>
          <w:b/>
          <w:sz w:val="24"/>
          <w:szCs w:val="24"/>
        </w:rPr>
      </w:pPr>
      <w:r w:rsidRPr="007E6D65">
        <w:rPr>
          <w:rFonts w:ascii="Garamond" w:hAnsi="Garamond" w:cs="Times New Roman"/>
          <w:b/>
          <w:sz w:val="24"/>
          <w:szCs w:val="24"/>
        </w:rPr>
        <w:br w:type="page"/>
      </w:r>
    </w:p>
    <w:p w14:paraId="6B7E18C9" w14:textId="77777777" w:rsidR="00EE658D" w:rsidRPr="007E6D65" w:rsidRDefault="00EE658D" w:rsidP="007E6D65">
      <w:pPr>
        <w:spacing w:after="0" w:line="240" w:lineRule="auto"/>
        <w:jc w:val="center"/>
        <w:rPr>
          <w:rFonts w:ascii="Garamond" w:hAnsi="Garamond" w:cs="Times New Roman"/>
          <w:b/>
          <w:sz w:val="24"/>
          <w:szCs w:val="24"/>
        </w:rPr>
        <w:sectPr w:rsidR="00EE658D" w:rsidRPr="007E6D65" w:rsidSect="007E6D65">
          <w:pgSz w:w="16838" w:h="11906" w:orient="landscape"/>
          <w:pgMar w:top="1440" w:right="1440" w:bottom="1440" w:left="1440" w:header="708" w:footer="708" w:gutter="0"/>
          <w:cols w:space="708"/>
          <w:docGrid w:linePitch="360"/>
        </w:sectPr>
      </w:pPr>
    </w:p>
    <w:p w14:paraId="5F89C2FD" w14:textId="77777777" w:rsidR="00EE658D" w:rsidRPr="00B24C95" w:rsidRDefault="00EE658D" w:rsidP="007E6D65">
      <w:pPr>
        <w:spacing w:after="0" w:line="240" w:lineRule="auto"/>
        <w:ind w:firstLine="284"/>
        <w:jc w:val="center"/>
        <w:rPr>
          <w:rFonts w:ascii="Garamond" w:hAnsi="Garamond" w:cs="Times New Roman"/>
          <w:sz w:val="24"/>
          <w:szCs w:val="24"/>
        </w:rPr>
      </w:pPr>
      <w:r w:rsidRPr="00B24C95">
        <w:rPr>
          <w:rFonts w:ascii="Garamond" w:hAnsi="Garamond" w:cs="Times New Roman"/>
          <w:sz w:val="24"/>
          <w:szCs w:val="24"/>
        </w:rPr>
        <w:lastRenderedPageBreak/>
        <w:t>SHTOJCA II</w:t>
      </w:r>
    </w:p>
    <w:p w14:paraId="430A5A5F" w14:textId="77777777" w:rsidR="00EE658D" w:rsidRPr="00B24C95" w:rsidRDefault="00EE658D" w:rsidP="007E6D65">
      <w:pPr>
        <w:spacing w:after="0" w:line="240" w:lineRule="auto"/>
        <w:ind w:firstLine="284"/>
        <w:jc w:val="center"/>
        <w:rPr>
          <w:rFonts w:ascii="Garamond" w:hAnsi="Garamond" w:cs="Times New Roman"/>
          <w:sz w:val="24"/>
          <w:szCs w:val="24"/>
        </w:rPr>
      </w:pPr>
      <w:r w:rsidRPr="00B24C95">
        <w:rPr>
          <w:rFonts w:ascii="Garamond" w:hAnsi="Garamond" w:cs="Times New Roman"/>
          <w:sz w:val="24"/>
          <w:szCs w:val="24"/>
        </w:rPr>
        <w:t>PËRSHKRIME</w:t>
      </w:r>
    </w:p>
    <w:p w14:paraId="7F39CF04" w14:textId="77777777" w:rsidR="00EE658D" w:rsidRPr="00B24C95" w:rsidRDefault="00EE658D" w:rsidP="007E6D65">
      <w:pPr>
        <w:spacing w:after="0" w:line="240" w:lineRule="auto"/>
        <w:ind w:firstLine="284"/>
        <w:jc w:val="center"/>
        <w:rPr>
          <w:rFonts w:ascii="Garamond" w:hAnsi="Garamond" w:cs="Times New Roman"/>
          <w:sz w:val="24"/>
          <w:szCs w:val="24"/>
        </w:rPr>
      </w:pPr>
      <w:r w:rsidRPr="00B24C95">
        <w:rPr>
          <w:rFonts w:ascii="Garamond" w:hAnsi="Garamond" w:cs="Times New Roman"/>
          <w:sz w:val="24"/>
          <w:szCs w:val="24"/>
        </w:rPr>
        <w:t>PJESA 1</w:t>
      </w:r>
    </w:p>
    <w:p w14:paraId="67C7CADB" w14:textId="77777777" w:rsidR="00EE658D" w:rsidRDefault="00EE658D" w:rsidP="007E6D65">
      <w:pPr>
        <w:spacing w:after="0" w:line="240" w:lineRule="auto"/>
        <w:ind w:firstLine="284"/>
        <w:jc w:val="center"/>
        <w:rPr>
          <w:rFonts w:ascii="Garamond" w:hAnsi="Garamond" w:cs="Times New Roman"/>
          <w:b/>
          <w:sz w:val="24"/>
          <w:szCs w:val="24"/>
        </w:rPr>
      </w:pPr>
      <w:r w:rsidRPr="007E6D65">
        <w:rPr>
          <w:rFonts w:ascii="Garamond" w:hAnsi="Garamond" w:cs="Times New Roman"/>
          <w:b/>
          <w:sz w:val="24"/>
          <w:szCs w:val="24"/>
        </w:rPr>
        <w:t>Përshkrime të kategorive të instrumenteve</w:t>
      </w:r>
    </w:p>
    <w:p w14:paraId="52ECC362" w14:textId="77777777" w:rsidR="00C64FD3" w:rsidRPr="007E6D65" w:rsidRDefault="00C64FD3" w:rsidP="007E6D65">
      <w:pPr>
        <w:spacing w:after="0" w:line="240" w:lineRule="auto"/>
        <w:ind w:firstLine="284"/>
        <w:jc w:val="center"/>
        <w:rPr>
          <w:rFonts w:ascii="Garamond" w:hAnsi="Garamond" w:cs="Times New Roman"/>
          <w:b/>
          <w:sz w:val="24"/>
          <w:szCs w:val="24"/>
        </w:rPr>
      </w:pPr>
    </w:p>
    <w:p w14:paraId="76BE1DE1" w14:textId="78C98DD5" w:rsidR="00EE658D" w:rsidRPr="007E6D65" w:rsidRDefault="00EE658D" w:rsidP="007E6D65">
      <w:pPr>
        <w:spacing w:after="0" w:line="240" w:lineRule="auto"/>
        <w:ind w:firstLine="284"/>
        <w:jc w:val="both"/>
        <w:rPr>
          <w:rFonts w:ascii="Garamond" w:hAnsi="Garamond" w:cs="Times New Roman"/>
          <w:sz w:val="24"/>
          <w:szCs w:val="24"/>
        </w:rPr>
      </w:pPr>
      <w:r w:rsidRPr="007E6D65">
        <w:rPr>
          <w:rFonts w:ascii="Garamond" w:hAnsi="Garamond" w:cs="Times New Roman"/>
          <w:sz w:val="24"/>
          <w:szCs w:val="24"/>
        </w:rPr>
        <w:t xml:space="preserve">1. Kjo tabelë ofron një përshkrim standard të detajuar të kategorive të instrumenteve. As lista e instrumenteve financiare individuale në tabelë dhe as përshkrimet e tyre përkatëse nuk synojnë të jenë shteruese. Përshkrimet i referohen Sistemit Evropian të Llogarive të krijuar nga rregullorja (BE) nr. 549/2013 (më tej </w:t>
      </w:r>
      <w:r w:rsidR="00B24C95">
        <w:rPr>
          <w:rFonts w:ascii="Garamond" w:hAnsi="Garamond" w:cs="Times New Roman"/>
          <w:sz w:val="24"/>
          <w:szCs w:val="24"/>
        </w:rPr>
        <w:t>“</w:t>
      </w:r>
      <w:r w:rsidRPr="007E6D65">
        <w:rPr>
          <w:rFonts w:ascii="Garamond" w:hAnsi="Garamond" w:cs="Times New Roman"/>
          <w:sz w:val="24"/>
          <w:szCs w:val="24"/>
        </w:rPr>
        <w:t>ESA 2010</w:t>
      </w:r>
      <w:r w:rsidR="00B24C95">
        <w:rPr>
          <w:rFonts w:ascii="Garamond" w:hAnsi="Garamond" w:cs="Times New Roman"/>
          <w:sz w:val="24"/>
          <w:szCs w:val="24"/>
        </w:rPr>
        <w:t>”</w:t>
      </w:r>
      <w:r w:rsidRPr="007E6D65">
        <w:rPr>
          <w:rFonts w:ascii="Garamond" w:hAnsi="Garamond" w:cs="Times New Roman"/>
          <w:sz w:val="24"/>
          <w:szCs w:val="24"/>
        </w:rPr>
        <w:t>).</w:t>
      </w:r>
    </w:p>
    <w:p w14:paraId="768D3746" w14:textId="03FD5B5E" w:rsidR="00EE658D" w:rsidRPr="007E6D65" w:rsidRDefault="00EE658D" w:rsidP="007E6D65">
      <w:pPr>
        <w:spacing w:after="0" w:line="240" w:lineRule="auto"/>
        <w:ind w:firstLine="284"/>
        <w:jc w:val="both"/>
        <w:rPr>
          <w:rFonts w:ascii="Garamond" w:hAnsi="Garamond" w:cs="Times New Roman"/>
          <w:sz w:val="24"/>
          <w:szCs w:val="24"/>
        </w:rPr>
      </w:pPr>
      <w:r w:rsidRPr="007E6D65">
        <w:rPr>
          <w:rFonts w:ascii="Garamond" w:hAnsi="Garamond" w:cs="Times New Roman"/>
          <w:sz w:val="24"/>
          <w:szCs w:val="24"/>
        </w:rPr>
        <w:t>2. Për disa nga kategoritë e instrumenteve kërkoh</w:t>
      </w:r>
      <w:r w:rsidR="00351195">
        <w:rPr>
          <w:rFonts w:ascii="Garamond" w:hAnsi="Garamond" w:cs="Times New Roman"/>
          <w:sz w:val="24"/>
          <w:szCs w:val="24"/>
        </w:rPr>
        <w:t>en ndarje të maturitetit. Këto u</w:t>
      </w:r>
      <w:bookmarkStart w:id="0" w:name="_GoBack"/>
      <w:bookmarkEnd w:id="0"/>
      <w:r w:rsidRPr="007E6D65">
        <w:rPr>
          <w:rFonts w:ascii="Garamond" w:hAnsi="Garamond" w:cs="Times New Roman"/>
          <w:sz w:val="24"/>
          <w:szCs w:val="24"/>
        </w:rPr>
        <w:t xml:space="preserve"> referohen: </w:t>
      </w:r>
    </w:p>
    <w:p w14:paraId="228E600F" w14:textId="55F0B6C7" w:rsidR="00EE658D" w:rsidRPr="007E6D65" w:rsidRDefault="00EE658D" w:rsidP="007E6D65">
      <w:pPr>
        <w:spacing w:after="0" w:line="240" w:lineRule="auto"/>
        <w:ind w:firstLine="284"/>
        <w:jc w:val="both"/>
        <w:rPr>
          <w:rFonts w:ascii="Garamond" w:hAnsi="Garamond" w:cs="Times New Roman"/>
          <w:sz w:val="24"/>
          <w:szCs w:val="24"/>
        </w:rPr>
      </w:pPr>
      <w:r w:rsidRPr="007E6D65">
        <w:rPr>
          <w:rFonts w:ascii="Garamond" w:hAnsi="Garamond" w:cs="Times New Roman"/>
          <w:sz w:val="24"/>
          <w:szCs w:val="24"/>
        </w:rPr>
        <w:t xml:space="preserve">a) maturimit origjinal, d.m.th. maturimit në emetim, që është periudha fikse e jetës së një instrumenti financiar përpara së cilës ai nuk mund të blihet, p.sh. titujt të borxhit; </w:t>
      </w:r>
    </w:p>
    <w:p w14:paraId="4B07DB04" w14:textId="0EA0C138" w:rsidR="00EE658D" w:rsidRPr="007E6D65" w:rsidRDefault="00EE658D" w:rsidP="007E6D65">
      <w:pPr>
        <w:spacing w:after="0" w:line="240" w:lineRule="auto"/>
        <w:ind w:firstLine="284"/>
        <w:jc w:val="both"/>
        <w:rPr>
          <w:rFonts w:ascii="Garamond" w:hAnsi="Garamond" w:cs="Times New Roman"/>
          <w:sz w:val="24"/>
          <w:szCs w:val="24"/>
        </w:rPr>
      </w:pPr>
      <w:r w:rsidRPr="007E6D65">
        <w:rPr>
          <w:rFonts w:ascii="Garamond" w:hAnsi="Garamond" w:cs="Times New Roman"/>
          <w:sz w:val="24"/>
          <w:szCs w:val="24"/>
        </w:rPr>
        <w:t>b) maturimi i mbetur, d.m.th. periudha e mbetur e jetës së një instrumenti financiar në fund të periudhës raportuese, përpara së cilës ai nuk mund të blihet, p.sh. tituj të borxhit.</w:t>
      </w:r>
    </w:p>
    <w:p w14:paraId="076A11CE" w14:textId="70247A45" w:rsidR="00EE658D" w:rsidRPr="007E6D65" w:rsidRDefault="00EE658D" w:rsidP="007E6D65">
      <w:pPr>
        <w:spacing w:after="0" w:line="240" w:lineRule="auto"/>
        <w:ind w:firstLine="284"/>
        <w:jc w:val="both"/>
        <w:rPr>
          <w:rFonts w:ascii="Garamond" w:hAnsi="Garamond" w:cs="Times New Roman"/>
          <w:sz w:val="24"/>
          <w:szCs w:val="24"/>
        </w:rPr>
      </w:pPr>
      <w:r w:rsidRPr="007E6D65">
        <w:rPr>
          <w:rFonts w:ascii="Garamond" w:hAnsi="Garamond" w:cs="Times New Roman"/>
          <w:sz w:val="24"/>
          <w:szCs w:val="24"/>
        </w:rPr>
        <w:t>3. Detyrimet financiare mund të dallohen nëse janë të negociueshme apo jo. Një detyrim është i negociueshëm nëse pronësia e tij është lehtësisht e aftë të transferohet nga një njësi në tjetrën me dorëzim ose nënshkrim ose të kompensohet në rastin e derivatëve financiarë. Ndërkohë që çdo instrument financiar mund të tregtohet, instrumentet e negociueshme janë krijuar për t</w:t>
      </w:r>
      <w:r w:rsidR="00B24C95">
        <w:rPr>
          <w:rFonts w:ascii="Garamond" w:hAnsi="Garamond" w:cs="Times New Roman"/>
          <w:sz w:val="24"/>
          <w:szCs w:val="24"/>
        </w:rPr>
        <w:t>’</w:t>
      </w:r>
      <w:r w:rsidRPr="007E6D65">
        <w:rPr>
          <w:rFonts w:ascii="Garamond" w:hAnsi="Garamond" w:cs="Times New Roman"/>
          <w:sz w:val="24"/>
          <w:szCs w:val="24"/>
        </w:rPr>
        <w:t xml:space="preserve">u tregtuar në një bursë të organizuar ose </w:t>
      </w:r>
      <w:r w:rsidR="00B24C95">
        <w:rPr>
          <w:rFonts w:ascii="Garamond" w:hAnsi="Garamond" w:cs="Times New Roman"/>
          <w:sz w:val="24"/>
          <w:szCs w:val="24"/>
        </w:rPr>
        <w:t>“</w:t>
      </w:r>
      <w:r w:rsidRPr="007E6D65">
        <w:rPr>
          <w:rFonts w:ascii="Garamond" w:hAnsi="Garamond" w:cs="Times New Roman"/>
          <w:sz w:val="24"/>
          <w:szCs w:val="24"/>
        </w:rPr>
        <w:t>pa bursë</w:t>
      </w:r>
      <w:r w:rsidR="00B24C95">
        <w:rPr>
          <w:rFonts w:ascii="Garamond" w:hAnsi="Garamond" w:cs="Times New Roman"/>
          <w:sz w:val="24"/>
          <w:szCs w:val="24"/>
        </w:rPr>
        <w:t>”</w:t>
      </w:r>
      <w:r w:rsidRPr="007E6D65">
        <w:rPr>
          <w:rFonts w:ascii="Garamond" w:hAnsi="Garamond" w:cs="Times New Roman"/>
          <w:sz w:val="24"/>
          <w:szCs w:val="24"/>
        </w:rPr>
        <w:t>, megjithëse tregtimi aktual nuk është një kusht i domosdoshëm për negociueshmëri.</w:t>
      </w:r>
    </w:p>
    <w:p w14:paraId="0B39CE27" w14:textId="77777777" w:rsidR="00EE658D" w:rsidRPr="007E6D65" w:rsidRDefault="00EE658D" w:rsidP="007E6D65">
      <w:pPr>
        <w:spacing w:after="0" w:line="240" w:lineRule="auto"/>
        <w:ind w:firstLine="284"/>
        <w:jc w:val="both"/>
        <w:rPr>
          <w:rFonts w:ascii="Garamond" w:hAnsi="Garamond" w:cs="Times New Roman"/>
          <w:sz w:val="24"/>
          <w:szCs w:val="24"/>
        </w:rPr>
      </w:pPr>
    </w:p>
    <w:p w14:paraId="43A65821" w14:textId="77777777" w:rsidR="00EE658D" w:rsidRPr="007E6D65" w:rsidRDefault="00EE658D" w:rsidP="007E6D65">
      <w:pPr>
        <w:spacing w:after="0" w:line="240" w:lineRule="auto"/>
        <w:jc w:val="center"/>
        <w:rPr>
          <w:rFonts w:ascii="Garamond" w:hAnsi="Garamond" w:cs="Times New Roman"/>
          <w:b/>
          <w:sz w:val="24"/>
          <w:szCs w:val="24"/>
        </w:rPr>
      </w:pPr>
      <w:r w:rsidRPr="007E6D65">
        <w:rPr>
          <w:rFonts w:ascii="Garamond" w:hAnsi="Garamond" w:cs="Times New Roman"/>
          <w:b/>
          <w:sz w:val="24"/>
          <w:szCs w:val="24"/>
        </w:rPr>
        <w:t xml:space="preserve">Tabela A </w:t>
      </w:r>
    </w:p>
    <w:p w14:paraId="5F8FB909" w14:textId="595A61B5" w:rsidR="00EE658D" w:rsidRPr="007E6D65" w:rsidRDefault="00B24C95" w:rsidP="00B24C95">
      <w:pPr>
        <w:spacing w:after="0" w:line="240" w:lineRule="auto"/>
        <w:jc w:val="center"/>
        <w:rPr>
          <w:rFonts w:ascii="Garamond" w:hAnsi="Garamond" w:cs="Times New Roman"/>
          <w:b/>
          <w:sz w:val="24"/>
          <w:szCs w:val="24"/>
        </w:rPr>
      </w:pPr>
      <w:r>
        <w:rPr>
          <w:rFonts w:ascii="Garamond" w:hAnsi="Garamond" w:cs="Times New Roman"/>
          <w:b/>
          <w:sz w:val="24"/>
          <w:szCs w:val="24"/>
        </w:rPr>
        <w:t>P</w:t>
      </w:r>
      <w:r w:rsidR="00EE658D" w:rsidRPr="007E6D65">
        <w:rPr>
          <w:rFonts w:ascii="Garamond" w:hAnsi="Garamond" w:cs="Times New Roman"/>
          <w:b/>
          <w:sz w:val="24"/>
          <w:szCs w:val="24"/>
        </w:rPr>
        <w:t>ërshkrimi i kategorive të instrumenteve në mjetet dhe detyrimet e shoqërive të sigurimit</w:t>
      </w:r>
    </w:p>
    <w:p w14:paraId="47A80F4F" w14:textId="5898EE53" w:rsidR="00264D78" w:rsidRPr="007E6D65" w:rsidRDefault="00EE658D" w:rsidP="007E6D65">
      <w:pPr>
        <w:spacing w:after="0" w:line="240" w:lineRule="auto"/>
        <w:jc w:val="center"/>
        <w:rPr>
          <w:rFonts w:ascii="Garamond" w:hAnsi="Garamond" w:cs="Times New Roman"/>
          <w:b/>
          <w:sz w:val="24"/>
          <w:szCs w:val="24"/>
        </w:rPr>
      </w:pPr>
      <w:r w:rsidRPr="007E6D65">
        <w:rPr>
          <w:rFonts w:ascii="Garamond" w:hAnsi="Garamond" w:cs="Times New Roman"/>
          <w:b/>
          <w:sz w:val="24"/>
          <w:szCs w:val="24"/>
        </w:rPr>
        <w:t>Mjetet</w:t>
      </w:r>
    </w:p>
    <w:tbl>
      <w:tblPr>
        <w:tblStyle w:val="TableGrid"/>
        <w:tblW w:w="5000" w:type="pct"/>
        <w:tblLook w:val="04A0" w:firstRow="1" w:lastRow="0" w:firstColumn="1" w:lastColumn="0" w:noHBand="0" w:noVBand="1"/>
      </w:tblPr>
      <w:tblGrid>
        <w:gridCol w:w="1869"/>
        <w:gridCol w:w="7373"/>
      </w:tblGrid>
      <w:tr w:rsidR="00EE658D" w:rsidRPr="007E6D65" w14:paraId="068455A5" w14:textId="77777777" w:rsidTr="00661D0A">
        <w:tc>
          <w:tcPr>
            <w:tcW w:w="998" w:type="pct"/>
          </w:tcPr>
          <w:p w14:paraId="38D94212" w14:textId="77777777" w:rsidR="00EE658D" w:rsidRPr="00B24C95" w:rsidRDefault="00EE658D" w:rsidP="007E6D65">
            <w:pPr>
              <w:jc w:val="center"/>
              <w:rPr>
                <w:rFonts w:ascii="Garamond" w:hAnsi="Garamond" w:cs="Times New Roman"/>
                <w:b/>
                <w:sz w:val="20"/>
                <w:szCs w:val="20"/>
              </w:rPr>
            </w:pPr>
            <w:r w:rsidRPr="00B24C95">
              <w:rPr>
                <w:rFonts w:ascii="Garamond" w:hAnsi="Garamond" w:cs="Times New Roman"/>
                <w:b/>
                <w:sz w:val="20"/>
                <w:szCs w:val="20"/>
              </w:rPr>
              <w:t>Kategoria e instrumentit</w:t>
            </w:r>
          </w:p>
        </w:tc>
        <w:tc>
          <w:tcPr>
            <w:tcW w:w="4002" w:type="pct"/>
          </w:tcPr>
          <w:p w14:paraId="01C8918C" w14:textId="77777777" w:rsidR="00EE658D" w:rsidRPr="00B24C95" w:rsidRDefault="00EE658D" w:rsidP="007E6D65">
            <w:pPr>
              <w:jc w:val="center"/>
              <w:rPr>
                <w:rFonts w:ascii="Garamond" w:hAnsi="Garamond" w:cs="Times New Roman"/>
                <w:b/>
                <w:sz w:val="20"/>
                <w:szCs w:val="20"/>
              </w:rPr>
            </w:pPr>
            <w:r w:rsidRPr="00B24C95">
              <w:rPr>
                <w:rFonts w:ascii="Garamond" w:hAnsi="Garamond" w:cs="Times New Roman"/>
                <w:b/>
                <w:sz w:val="20"/>
                <w:szCs w:val="20"/>
              </w:rPr>
              <w:t>Përshkrimi</w:t>
            </w:r>
          </w:p>
        </w:tc>
      </w:tr>
      <w:tr w:rsidR="00EE658D" w:rsidRPr="007E6D65" w14:paraId="36CA8131" w14:textId="77777777" w:rsidTr="00661D0A">
        <w:tc>
          <w:tcPr>
            <w:tcW w:w="998" w:type="pct"/>
          </w:tcPr>
          <w:p w14:paraId="1DD64DBF" w14:textId="77777777" w:rsidR="00EE658D" w:rsidRPr="007E6D65" w:rsidRDefault="00EE658D" w:rsidP="007E6D65">
            <w:pPr>
              <w:pStyle w:val="ListParagraph"/>
              <w:numPr>
                <w:ilvl w:val="0"/>
                <w:numId w:val="1"/>
              </w:numPr>
              <w:ind w:left="0" w:firstLine="0"/>
              <w:rPr>
                <w:rFonts w:ascii="Garamond" w:hAnsi="Garamond" w:cs="Times New Roman"/>
                <w:sz w:val="20"/>
                <w:szCs w:val="20"/>
              </w:rPr>
            </w:pPr>
            <w:r w:rsidRPr="007E6D65">
              <w:rPr>
                <w:rFonts w:ascii="Garamond" w:hAnsi="Garamond" w:cs="Times New Roman"/>
                <w:sz w:val="20"/>
                <w:szCs w:val="20"/>
              </w:rPr>
              <w:t>Monedha dhe depozita</w:t>
            </w:r>
          </w:p>
        </w:tc>
        <w:tc>
          <w:tcPr>
            <w:tcW w:w="4002" w:type="pct"/>
          </w:tcPr>
          <w:p w14:paraId="417168B3"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Mbajtja e kartëmonedhave dhe monedhave në Lek dhe valutë të huaj në qarkullim që përdoren zakonisht për të bërë pagesa dhe depozita të vendosura nga shoqëritë e sigurimit pranë institucioneve financiare monetare (IFM). Ato mund të përfshijnë depozitat njëditore, depozitat me afat dhe depozitat me njoftim paraprak, si dhe marrëveshjet e anasjellta repo, ose borxhi i titujve kundrejt kolateralit në para (kjo zbatohet vetëm nëse pala tjetër është një korporatë depozituese). </w:t>
            </w:r>
          </w:p>
        </w:tc>
      </w:tr>
      <w:tr w:rsidR="00EE658D" w:rsidRPr="007E6D65" w14:paraId="75CF4858" w14:textId="77777777" w:rsidTr="00661D0A">
        <w:tc>
          <w:tcPr>
            <w:tcW w:w="998" w:type="pct"/>
          </w:tcPr>
          <w:p w14:paraId="11CB1503" w14:textId="77777777" w:rsidR="00EE658D" w:rsidRPr="007E6D65" w:rsidRDefault="00EE658D" w:rsidP="007E6D65">
            <w:pPr>
              <w:pStyle w:val="ListParagraph"/>
              <w:numPr>
                <w:ilvl w:val="1"/>
                <w:numId w:val="1"/>
              </w:numPr>
              <w:ind w:left="0" w:firstLine="0"/>
              <w:rPr>
                <w:rFonts w:ascii="Garamond" w:hAnsi="Garamond" w:cs="Times New Roman"/>
                <w:sz w:val="20"/>
                <w:szCs w:val="20"/>
              </w:rPr>
            </w:pPr>
            <w:r w:rsidRPr="007E6D65">
              <w:rPr>
                <w:rFonts w:ascii="Garamond" w:hAnsi="Garamond" w:cs="Times New Roman"/>
                <w:sz w:val="20"/>
                <w:szCs w:val="20"/>
              </w:rPr>
              <w:t>Depozita të transferueshme</w:t>
            </w:r>
          </w:p>
        </w:tc>
        <w:tc>
          <w:tcPr>
            <w:tcW w:w="4002" w:type="pct"/>
          </w:tcPr>
          <w:p w14:paraId="36F1D042" w14:textId="5E89EE8D"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Depozitat e transferueshme janë depozita të cilat janë drejtpërdrejt të transferueshme sipas kërkesës për të bërë pagesa te</w:t>
            </w:r>
            <w:r w:rsidR="00497478">
              <w:rPr>
                <w:rFonts w:ascii="Garamond" w:hAnsi="Garamond" w:cs="Times New Roman"/>
                <w:sz w:val="20"/>
                <w:szCs w:val="20"/>
              </w:rPr>
              <w:t>k</w:t>
            </w:r>
            <w:r w:rsidRPr="007E6D65">
              <w:rPr>
                <w:rFonts w:ascii="Garamond" w:hAnsi="Garamond" w:cs="Times New Roman"/>
                <w:sz w:val="20"/>
                <w:szCs w:val="20"/>
              </w:rPr>
              <w:t xml:space="preserve"> agjentët e tjerë ekonomikë me mjete pagese të përdorura zakonisht, si transferimi i kredisë dhe debitimi direkt, mundësisht edhe me kartë krediti ose debiti, transaksione me para elektronike, çeqe ose mjete të ngjashme, pa vonesa, kufizime apo penalitete të konsiderueshme. Depozitat që mund të përdoren vetëm për tërheqje parash dhe/ose depozita nga të cilat fondet mund të tërhiqen ose transferohen vetëm përmes një llogarie tjetër të të njëjtit pronar nuk duhet të përfshihen si depozita të transferueshme.</w:t>
            </w:r>
          </w:p>
        </w:tc>
      </w:tr>
      <w:tr w:rsidR="00EE658D" w:rsidRPr="007E6D65" w14:paraId="03967DE7" w14:textId="77777777" w:rsidTr="00661D0A">
        <w:tc>
          <w:tcPr>
            <w:tcW w:w="998" w:type="pct"/>
          </w:tcPr>
          <w:p w14:paraId="2C17460A" w14:textId="77777777" w:rsidR="00EE658D" w:rsidRPr="007E6D65" w:rsidRDefault="00EE658D" w:rsidP="007E6D65">
            <w:pPr>
              <w:pStyle w:val="ListParagraph"/>
              <w:numPr>
                <w:ilvl w:val="0"/>
                <w:numId w:val="1"/>
              </w:numPr>
              <w:ind w:left="0" w:firstLine="0"/>
              <w:rPr>
                <w:rFonts w:ascii="Garamond" w:hAnsi="Garamond" w:cs="Times New Roman"/>
                <w:sz w:val="20"/>
                <w:szCs w:val="20"/>
              </w:rPr>
            </w:pPr>
            <w:r w:rsidRPr="007E6D65">
              <w:rPr>
                <w:rFonts w:ascii="Garamond" w:hAnsi="Garamond" w:cs="Times New Roman"/>
                <w:sz w:val="20"/>
                <w:szCs w:val="20"/>
              </w:rPr>
              <w:t>Tituj të borxhit</w:t>
            </w:r>
          </w:p>
        </w:tc>
        <w:tc>
          <w:tcPr>
            <w:tcW w:w="4002" w:type="pct"/>
          </w:tcPr>
          <w:p w14:paraId="13E6C108"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Zotërimet e titujve të borxhit, të cilat janë instrumente financiare të negociueshme që shërbejnë si dëshmi e borxhit, zakonisht tregtohen në tregjet dytësore. Ato gjithashtu mund të kompensohen në treg dhe nuk i japin mbajtësit asnjë të drejtë pronësie mbi institucionin emetues. Zotërimet e titujve të borxhit, të cilat janë instrumente financiare të negociueshme që shërbejnë si dëshmi e borxhit, zakonisht tregtohen në tregjet dytësore. Ato gjithashtu mund të kompensohen në treg dhe nuk i japin mbajtësit asnjë të drejtë pronësie mbi institucionin emetues. Kjo kategori përfshin: </w:t>
            </w:r>
          </w:p>
          <w:p w14:paraId="168809C1"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zotërimet e titujve të cilat i japin mbajtësit të drejtën e pakushtëzuar për një të ardhur fikse ose të përcaktuar me kontratë në formën e pagesave të kuponit dhe/ose një shumë fikse të deklaruar në një datë ose data specifike, ose duke filluar nga një datë e caktuar në kohën e emetimit,</w:t>
            </w:r>
          </w:p>
          <w:p w14:paraId="7BEAED47" w14:textId="4B0EDD5F"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 kreditë që janë bërë të tregtueshme në një treg të organizuar dytësor. Nëse nuk plotësohet ky kusht, ato duhet të klasifikohen në kategorinë 3 </w:t>
            </w:r>
            <w:r w:rsidR="00B24C95">
              <w:rPr>
                <w:rFonts w:ascii="Garamond" w:hAnsi="Garamond" w:cs="Times New Roman"/>
                <w:sz w:val="20"/>
                <w:szCs w:val="20"/>
              </w:rPr>
              <w:t>“</w:t>
            </w:r>
            <w:r w:rsidRPr="007E6D65">
              <w:rPr>
                <w:rFonts w:ascii="Garamond" w:hAnsi="Garamond" w:cs="Times New Roman"/>
                <w:sz w:val="20"/>
                <w:szCs w:val="20"/>
              </w:rPr>
              <w:t>Kredi</w:t>
            </w:r>
            <w:r w:rsidR="00B24C95">
              <w:rPr>
                <w:rFonts w:ascii="Garamond" w:hAnsi="Garamond" w:cs="Times New Roman"/>
                <w:sz w:val="20"/>
                <w:szCs w:val="20"/>
              </w:rPr>
              <w:t>”</w:t>
            </w:r>
            <w:r w:rsidRPr="007E6D65">
              <w:rPr>
                <w:rFonts w:ascii="Garamond" w:hAnsi="Garamond" w:cs="Times New Roman"/>
                <w:sz w:val="20"/>
                <w:szCs w:val="20"/>
              </w:rPr>
              <w:t xml:space="preserve"> (shih gjithashtu </w:t>
            </w:r>
            <w:r w:rsidR="00B24C95">
              <w:rPr>
                <w:rFonts w:ascii="Garamond" w:hAnsi="Garamond" w:cs="Times New Roman"/>
                <w:sz w:val="20"/>
                <w:szCs w:val="20"/>
              </w:rPr>
              <w:t>“</w:t>
            </w:r>
            <w:r w:rsidRPr="007E6D65">
              <w:rPr>
                <w:rFonts w:ascii="Garamond" w:hAnsi="Garamond" w:cs="Times New Roman"/>
                <w:sz w:val="20"/>
                <w:szCs w:val="20"/>
              </w:rPr>
              <w:t>kredi të tregtueshme</w:t>
            </w:r>
            <w:r w:rsidR="00B24C95">
              <w:rPr>
                <w:rFonts w:ascii="Garamond" w:hAnsi="Garamond" w:cs="Times New Roman"/>
                <w:sz w:val="20"/>
                <w:szCs w:val="20"/>
              </w:rPr>
              <w:t>”</w:t>
            </w:r>
            <w:r w:rsidRPr="007E6D65">
              <w:rPr>
                <w:rFonts w:ascii="Garamond" w:hAnsi="Garamond" w:cs="Times New Roman"/>
                <w:sz w:val="20"/>
                <w:szCs w:val="20"/>
              </w:rPr>
              <w:t xml:space="preserve"> në të gjitha kategoritë),</w:t>
            </w:r>
          </w:p>
          <w:p w14:paraId="7E9DB786" w14:textId="3D816C8E"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 — borxhi i varur në formën e titujve të borxhit (shih gjithashtu </w:t>
            </w:r>
            <w:r w:rsidR="00B24C95">
              <w:rPr>
                <w:rFonts w:ascii="Garamond" w:hAnsi="Garamond" w:cs="Times New Roman"/>
                <w:sz w:val="20"/>
                <w:szCs w:val="20"/>
              </w:rPr>
              <w:t>“</w:t>
            </w:r>
            <w:r w:rsidRPr="007E6D65">
              <w:rPr>
                <w:rFonts w:ascii="Garamond" w:hAnsi="Garamond" w:cs="Times New Roman"/>
                <w:sz w:val="20"/>
                <w:szCs w:val="20"/>
              </w:rPr>
              <w:t>borxhi i varur</w:t>
            </w:r>
            <w:r w:rsidR="00B24C95">
              <w:rPr>
                <w:rFonts w:ascii="Garamond" w:hAnsi="Garamond" w:cs="Times New Roman"/>
                <w:sz w:val="20"/>
                <w:szCs w:val="20"/>
              </w:rPr>
              <w:t>”</w:t>
            </w:r>
            <w:r w:rsidRPr="007E6D65">
              <w:rPr>
                <w:rFonts w:ascii="Garamond" w:hAnsi="Garamond" w:cs="Times New Roman"/>
                <w:sz w:val="20"/>
                <w:szCs w:val="20"/>
              </w:rPr>
              <w:t xml:space="preserve"> në </w:t>
            </w:r>
            <w:r w:rsidRPr="007E6D65">
              <w:rPr>
                <w:rFonts w:ascii="Garamond" w:hAnsi="Garamond" w:cs="Times New Roman"/>
                <w:sz w:val="20"/>
                <w:szCs w:val="20"/>
              </w:rPr>
              <w:lastRenderedPageBreak/>
              <w:t xml:space="preserve">kategorinë 3 </w:t>
            </w:r>
            <w:r w:rsidR="00B24C95">
              <w:rPr>
                <w:rFonts w:ascii="Garamond" w:hAnsi="Garamond" w:cs="Times New Roman"/>
                <w:sz w:val="20"/>
                <w:szCs w:val="20"/>
              </w:rPr>
              <w:t>“</w:t>
            </w:r>
            <w:r w:rsidRPr="007E6D65">
              <w:rPr>
                <w:rFonts w:ascii="Garamond" w:hAnsi="Garamond" w:cs="Times New Roman"/>
                <w:sz w:val="20"/>
                <w:szCs w:val="20"/>
              </w:rPr>
              <w:t>Kredi</w:t>
            </w:r>
            <w:r w:rsidR="00B24C95">
              <w:rPr>
                <w:rFonts w:ascii="Garamond" w:hAnsi="Garamond" w:cs="Times New Roman"/>
                <w:sz w:val="20"/>
                <w:szCs w:val="20"/>
              </w:rPr>
              <w:t>”</w:t>
            </w:r>
            <w:r w:rsidRPr="007E6D65">
              <w:rPr>
                <w:rFonts w:ascii="Garamond" w:hAnsi="Garamond" w:cs="Times New Roman"/>
                <w:sz w:val="20"/>
                <w:szCs w:val="20"/>
              </w:rPr>
              <w:t>).</w:t>
            </w:r>
          </w:p>
        </w:tc>
      </w:tr>
      <w:tr w:rsidR="00EE658D" w:rsidRPr="007E6D65" w14:paraId="5B135B8E" w14:textId="77777777" w:rsidTr="00661D0A">
        <w:tc>
          <w:tcPr>
            <w:tcW w:w="998" w:type="pct"/>
          </w:tcPr>
          <w:p w14:paraId="3F68C1E3" w14:textId="4FDF8BC4" w:rsidR="00EE658D" w:rsidRPr="007E6D65" w:rsidRDefault="00EE658D" w:rsidP="001E0FC5">
            <w:pPr>
              <w:pStyle w:val="ListParagraph"/>
              <w:numPr>
                <w:ilvl w:val="0"/>
                <w:numId w:val="1"/>
              </w:numPr>
              <w:ind w:left="0" w:firstLine="0"/>
              <w:rPr>
                <w:rFonts w:ascii="Garamond" w:hAnsi="Garamond" w:cs="Times New Roman"/>
                <w:sz w:val="20"/>
                <w:szCs w:val="20"/>
              </w:rPr>
            </w:pPr>
            <w:r w:rsidRPr="007E6D65">
              <w:rPr>
                <w:rFonts w:ascii="Garamond" w:hAnsi="Garamond" w:cs="Times New Roman"/>
                <w:sz w:val="20"/>
                <w:szCs w:val="20"/>
              </w:rPr>
              <w:lastRenderedPageBreak/>
              <w:t xml:space="preserve">Huat </w:t>
            </w:r>
          </w:p>
        </w:tc>
        <w:tc>
          <w:tcPr>
            <w:tcW w:w="4002" w:type="pct"/>
          </w:tcPr>
          <w:p w14:paraId="30E2F96F" w14:textId="4E01BB30"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Për qëllimet e skemës së raportimit, kjo kategori përbëhet nga fondet e dhëna huamarrësve nga shoqëritë e sigurimit, ose huat e marra nga shoqëritë e sigurimit, të cilat ose janë të evidentuara nga dokumente të panegociueshme ose jo të evidentuara në dokumente. Përfshihen zërat e mëposhtëm: </w:t>
            </w:r>
          </w:p>
          <w:p w14:paraId="0E87D43F"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 zotërimet e titujve të panegociueshëm: zotërimet e titujve të borxhit që nuk janë të negociueshme dhe nuk mund të tregtohen në tregjet dytësore; </w:t>
            </w:r>
          </w:p>
          <w:p w14:paraId="0BE61BDA" w14:textId="78D08BEA"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 Huat e tregtueshme: huat që </w:t>
            </w:r>
            <w:r w:rsidRPr="007E6D65">
              <w:rPr>
                <w:rFonts w:ascii="Garamond" w:hAnsi="Garamond" w:cs="Times New Roman"/>
                <w:i/>
                <w:sz w:val="20"/>
                <w:szCs w:val="20"/>
              </w:rPr>
              <w:t>de facto</w:t>
            </w:r>
            <w:r w:rsidRPr="007E6D65">
              <w:rPr>
                <w:rFonts w:ascii="Garamond" w:hAnsi="Garamond" w:cs="Times New Roman"/>
                <w:sz w:val="20"/>
                <w:szCs w:val="20"/>
              </w:rPr>
              <w:t xml:space="preserve"> janë bërë të negociueshme klasifikohen në kategorinë </w:t>
            </w:r>
            <w:r w:rsidR="00B24C95">
              <w:rPr>
                <w:rFonts w:ascii="Garamond" w:hAnsi="Garamond" w:cs="Times New Roman"/>
                <w:sz w:val="20"/>
                <w:szCs w:val="20"/>
              </w:rPr>
              <w:t>“</w:t>
            </w:r>
            <w:r w:rsidRPr="007E6D65">
              <w:rPr>
                <w:rFonts w:ascii="Garamond" w:hAnsi="Garamond" w:cs="Times New Roman"/>
                <w:sz w:val="20"/>
                <w:szCs w:val="20"/>
              </w:rPr>
              <w:t>hua</w:t>
            </w:r>
            <w:r w:rsidR="00B24C95">
              <w:rPr>
                <w:rFonts w:ascii="Garamond" w:hAnsi="Garamond" w:cs="Times New Roman"/>
                <w:sz w:val="20"/>
                <w:szCs w:val="20"/>
              </w:rPr>
              <w:t>”</w:t>
            </w:r>
            <w:r w:rsidRPr="007E6D65">
              <w:rPr>
                <w:rFonts w:ascii="Garamond" w:hAnsi="Garamond" w:cs="Times New Roman"/>
                <w:sz w:val="20"/>
                <w:szCs w:val="20"/>
              </w:rPr>
              <w:t xml:space="preserve"> të ofruara se nuk ka dëshmi të tregtimit të tregut sekondar. Përndryshe, ato klasifikohen si tituj të borxhit (kategoria e instrumentit 2); </w:t>
            </w:r>
          </w:p>
          <w:p w14:paraId="15C73F0F" w14:textId="3AD3328E"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 borxhi i varur në formën e huave: instrumentet e borxhit të varur sigurojnë një pretendim shtesë ndaj institucionit emetues që mund të ushtrohet vetëm pasi të jenë përmbushur të gjitha pretendimet me status më të lartë, duke u dhënë atyre disa nga karakteristikat e kapitalit neto. Për qëllime statistikore, borxhi i varur klasifikohet si </w:t>
            </w:r>
            <w:r w:rsidR="00B24C95">
              <w:rPr>
                <w:rFonts w:ascii="Garamond" w:hAnsi="Garamond" w:cs="Times New Roman"/>
                <w:sz w:val="20"/>
                <w:szCs w:val="20"/>
              </w:rPr>
              <w:t>“</w:t>
            </w:r>
            <w:r w:rsidRPr="007E6D65">
              <w:rPr>
                <w:rFonts w:ascii="Garamond" w:hAnsi="Garamond" w:cs="Times New Roman"/>
                <w:sz w:val="20"/>
                <w:szCs w:val="20"/>
              </w:rPr>
              <w:t>hua</w:t>
            </w:r>
            <w:r w:rsidR="00B24C95">
              <w:rPr>
                <w:rFonts w:ascii="Garamond" w:hAnsi="Garamond" w:cs="Times New Roman"/>
                <w:sz w:val="20"/>
                <w:szCs w:val="20"/>
              </w:rPr>
              <w:t>”</w:t>
            </w:r>
            <w:r w:rsidRPr="007E6D65">
              <w:rPr>
                <w:rFonts w:ascii="Garamond" w:hAnsi="Garamond" w:cs="Times New Roman"/>
                <w:sz w:val="20"/>
                <w:szCs w:val="20"/>
              </w:rPr>
              <w:t xml:space="preserve"> ose </w:t>
            </w:r>
            <w:r w:rsidR="00B24C95">
              <w:rPr>
                <w:rFonts w:ascii="Garamond" w:hAnsi="Garamond" w:cs="Times New Roman"/>
                <w:sz w:val="20"/>
                <w:szCs w:val="20"/>
              </w:rPr>
              <w:t>“</w:t>
            </w:r>
            <w:r w:rsidRPr="007E6D65">
              <w:rPr>
                <w:rFonts w:ascii="Garamond" w:hAnsi="Garamond" w:cs="Times New Roman"/>
                <w:sz w:val="20"/>
                <w:szCs w:val="20"/>
              </w:rPr>
              <w:t>tituj borxhi</w:t>
            </w:r>
            <w:r w:rsidR="00B24C95">
              <w:rPr>
                <w:rFonts w:ascii="Garamond" w:hAnsi="Garamond" w:cs="Times New Roman"/>
                <w:sz w:val="20"/>
                <w:szCs w:val="20"/>
              </w:rPr>
              <w:t>”</w:t>
            </w:r>
            <w:r w:rsidRPr="007E6D65">
              <w:rPr>
                <w:rFonts w:ascii="Garamond" w:hAnsi="Garamond" w:cs="Times New Roman"/>
                <w:sz w:val="20"/>
                <w:szCs w:val="20"/>
              </w:rPr>
              <w:t xml:space="preserve"> sipas natyrës së instrumentit. Kur zotërimet e një shoqërie sigurimi të të gjitha formave të borxhit të varur identifikohen si një shifër e vetme për qëllime statistikore, ato duhet të klasifikohen nën kategorinë </w:t>
            </w:r>
            <w:r w:rsidR="00B24C95">
              <w:rPr>
                <w:rFonts w:ascii="Garamond" w:hAnsi="Garamond" w:cs="Times New Roman"/>
                <w:sz w:val="20"/>
                <w:szCs w:val="20"/>
              </w:rPr>
              <w:t>“</w:t>
            </w:r>
            <w:r w:rsidRPr="007E6D65">
              <w:rPr>
                <w:rFonts w:ascii="Garamond" w:hAnsi="Garamond" w:cs="Times New Roman"/>
                <w:sz w:val="20"/>
                <w:szCs w:val="20"/>
              </w:rPr>
              <w:t>tituj të borxhit</w:t>
            </w:r>
            <w:r w:rsidR="00B24C95">
              <w:rPr>
                <w:rFonts w:ascii="Garamond" w:hAnsi="Garamond" w:cs="Times New Roman"/>
                <w:sz w:val="20"/>
                <w:szCs w:val="20"/>
              </w:rPr>
              <w:t>”</w:t>
            </w:r>
            <w:r w:rsidRPr="007E6D65">
              <w:rPr>
                <w:rFonts w:ascii="Garamond" w:hAnsi="Garamond" w:cs="Times New Roman"/>
                <w:sz w:val="20"/>
                <w:szCs w:val="20"/>
              </w:rPr>
              <w:t xml:space="preserve">, me arsyetimin se borxhi i varur është kryesisht i përbërë në formën e titujve të borxhit sesa si hua; </w:t>
            </w:r>
          </w:p>
          <w:p w14:paraId="17CAD328"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pretendimet në bazë të REPO ose huamarrjen e titujve kundrejt kolateralit në para: homologu i mjeteve monetare të paguara në këmbim të titujve të blerë nga agjentët raportues me një çmim të caktuar nën një angazhim të vendosur për të rishitur tituj të njëjta ose të ngjashme me një çmim fiks në një data e specifikuar në të ardhmen, ose huamarrje e titujve kundrejt kolateralit në para. Kjo kategori përjashton asetet në formën e depozitave të vendosura nga shoqëritë e sigurimit -të (të cilat përfshihen në kategorinë 1).</w:t>
            </w:r>
          </w:p>
        </w:tc>
      </w:tr>
      <w:tr w:rsidR="00EE658D" w:rsidRPr="007E6D65" w14:paraId="1FE02F89" w14:textId="77777777" w:rsidTr="00661D0A">
        <w:tc>
          <w:tcPr>
            <w:tcW w:w="998" w:type="pct"/>
          </w:tcPr>
          <w:p w14:paraId="10AC2F01" w14:textId="77777777" w:rsidR="00EE658D" w:rsidRPr="007E6D65" w:rsidRDefault="00EE658D" w:rsidP="007E6D65">
            <w:pPr>
              <w:pStyle w:val="ListParagraph"/>
              <w:numPr>
                <w:ilvl w:val="1"/>
                <w:numId w:val="1"/>
              </w:numPr>
              <w:ind w:left="0" w:firstLine="0"/>
              <w:rPr>
                <w:rFonts w:ascii="Garamond" w:hAnsi="Garamond" w:cs="Times New Roman"/>
                <w:sz w:val="20"/>
                <w:szCs w:val="20"/>
              </w:rPr>
            </w:pPr>
            <w:r w:rsidRPr="007E6D65">
              <w:rPr>
                <w:rFonts w:ascii="Garamond" w:hAnsi="Garamond" w:cs="Times New Roman"/>
                <w:sz w:val="20"/>
                <w:szCs w:val="20"/>
              </w:rPr>
              <w:t>Garancitë e depozitave në lidhje me biznesin e risigurimit</w:t>
            </w:r>
          </w:p>
        </w:tc>
        <w:tc>
          <w:tcPr>
            <w:tcW w:w="4002" w:type="pct"/>
          </w:tcPr>
          <w:p w14:paraId="3893F9BA"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Depozitat e vendosura nga korporatat e risigurimit si kolateral për Shoqëritë e sigurimit që veprojnë si korporata ceduese në transaksionet e risigurimit.</w:t>
            </w:r>
          </w:p>
        </w:tc>
      </w:tr>
      <w:tr w:rsidR="00EE658D" w:rsidRPr="007E6D65" w14:paraId="77D3DEB0" w14:textId="77777777" w:rsidTr="00661D0A">
        <w:tc>
          <w:tcPr>
            <w:tcW w:w="998" w:type="pct"/>
          </w:tcPr>
          <w:p w14:paraId="768C61E0" w14:textId="77777777" w:rsidR="00EE658D" w:rsidRPr="007E6D65" w:rsidRDefault="00EE658D" w:rsidP="007E6D65">
            <w:pPr>
              <w:pStyle w:val="ListParagraph"/>
              <w:numPr>
                <w:ilvl w:val="0"/>
                <w:numId w:val="1"/>
              </w:numPr>
              <w:ind w:left="0" w:firstLine="0"/>
              <w:rPr>
                <w:rFonts w:ascii="Garamond" w:hAnsi="Garamond" w:cs="Times New Roman"/>
                <w:sz w:val="20"/>
                <w:szCs w:val="20"/>
              </w:rPr>
            </w:pPr>
            <w:r w:rsidRPr="007E6D65">
              <w:rPr>
                <w:rFonts w:ascii="Garamond" w:hAnsi="Garamond" w:cs="Times New Roman"/>
                <w:sz w:val="20"/>
                <w:szCs w:val="20"/>
              </w:rPr>
              <w:t>Kapitali</w:t>
            </w:r>
          </w:p>
        </w:tc>
        <w:tc>
          <w:tcPr>
            <w:tcW w:w="4002" w:type="pct"/>
          </w:tcPr>
          <w:p w14:paraId="0293B6AE" w14:textId="4A2DC2D9"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Mjetet financiare që përfaqësojnë të drejtat e pronësisë në korporata ose thuajsekorporata. Asete të tilla financiare përgjithësisht u japin zotëruesve të drejtën për një pjesë në fitimet e korporatave ose thuajsekorporatat, dhe për një pjesë në aktivet e tyre neto, në rast likuidimi. Kjo kategori përfshin aksione të listuara dhe të palistuara dhe kapitale të tjera. Tituj të kapitalit të dhëna hua sipas operacioneve të huadhënies së titujve ose të shitura sipas marrëveshjeve të riblerjes trajtohen në përputhje me kategorinë 2 </w:t>
            </w:r>
            <w:r w:rsidR="00B24C95">
              <w:rPr>
                <w:rFonts w:ascii="Garamond" w:hAnsi="Garamond" w:cs="Times New Roman"/>
                <w:sz w:val="20"/>
                <w:szCs w:val="20"/>
              </w:rPr>
              <w:t>“</w:t>
            </w:r>
            <w:r w:rsidRPr="007E6D65">
              <w:rPr>
                <w:rFonts w:ascii="Garamond" w:hAnsi="Garamond" w:cs="Times New Roman"/>
                <w:sz w:val="20"/>
                <w:szCs w:val="20"/>
              </w:rPr>
              <w:t>Titujt e borxhit</w:t>
            </w:r>
            <w:r w:rsidR="00B24C95">
              <w:rPr>
                <w:rFonts w:ascii="Garamond" w:hAnsi="Garamond" w:cs="Times New Roman"/>
                <w:sz w:val="20"/>
                <w:szCs w:val="20"/>
              </w:rPr>
              <w:t>”</w:t>
            </w:r>
            <w:r w:rsidRPr="007E6D65">
              <w:rPr>
                <w:rFonts w:ascii="Garamond" w:hAnsi="Garamond" w:cs="Times New Roman"/>
                <w:sz w:val="20"/>
                <w:szCs w:val="20"/>
              </w:rPr>
              <w:t>.</w:t>
            </w:r>
          </w:p>
        </w:tc>
      </w:tr>
      <w:tr w:rsidR="00EE658D" w:rsidRPr="007E6D65" w14:paraId="70A67AFB" w14:textId="77777777" w:rsidTr="00661D0A">
        <w:tc>
          <w:tcPr>
            <w:tcW w:w="998" w:type="pct"/>
          </w:tcPr>
          <w:p w14:paraId="16130FF6" w14:textId="77777777" w:rsidR="00EE658D" w:rsidRPr="007E6D65" w:rsidRDefault="00EE658D" w:rsidP="007E6D65">
            <w:pPr>
              <w:pStyle w:val="ListParagraph"/>
              <w:numPr>
                <w:ilvl w:val="1"/>
                <w:numId w:val="1"/>
              </w:numPr>
              <w:ind w:left="0" w:firstLine="0"/>
              <w:rPr>
                <w:rFonts w:ascii="Garamond" w:hAnsi="Garamond" w:cs="Times New Roman"/>
                <w:sz w:val="20"/>
                <w:szCs w:val="20"/>
              </w:rPr>
            </w:pPr>
            <w:r w:rsidRPr="007E6D65">
              <w:rPr>
                <w:rFonts w:ascii="Garamond" w:hAnsi="Garamond" w:cs="Times New Roman"/>
                <w:sz w:val="20"/>
                <w:szCs w:val="20"/>
              </w:rPr>
              <w:t xml:space="preserve"> Aksione të listuara </w:t>
            </w:r>
          </w:p>
        </w:tc>
        <w:tc>
          <w:tcPr>
            <w:tcW w:w="4002" w:type="pct"/>
          </w:tcPr>
          <w:p w14:paraId="74580AE2"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Aksione të listuara në bursë. Bursa duhet të jetë një institucion i autorizuar ose çdo lloj forme tjetër e një tregu dytësor.</w:t>
            </w:r>
          </w:p>
        </w:tc>
      </w:tr>
      <w:tr w:rsidR="00EE658D" w:rsidRPr="007E6D65" w14:paraId="1BCD4E9A" w14:textId="77777777" w:rsidTr="00661D0A">
        <w:tc>
          <w:tcPr>
            <w:tcW w:w="998" w:type="pct"/>
          </w:tcPr>
          <w:p w14:paraId="3DC8EB31" w14:textId="77777777" w:rsidR="00EE658D" w:rsidRPr="007E6D65" w:rsidRDefault="00EE658D" w:rsidP="007E6D65">
            <w:pPr>
              <w:pStyle w:val="ListParagraph"/>
              <w:numPr>
                <w:ilvl w:val="1"/>
                <w:numId w:val="1"/>
              </w:numPr>
              <w:ind w:left="0" w:firstLine="0"/>
              <w:rPr>
                <w:rFonts w:ascii="Garamond" w:hAnsi="Garamond" w:cs="Times New Roman"/>
                <w:sz w:val="20"/>
                <w:szCs w:val="20"/>
              </w:rPr>
            </w:pPr>
            <w:r w:rsidRPr="007E6D65">
              <w:rPr>
                <w:rFonts w:ascii="Garamond" w:hAnsi="Garamond" w:cs="Times New Roman"/>
                <w:sz w:val="20"/>
                <w:szCs w:val="20"/>
              </w:rPr>
              <w:t>Aksione të palistuara</w:t>
            </w:r>
          </w:p>
        </w:tc>
        <w:tc>
          <w:tcPr>
            <w:tcW w:w="4002" w:type="pct"/>
          </w:tcPr>
          <w:p w14:paraId="5FF381F4"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Aksionet e palistuara janë titujve të kapitalit që nuk janë të listuara në bursë.</w:t>
            </w:r>
          </w:p>
        </w:tc>
      </w:tr>
      <w:tr w:rsidR="00EE658D" w:rsidRPr="007E6D65" w14:paraId="28BA7C44" w14:textId="77777777" w:rsidTr="00661D0A">
        <w:tc>
          <w:tcPr>
            <w:tcW w:w="998" w:type="pct"/>
          </w:tcPr>
          <w:p w14:paraId="2E4D1F12" w14:textId="77777777" w:rsidR="00EE658D" w:rsidRPr="007E6D65" w:rsidRDefault="00EE658D" w:rsidP="007E6D65">
            <w:pPr>
              <w:pStyle w:val="ListParagraph"/>
              <w:numPr>
                <w:ilvl w:val="1"/>
                <w:numId w:val="1"/>
              </w:numPr>
              <w:ind w:left="0" w:firstLine="0"/>
              <w:rPr>
                <w:rFonts w:ascii="Garamond" w:hAnsi="Garamond" w:cs="Times New Roman"/>
                <w:sz w:val="20"/>
                <w:szCs w:val="20"/>
              </w:rPr>
            </w:pPr>
            <w:r w:rsidRPr="007E6D65">
              <w:rPr>
                <w:rFonts w:ascii="Garamond" w:hAnsi="Garamond" w:cs="Times New Roman"/>
                <w:sz w:val="20"/>
                <w:szCs w:val="20"/>
              </w:rPr>
              <w:t>Kapital tjetër</w:t>
            </w:r>
          </w:p>
        </w:tc>
        <w:tc>
          <w:tcPr>
            <w:tcW w:w="4002" w:type="pct"/>
          </w:tcPr>
          <w:p w14:paraId="5FADC70F"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Kapitali tjetër përfshin të gjitha format e kapitalit, përveç aksioneve të listuara dhe aksioneve të palistuara.</w:t>
            </w:r>
          </w:p>
        </w:tc>
      </w:tr>
      <w:tr w:rsidR="00EE658D" w:rsidRPr="007E6D65" w14:paraId="008D41EF" w14:textId="77777777" w:rsidTr="00661D0A">
        <w:tc>
          <w:tcPr>
            <w:tcW w:w="998" w:type="pct"/>
          </w:tcPr>
          <w:p w14:paraId="153E132C" w14:textId="77777777" w:rsidR="00EE658D" w:rsidRPr="007E6D65" w:rsidRDefault="00EE658D" w:rsidP="007E6D65">
            <w:pPr>
              <w:pStyle w:val="ListParagraph"/>
              <w:numPr>
                <w:ilvl w:val="0"/>
                <w:numId w:val="1"/>
              </w:numPr>
              <w:ind w:left="0" w:firstLine="0"/>
              <w:rPr>
                <w:rFonts w:ascii="Garamond" w:hAnsi="Garamond" w:cs="Times New Roman"/>
                <w:sz w:val="20"/>
                <w:szCs w:val="20"/>
              </w:rPr>
            </w:pPr>
            <w:r w:rsidRPr="007E6D65">
              <w:rPr>
                <w:rFonts w:ascii="Garamond" w:hAnsi="Garamond" w:cs="Times New Roman"/>
                <w:sz w:val="20"/>
                <w:szCs w:val="20"/>
              </w:rPr>
              <w:t>Aksione/njësi të fondeve të investimit</w:t>
            </w:r>
          </w:p>
        </w:tc>
        <w:tc>
          <w:tcPr>
            <w:tcW w:w="4002" w:type="pct"/>
          </w:tcPr>
          <w:p w14:paraId="097249FE"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Kjo kategori përfshin zotërimet e aksioneve ose njësive të emetuara nga fondet e tregut të parasë (FTP) dhe fondet e investimeve jo-FTP të përfshira në listën e BSH-së për qëllime statistikore.</w:t>
            </w:r>
          </w:p>
        </w:tc>
      </w:tr>
      <w:tr w:rsidR="00EE658D" w:rsidRPr="007E6D65" w14:paraId="03E5305E" w14:textId="77777777" w:rsidTr="00661D0A">
        <w:tc>
          <w:tcPr>
            <w:tcW w:w="998" w:type="pct"/>
          </w:tcPr>
          <w:p w14:paraId="46272B31" w14:textId="77777777" w:rsidR="00EE658D" w:rsidRPr="007E6D65" w:rsidRDefault="00EE658D" w:rsidP="00264D78">
            <w:pPr>
              <w:pStyle w:val="ListParagraph"/>
              <w:numPr>
                <w:ilvl w:val="1"/>
                <w:numId w:val="1"/>
              </w:numPr>
              <w:ind w:left="0" w:firstLine="0"/>
              <w:rPr>
                <w:rFonts w:ascii="Garamond" w:hAnsi="Garamond" w:cs="Times New Roman"/>
                <w:sz w:val="20"/>
                <w:szCs w:val="20"/>
              </w:rPr>
            </w:pPr>
            <w:r w:rsidRPr="007E6D65">
              <w:rPr>
                <w:rFonts w:ascii="Garamond" w:hAnsi="Garamond" w:cs="Times New Roman"/>
                <w:sz w:val="20"/>
                <w:szCs w:val="20"/>
              </w:rPr>
              <w:t>Aksione/njësi të FTP</w:t>
            </w:r>
          </w:p>
        </w:tc>
        <w:tc>
          <w:tcPr>
            <w:tcW w:w="4002" w:type="pct"/>
          </w:tcPr>
          <w:p w14:paraId="67B0C793"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Zotërimet e aksioneve ose kuotave të emetuara nga FTP. </w:t>
            </w:r>
          </w:p>
        </w:tc>
      </w:tr>
      <w:tr w:rsidR="00EE658D" w:rsidRPr="007E6D65" w14:paraId="08B6C3F8" w14:textId="77777777" w:rsidTr="00661D0A">
        <w:tc>
          <w:tcPr>
            <w:tcW w:w="998" w:type="pct"/>
          </w:tcPr>
          <w:p w14:paraId="0A7D3116" w14:textId="77777777" w:rsidR="00EE658D" w:rsidRPr="007E6D65" w:rsidRDefault="00EE658D" w:rsidP="007E6D65">
            <w:pPr>
              <w:pStyle w:val="ListParagraph"/>
              <w:numPr>
                <w:ilvl w:val="1"/>
                <w:numId w:val="1"/>
              </w:numPr>
              <w:ind w:left="0" w:firstLine="0"/>
              <w:rPr>
                <w:rFonts w:ascii="Garamond" w:hAnsi="Garamond" w:cs="Times New Roman"/>
                <w:sz w:val="20"/>
                <w:szCs w:val="20"/>
              </w:rPr>
            </w:pPr>
            <w:r w:rsidRPr="007E6D65">
              <w:rPr>
                <w:rFonts w:ascii="Garamond" w:hAnsi="Garamond" w:cs="Times New Roman"/>
                <w:sz w:val="20"/>
                <w:szCs w:val="20"/>
              </w:rPr>
              <w:t>Aksione njësi të jo FTP</w:t>
            </w:r>
          </w:p>
        </w:tc>
        <w:tc>
          <w:tcPr>
            <w:tcW w:w="4002" w:type="pct"/>
          </w:tcPr>
          <w:p w14:paraId="7FD0CF89"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Zotërimet e aksioneve ose kuotave të emetuara të ndryshme nga FTP.</w:t>
            </w:r>
          </w:p>
        </w:tc>
      </w:tr>
      <w:tr w:rsidR="00EE658D" w:rsidRPr="007E6D65" w14:paraId="69D5DB40" w14:textId="77777777" w:rsidTr="00661D0A">
        <w:tc>
          <w:tcPr>
            <w:tcW w:w="998" w:type="pct"/>
          </w:tcPr>
          <w:p w14:paraId="6688A4AF" w14:textId="77777777" w:rsidR="00EE658D" w:rsidRPr="007E6D65" w:rsidRDefault="00EE658D" w:rsidP="007E6D65">
            <w:pPr>
              <w:pStyle w:val="ListParagraph"/>
              <w:numPr>
                <w:ilvl w:val="0"/>
                <w:numId w:val="1"/>
              </w:numPr>
              <w:ind w:left="0" w:firstLine="0"/>
              <w:rPr>
                <w:rFonts w:ascii="Garamond" w:hAnsi="Garamond" w:cs="Times New Roman"/>
                <w:sz w:val="20"/>
                <w:szCs w:val="20"/>
              </w:rPr>
            </w:pPr>
            <w:r w:rsidRPr="007E6D65">
              <w:rPr>
                <w:rFonts w:ascii="Garamond" w:hAnsi="Garamond" w:cs="Times New Roman"/>
                <w:sz w:val="20"/>
                <w:szCs w:val="20"/>
              </w:rPr>
              <w:t>Derivativët financiarë</w:t>
            </w:r>
          </w:p>
        </w:tc>
        <w:tc>
          <w:tcPr>
            <w:tcW w:w="4002" w:type="pct"/>
          </w:tcPr>
          <w:p w14:paraId="2322B221"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Derivativët financiarë janë instrumente financiare të lidhura me një instrument financiar të caktuar, tregues ose mall, nëpërmjet të cilit rreziqet financiare specifike mund të tregtohen në tregjet financiare më vete. Kjo kategori përfshin: </w:t>
            </w:r>
          </w:p>
          <w:p w14:paraId="05186CB1"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 opsionet, </w:t>
            </w:r>
          </w:p>
          <w:p w14:paraId="150E6778"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 garancitë, </w:t>
            </w:r>
          </w:p>
          <w:p w14:paraId="64A41DAA"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kontratat e së ardhmes,</w:t>
            </w:r>
          </w:p>
          <w:p w14:paraId="0712F002"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 transfertat, </w:t>
            </w:r>
          </w:p>
          <w:p w14:paraId="7C8E29C1"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 shkëmbimet, </w:t>
            </w:r>
          </w:p>
          <w:p w14:paraId="74E4D7AE"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 derivativët e kredisë. </w:t>
            </w:r>
          </w:p>
          <w:p w14:paraId="0A33371C"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Derivativët financiarë regjistrohen me vlerën e tregut në bilanc në bazë bruto. Kontratat individuale derivative me vlera pozitive tregu regjistrohen në anën e aktiveve të bilancit dhe kontratat me vlera negative të tregut në anën e pasivit të bilancit. Angazhimet bruto të ardhshme që rrjedhin nga kontratat derivative nuk duhet të futen si zëra në bilanc. Kjo kategori nuk përfshin derivativët financiarë që nuk i nënshtrohen regjistrimit në bilanc sipas </w:t>
            </w:r>
            <w:r w:rsidRPr="007E6D65">
              <w:rPr>
                <w:rFonts w:ascii="Garamond" w:hAnsi="Garamond" w:cs="Times New Roman"/>
                <w:sz w:val="20"/>
                <w:szCs w:val="20"/>
              </w:rPr>
              <w:lastRenderedPageBreak/>
              <w:t>rregullave kombëtare.</w:t>
            </w:r>
          </w:p>
        </w:tc>
      </w:tr>
      <w:tr w:rsidR="00EE658D" w:rsidRPr="007E6D65" w14:paraId="0237C03F" w14:textId="77777777" w:rsidTr="00661D0A">
        <w:tc>
          <w:tcPr>
            <w:tcW w:w="998" w:type="pct"/>
          </w:tcPr>
          <w:p w14:paraId="4C491B4A" w14:textId="77777777" w:rsidR="00EE658D" w:rsidRPr="007E6D65" w:rsidRDefault="00EE658D" w:rsidP="007E6D65">
            <w:pPr>
              <w:pStyle w:val="ListParagraph"/>
              <w:numPr>
                <w:ilvl w:val="0"/>
                <w:numId w:val="1"/>
              </w:numPr>
              <w:ind w:left="0" w:firstLine="0"/>
              <w:rPr>
                <w:rFonts w:ascii="Garamond" w:hAnsi="Garamond" w:cs="Times New Roman"/>
                <w:sz w:val="20"/>
                <w:szCs w:val="20"/>
              </w:rPr>
            </w:pPr>
            <w:r w:rsidRPr="007E6D65">
              <w:rPr>
                <w:rFonts w:ascii="Garamond" w:hAnsi="Garamond" w:cs="Times New Roman"/>
                <w:sz w:val="20"/>
                <w:szCs w:val="20"/>
              </w:rPr>
              <w:lastRenderedPageBreak/>
              <w:t>Rezervat teknike të sigurimit jojetë</w:t>
            </w:r>
          </w:p>
        </w:tc>
        <w:tc>
          <w:tcPr>
            <w:tcW w:w="4002" w:type="pct"/>
          </w:tcPr>
          <w:p w14:paraId="2BA8B515"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Pretendimet financiare të shoqërive të sigurimit ndaj korporatave të risigurimit bazuar në politikat e risigurimit të jetës dhe jojetës.</w:t>
            </w:r>
          </w:p>
        </w:tc>
      </w:tr>
      <w:tr w:rsidR="00EE658D" w:rsidRPr="007E6D65" w14:paraId="28A4E457" w14:textId="77777777" w:rsidTr="00661D0A">
        <w:tc>
          <w:tcPr>
            <w:tcW w:w="998" w:type="pct"/>
          </w:tcPr>
          <w:p w14:paraId="2FD6EDA8" w14:textId="77777777" w:rsidR="00EE658D" w:rsidRPr="007E6D65" w:rsidRDefault="00EE658D" w:rsidP="007E6D65">
            <w:pPr>
              <w:pStyle w:val="ListParagraph"/>
              <w:numPr>
                <w:ilvl w:val="0"/>
                <w:numId w:val="1"/>
              </w:numPr>
              <w:ind w:left="0" w:firstLine="0"/>
              <w:rPr>
                <w:rFonts w:ascii="Garamond" w:hAnsi="Garamond" w:cs="Times New Roman"/>
                <w:sz w:val="20"/>
                <w:szCs w:val="20"/>
              </w:rPr>
            </w:pPr>
            <w:r w:rsidRPr="007E6D65">
              <w:rPr>
                <w:rFonts w:ascii="Garamond" w:hAnsi="Garamond" w:cs="Times New Roman"/>
                <w:sz w:val="20"/>
                <w:szCs w:val="20"/>
              </w:rPr>
              <w:t>Mjetet jofinanciare</w:t>
            </w:r>
          </w:p>
        </w:tc>
        <w:tc>
          <w:tcPr>
            <w:tcW w:w="4002" w:type="pct"/>
          </w:tcPr>
          <w:p w14:paraId="6368056C"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Aktivet e prekshme dhe të paprekshme, përveç aktiveve financiare. Kjo kategori përfshin banesat, ndërtesat dhe strukturat e tjera, makineritë dhe pajisjet, sendet me vlerë dhe produktet e pronësisë intelektuale si softuerët kompjuterikë dhe bazat e të dhënave.</w:t>
            </w:r>
          </w:p>
        </w:tc>
      </w:tr>
      <w:tr w:rsidR="00EE658D" w:rsidRPr="007E6D65" w14:paraId="4EA5786E" w14:textId="77777777" w:rsidTr="00661D0A">
        <w:tc>
          <w:tcPr>
            <w:tcW w:w="998" w:type="pct"/>
          </w:tcPr>
          <w:p w14:paraId="58D8AADB" w14:textId="77777777" w:rsidR="00EE658D" w:rsidRPr="007E6D65" w:rsidRDefault="00EE658D" w:rsidP="007E6D65">
            <w:pPr>
              <w:pStyle w:val="ListParagraph"/>
              <w:numPr>
                <w:ilvl w:val="0"/>
                <w:numId w:val="1"/>
              </w:numPr>
              <w:ind w:left="0" w:firstLine="0"/>
              <w:rPr>
                <w:rFonts w:ascii="Garamond" w:hAnsi="Garamond" w:cs="Times New Roman"/>
                <w:sz w:val="20"/>
                <w:szCs w:val="20"/>
              </w:rPr>
            </w:pPr>
            <w:r w:rsidRPr="007E6D65">
              <w:rPr>
                <w:rFonts w:ascii="Garamond" w:hAnsi="Garamond" w:cs="Times New Roman"/>
                <w:sz w:val="20"/>
                <w:szCs w:val="20"/>
              </w:rPr>
              <w:t>Mjete të tjera</w:t>
            </w:r>
          </w:p>
        </w:tc>
        <w:tc>
          <w:tcPr>
            <w:tcW w:w="4002" w:type="pct"/>
          </w:tcPr>
          <w:p w14:paraId="0B1F77D1" w14:textId="3F3D94D2"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Kjo është kategoria e mbetur në anën e aktiveve të bilancit, e përcaktuar si </w:t>
            </w:r>
            <w:r w:rsidR="00B24C95">
              <w:rPr>
                <w:rFonts w:ascii="Garamond" w:hAnsi="Garamond" w:cs="Times New Roman"/>
                <w:sz w:val="20"/>
                <w:szCs w:val="20"/>
              </w:rPr>
              <w:t>“</w:t>
            </w:r>
            <w:r w:rsidRPr="007E6D65">
              <w:rPr>
                <w:rFonts w:ascii="Garamond" w:hAnsi="Garamond" w:cs="Times New Roman"/>
                <w:sz w:val="20"/>
                <w:szCs w:val="20"/>
              </w:rPr>
              <w:t>pasuri që nuk përfshihen diku tjetër</w:t>
            </w:r>
            <w:r w:rsidR="00B24C95">
              <w:rPr>
                <w:rFonts w:ascii="Garamond" w:hAnsi="Garamond" w:cs="Times New Roman"/>
                <w:sz w:val="20"/>
                <w:szCs w:val="20"/>
              </w:rPr>
              <w:t>”</w:t>
            </w:r>
            <w:r w:rsidRPr="007E6D65">
              <w:rPr>
                <w:rFonts w:ascii="Garamond" w:hAnsi="Garamond" w:cs="Times New Roman"/>
                <w:sz w:val="20"/>
                <w:szCs w:val="20"/>
              </w:rPr>
              <w:t xml:space="preserve">. NCB-të mund të kërkojnë raportimin e nënpozicioneve specifike të përfshira në këtë kategori. Asetet e mbetura mund të përfshijnë: </w:t>
            </w:r>
          </w:p>
          <w:p w14:paraId="514441C0"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 dividentët e arkëtueshëm, </w:t>
            </w:r>
          </w:p>
          <w:p w14:paraId="429B3EC3"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 qiranë e përllogaritur të arkëtueshme, </w:t>
            </w:r>
          </w:p>
          <w:p w14:paraId="58C39AC7"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xml:space="preserve">— dëmet e arkëtueshme të risigurimit, </w:t>
            </w:r>
          </w:p>
          <w:p w14:paraId="63159943" w14:textId="77777777" w:rsidR="00EE658D" w:rsidRPr="007E6D65" w:rsidRDefault="00EE658D" w:rsidP="007E6D65">
            <w:pPr>
              <w:jc w:val="both"/>
              <w:rPr>
                <w:rFonts w:ascii="Garamond" w:hAnsi="Garamond" w:cs="Times New Roman"/>
                <w:sz w:val="20"/>
                <w:szCs w:val="20"/>
              </w:rPr>
            </w:pPr>
            <w:r w:rsidRPr="007E6D65">
              <w:rPr>
                <w:rFonts w:ascii="Garamond" w:hAnsi="Garamond" w:cs="Times New Roman"/>
                <w:sz w:val="20"/>
                <w:szCs w:val="20"/>
              </w:rPr>
              <w:t>— shumat e arkëtueshme që nuk lidhen me biznesin kryesor të shoqërive të sigurimit.</w:t>
            </w:r>
          </w:p>
        </w:tc>
      </w:tr>
    </w:tbl>
    <w:p w14:paraId="108D2158" w14:textId="77777777" w:rsidR="00264D78" w:rsidRDefault="00264D78" w:rsidP="007E6D65">
      <w:pPr>
        <w:spacing w:after="0" w:line="240" w:lineRule="auto"/>
        <w:jc w:val="center"/>
        <w:rPr>
          <w:rFonts w:ascii="Garamond" w:hAnsi="Garamond" w:cs="Times New Roman"/>
          <w:b/>
          <w:sz w:val="24"/>
          <w:szCs w:val="24"/>
        </w:rPr>
      </w:pPr>
    </w:p>
    <w:p w14:paraId="3D09ECAD" w14:textId="77777777" w:rsidR="00EE658D" w:rsidRPr="007E6D65" w:rsidRDefault="00EE658D" w:rsidP="007E6D65">
      <w:pPr>
        <w:spacing w:after="0" w:line="240" w:lineRule="auto"/>
        <w:jc w:val="center"/>
        <w:rPr>
          <w:rFonts w:ascii="Garamond" w:hAnsi="Garamond" w:cs="Times New Roman"/>
          <w:b/>
          <w:sz w:val="24"/>
          <w:szCs w:val="24"/>
        </w:rPr>
      </w:pPr>
      <w:r w:rsidRPr="007E6D65">
        <w:rPr>
          <w:rFonts w:ascii="Garamond" w:hAnsi="Garamond" w:cs="Times New Roman"/>
          <w:b/>
          <w:sz w:val="24"/>
          <w:szCs w:val="24"/>
        </w:rPr>
        <w:t>Detyrimet</w:t>
      </w:r>
    </w:p>
    <w:tbl>
      <w:tblPr>
        <w:tblStyle w:val="TableGrid"/>
        <w:tblW w:w="5000" w:type="pct"/>
        <w:tblLook w:val="04A0" w:firstRow="1" w:lastRow="0" w:firstColumn="1" w:lastColumn="0" w:noHBand="0" w:noVBand="1"/>
      </w:tblPr>
      <w:tblGrid>
        <w:gridCol w:w="2281"/>
        <w:gridCol w:w="6961"/>
      </w:tblGrid>
      <w:tr w:rsidR="00EE658D" w:rsidRPr="007E6D65" w14:paraId="33A55590" w14:textId="77777777" w:rsidTr="00661D0A">
        <w:tc>
          <w:tcPr>
            <w:tcW w:w="1234" w:type="pct"/>
          </w:tcPr>
          <w:p w14:paraId="40C98516" w14:textId="77777777" w:rsidR="00EE658D" w:rsidRPr="00B24C95" w:rsidRDefault="00EE658D" w:rsidP="00264D78">
            <w:pPr>
              <w:jc w:val="center"/>
              <w:rPr>
                <w:rFonts w:ascii="Garamond" w:hAnsi="Garamond" w:cs="Times New Roman"/>
                <w:b/>
                <w:sz w:val="20"/>
                <w:szCs w:val="20"/>
              </w:rPr>
            </w:pPr>
            <w:r w:rsidRPr="00B24C95">
              <w:rPr>
                <w:rFonts w:ascii="Garamond" w:hAnsi="Garamond" w:cs="Times New Roman"/>
                <w:b/>
                <w:sz w:val="20"/>
                <w:szCs w:val="20"/>
              </w:rPr>
              <w:t>Kategoria e instrumentit</w:t>
            </w:r>
          </w:p>
        </w:tc>
        <w:tc>
          <w:tcPr>
            <w:tcW w:w="3766" w:type="pct"/>
          </w:tcPr>
          <w:p w14:paraId="0E036779" w14:textId="77777777" w:rsidR="00EE658D" w:rsidRPr="00B24C95" w:rsidRDefault="00EE658D" w:rsidP="00264D78">
            <w:pPr>
              <w:jc w:val="center"/>
              <w:rPr>
                <w:rFonts w:ascii="Garamond" w:hAnsi="Garamond" w:cs="Times New Roman"/>
                <w:b/>
                <w:sz w:val="20"/>
                <w:szCs w:val="20"/>
              </w:rPr>
            </w:pPr>
            <w:r w:rsidRPr="00B24C95">
              <w:rPr>
                <w:rFonts w:ascii="Garamond" w:hAnsi="Garamond" w:cs="Times New Roman"/>
                <w:b/>
                <w:sz w:val="20"/>
                <w:szCs w:val="20"/>
              </w:rPr>
              <w:t>Përshkrimi</w:t>
            </w:r>
          </w:p>
        </w:tc>
      </w:tr>
      <w:tr w:rsidR="00EE658D" w:rsidRPr="007E6D65" w14:paraId="644B8EF2" w14:textId="77777777" w:rsidTr="00661D0A">
        <w:tc>
          <w:tcPr>
            <w:tcW w:w="1234" w:type="pct"/>
          </w:tcPr>
          <w:p w14:paraId="68D04F86" w14:textId="77777777" w:rsidR="00EE658D" w:rsidRPr="007E6D65" w:rsidRDefault="00EE658D" w:rsidP="00264D78">
            <w:pPr>
              <w:pStyle w:val="ListParagraph"/>
              <w:numPr>
                <w:ilvl w:val="0"/>
                <w:numId w:val="1"/>
              </w:numPr>
              <w:ind w:left="0" w:firstLine="0"/>
              <w:rPr>
                <w:rFonts w:ascii="Garamond" w:hAnsi="Garamond" w:cs="Times New Roman"/>
                <w:sz w:val="20"/>
                <w:szCs w:val="20"/>
              </w:rPr>
            </w:pPr>
            <w:r w:rsidRPr="007E6D65">
              <w:rPr>
                <w:rFonts w:ascii="Garamond" w:hAnsi="Garamond" w:cs="Times New Roman"/>
                <w:sz w:val="20"/>
                <w:szCs w:val="20"/>
              </w:rPr>
              <w:t>Tituj të borxhit të emetuar</w:t>
            </w:r>
          </w:p>
        </w:tc>
        <w:tc>
          <w:tcPr>
            <w:tcW w:w="3766" w:type="pct"/>
          </w:tcPr>
          <w:p w14:paraId="1A87BC32"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Tituj të emetuar nga shoqëritë e sigurimit, përveç kapitalit, që zakonisht janë instrumente të negociueshme dhe tregtohen në tregje dytësore, ose që mund të kompensohen në treg dhe nuk i japin mbajtësit asnjë të drejtë pronësie në lidhje me institucionin emetues.</w:t>
            </w:r>
          </w:p>
        </w:tc>
      </w:tr>
      <w:tr w:rsidR="00EE658D" w:rsidRPr="007E6D65" w14:paraId="0D98F4E1" w14:textId="77777777" w:rsidTr="00661D0A">
        <w:tc>
          <w:tcPr>
            <w:tcW w:w="1234" w:type="pct"/>
          </w:tcPr>
          <w:p w14:paraId="41B7D060" w14:textId="77777777" w:rsidR="00EE658D" w:rsidRPr="007E6D65" w:rsidRDefault="00EE658D" w:rsidP="00264D78">
            <w:pPr>
              <w:pStyle w:val="ListParagraph"/>
              <w:numPr>
                <w:ilvl w:val="0"/>
                <w:numId w:val="1"/>
              </w:numPr>
              <w:ind w:left="0" w:firstLine="0"/>
              <w:rPr>
                <w:rFonts w:ascii="Garamond" w:hAnsi="Garamond" w:cs="Times New Roman"/>
                <w:sz w:val="20"/>
                <w:szCs w:val="20"/>
              </w:rPr>
            </w:pPr>
            <w:r w:rsidRPr="007E6D65">
              <w:rPr>
                <w:rFonts w:ascii="Garamond" w:hAnsi="Garamond" w:cs="Times New Roman"/>
                <w:sz w:val="20"/>
                <w:szCs w:val="20"/>
              </w:rPr>
              <w:t>Hua të marra</w:t>
            </w:r>
          </w:p>
        </w:tc>
        <w:tc>
          <w:tcPr>
            <w:tcW w:w="3766" w:type="pct"/>
          </w:tcPr>
          <w:p w14:paraId="43C1D362"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 xml:space="preserve">Shumat e borxhit ndaj kreditorëve nga shoqëritë e sigurimit, të ndryshme nga ato që dalin nga emetimi i titujve të negociueshëm. Kjo kategori përbëhet nga: </w:t>
            </w:r>
          </w:p>
          <w:p w14:paraId="7DD72EA4" w14:textId="462C84A1"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 xml:space="preserve">— kreditë: huat e dhëna për shoqëritë e sigurimit, të cilat ose janë të evidentuara me dokumente të panegociueshme ose jo të evidentuara me dokumente, </w:t>
            </w:r>
          </w:p>
          <w:p w14:paraId="432533D4" w14:textId="135C1924"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 repo dhe operacione të tipit repo kundrejt kolateralit në cash: homologu i parave të gatshme të marra në këmbim të titujve të shitura nga shoqëritë e sigurimit me një çmim të caktuar nën një angazhim të fortë për të riblerë të njëjtët tituj (ose të ngjashme) me një çmim fiks në një datë të caktuar të ardhshme. Shumat e marra nga IC në këmbim të titujve të transferuara te një palë e tretë (</w:t>
            </w:r>
            <w:r w:rsidR="00B24C95">
              <w:rPr>
                <w:rFonts w:ascii="Garamond" w:hAnsi="Garamond" w:cs="Times New Roman"/>
                <w:sz w:val="20"/>
                <w:szCs w:val="20"/>
              </w:rPr>
              <w:t>“</w:t>
            </w:r>
            <w:r w:rsidRPr="007E6D65">
              <w:rPr>
                <w:rFonts w:ascii="Garamond" w:hAnsi="Garamond" w:cs="Times New Roman"/>
                <w:sz w:val="20"/>
                <w:szCs w:val="20"/>
              </w:rPr>
              <w:t>blerësi i përkohshëm</w:t>
            </w:r>
            <w:r w:rsidR="00B24C95">
              <w:rPr>
                <w:rFonts w:ascii="Garamond" w:hAnsi="Garamond" w:cs="Times New Roman"/>
                <w:sz w:val="20"/>
                <w:szCs w:val="20"/>
              </w:rPr>
              <w:t>”</w:t>
            </w:r>
            <w:r w:rsidRPr="007E6D65">
              <w:rPr>
                <w:rFonts w:ascii="Garamond" w:hAnsi="Garamond" w:cs="Times New Roman"/>
                <w:sz w:val="20"/>
                <w:szCs w:val="20"/>
              </w:rPr>
              <w:t xml:space="preserve">) duhet të klasifikohen këtu kur ekziston një angazhim i vendosur për të anuluar operacionin dhe jo thjesht një opsion për ta bërë këtë. Kjo nënkupton që shoqëria e sigurimit ruan të gjitha rreziqet dhe përfitimet e titujve bazë gjatë operacionit, </w:t>
            </w:r>
          </w:p>
          <w:p w14:paraId="05421560"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 xml:space="preserve">— kolaterali në para të marra në këmbim të huadhënies së titujve: shumat e marra në këmbim të titujve të transferuara përkohësisht te një palë e tretë në formën e operacioneve të huadhënies së titujve kundrejt kolateralit në para, </w:t>
            </w:r>
          </w:p>
          <w:p w14:paraId="533AB0AE"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—kolaterali në para të marra në operacionet që përfshijnë transferimin e përkohshëm të arit kundrejt kolateralit.</w:t>
            </w:r>
          </w:p>
        </w:tc>
      </w:tr>
      <w:tr w:rsidR="00EE658D" w:rsidRPr="007E6D65" w14:paraId="6D5E5555" w14:textId="77777777" w:rsidTr="00661D0A">
        <w:tc>
          <w:tcPr>
            <w:tcW w:w="1234" w:type="pct"/>
          </w:tcPr>
          <w:p w14:paraId="3FF72445" w14:textId="700C9B09" w:rsidR="00EE658D" w:rsidRPr="007E6D65" w:rsidRDefault="00197142" w:rsidP="00264D78">
            <w:pPr>
              <w:rPr>
                <w:rFonts w:ascii="Garamond" w:hAnsi="Garamond" w:cs="Times New Roman"/>
                <w:sz w:val="20"/>
                <w:szCs w:val="20"/>
              </w:rPr>
            </w:pPr>
            <w:r>
              <w:rPr>
                <w:rFonts w:ascii="Garamond" w:hAnsi="Garamond" w:cs="Times New Roman"/>
                <w:sz w:val="20"/>
                <w:szCs w:val="20"/>
              </w:rPr>
              <w:t xml:space="preserve">    </w:t>
            </w:r>
            <w:r w:rsidR="00EE658D" w:rsidRPr="007E6D65">
              <w:rPr>
                <w:rFonts w:ascii="Garamond" w:hAnsi="Garamond" w:cs="Times New Roman"/>
                <w:sz w:val="20"/>
                <w:szCs w:val="20"/>
              </w:rPr>
              <w:t>11.1. Garancitë e depozitave në lidhje me biznesin e risigurimit</w:t>
            </w:r>
          </w:p>
        </w:tc>
        <w:tc>
          <w:tcPr>
            <w:tcW w:w="3766" w:type="pct"/>
          </w:tcPr>
          <w:p w14:paraId="07373E51"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Depozitat e marra nga korporatat ceduese si kolateral nga korporatat e risigurimit.</w:t>
            </w:r>
          </w:p>
        </w:tc>
      </w:tr>
      <w:tr w:rsidR="00EE658D" w:rsidRPr="007E6D65" w14:paraId="4AE5BF81" w14:textId="77777777" w:rsidTr="00661D0A">
        <w:tc>
          <w:tcPr>
            <w:tcW w:w="1234" w:type="pct"/>
          </w:tcPr>
          <w:p w14:paraId="56FC88A7" w14:textId="77777777" w:rsidR="00EE658D" w:rsidRPr="007E6D65" w:rsidRDefault="00EE658D" w:rsidP="00264D78">
            <w:pPr>
              <w:pStyle w:val="ListParagraph"/>
              <w:numPr>
                <w:ilvl w:val="0"/>
                <w:numId w:val="1"/>
              </w:numPr>
              <w:ind w:left="0" w:firstLine="0"/>
              <w:rPr>
                <w:rFonts w:ascii="Garamond" w:hAnsi="Garamond" w:cs="Times New Roman"/>
                <w:sz w:val="20"/>
                <w:szCs w:val="20"/>
              </w:rPr>
            </w:pPr>
            <w:r w:rsidRPr="007E6D65">
              <w:rPr>
                <w:rFonts w:ascii="Garamond" w:hAnsi="Garamond" w:cs="Times New Roman"/>
                <w:sz w:val="20"/>
                <w:szCs w:val="20"/>
              </w:rPr>
              <w:t>Kapitali</w:t>
            </w:r>
          </w:p>
        </w:tc>
        <w:tc>
          <w:tcPr>
            <w:tcW w:w="3766" w:type="pct"/>
          </w:tcPr>
          <w:p w14:paraId="3113425D"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Shiko kategorinë 4</w:t>
            </w:r>
          </w:p>
        </w:tc>
      </w:tr>
      <w:tr w:rsidR="00EE658D" w:rsidRPr="007E6D65" w14:paraId="54F9D2B9" w14:textId="77777777" w:rsidTr="00661D0A">
        <w:tc>
          <w:tcPr>
            <w:tcW w:w="1234" w:type="pct"/>
          </w:tcPr>
          <w:p w14:paraId="6AF089E8" w14:textId="7207A63C" w:rsidR="00EE658D" w:rsidRPr="007E6D65" w:rsidRDefault="00EE658D" w:rsidP="00264D78">
            <w:pPr>
              <w:pStyle w:val="ListParagraph"/>
              <w:numPr>
                <w:ilvl w:val="1"/>
                <w:numId w:val="1"/>
              </w:numPr>
              <w:tabs>
                <w:tab w:val="left" w:pos="787"/>
              </w:tabs>
              <w:ind w:left="0" w:firstLine="0"/>
              <w:rPr>
                <w:rFonts w:ascii="Garamond" w:hAnsi="Garamond" w:cs="Times New Roman"/>
                <w:sz w:val="20"/>
                <w:szCs w:val="20"/>
              </w:rPr>
            </w:pPr>
            <w:r w:rsidRPr="007E6D65">
              <w:rPr>
                <w:rFonts w:ascii="Garamond" w:hAnsi="Garamond" w:cs="Times New Roman"/>
                <w:sz w:val="20"/>
                <w:szCs w:val="20"/>
              </w:rPr>
              <w:t xml:space="preserve">Aksione të listuara </w:t>
            </w:r>
          </w:p>
        </w:tc>
        <w:tc>
          <w:tcPr>
            <w:tcW w:w="3766" w:type="pct"/>
          </w:tcPr>
          <w:p w14:paraId="28E78584"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Shiko kategorinë 4.1</w:t>
            </w:r>
          </w:p>
        </w:tc>
      </w:tr>
      <w:tr w:rsidR="00EE658D" w:rsidRPr="007E6D65" w14:paraId="62787AC7" w14:textId="77777777" w:rsidTr="00661D0A">
        <w:tc>
          <w:tcPr>
            <w:tcW w:w="1234" w:type="pct"/>
          </w:tcPr>
          <w:p w14:paraId="0F15DEC6" w14:textId="13482AD6" w:rsidR="00EE658D" w:rsidRPr="007E6D65" w:rsidRDefault="00EE658D" w:rsidP="00264D78">
            <w:pPr>
              <w:pStyle w:val="ListParagraph"/>
              <w:numPr>
                <w:ilvl w:val="1"/>
                <w:numId w:val="1"/>
              </w:numPr>
              <w:ind w:left="0" w:firstLine="0"/>
              <w:rPr>
                <w:rFonts w:ascii="Garamond" w:hAnsi="Garamond" w:cs="Times New Roman"/>
                <w:sz w:val="20"/>
                <w:szCs w:val="20"/>
              </w:rPr>
            </w:pPr>
            <w:r w:rsidRPr="007E6D65">
              <w:rPr>
                <w:rFonts w:ascii="Garamond" w:hAnsi="Garamond" w:cs="Times New Roman"/>
                <w:sz w:val="20"/>
                <w:szCs w:val="20"/>
              </w:rPr>
              <w:t>Aksione të palistuara</w:t>
            </w:r>
          </w:p>
        </w:tc>
        <w:tc>
          <w:tcPr>
            <w:tcW w:w="3766" w:type="pct"/>
          </w:tcPr>
          <w:p w14:paraId="5510040E"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Shiko kategorinë 4.2</w:t>
            </w:r>
          </w:p>
        </w:tc>
      </w:tr>
      <w:tr w:rsidR="00EE658D" w:rsidRPr="007E6D65" w14:paraId="2E466BF7" w14:textId="77777777" w:rsidTr="00661D0A">
        <w:tc>
          <w:tcPr>
            <w:tcW w:w="1234" w:type="pct"/>
          </w:tcPr>
          <w:p w14:paraId="430B2180" w14:textId="2F88EECE" w:rsidR="00EE658D" w:rsidRPr="007E6D65" w:rsidRDefault="00C64FD3" w:rsidP="00264D78">
            <w:pPr>
              <w:pStyle w:val="ListParagraph"/>
              <w:numPr>
                <w:ilvl w:val="1"/>
                <w:numId w:val="1"/>
              </w:numPr>
              <w:tabs>
                <w:tab w:val="left" w:pos="787"/>
              </w:tabs>
              <w:ind w:left="0" w:firstLine="0"/>
              <w:rPr>
                <w:rFonts w:ascii="Garamond" w:hAnsi="Garamond" w:cs="Times New Roman"/>
                <w:sz w:val="20"/>
                <w:szCs w:val="20"/>
              </w:rPr>
            </w:pPr>
            <w:r>
              <w:rPr>
                <w:rFonts w:ascii="Garamond" w:hAnsi="Garamond" w:cs="Times New Roman"/>
                <w:sz w:val="20"/>
                <w:szCs w:val="20"/>
              </w:rPr>
              <w:t>K</w:t>
            </w:r>
            <w:r w:rsidR="00EE658D" w:rsidRPr="007E6D65">
              <w:rPr>
                <w:rFonts w:ascii="Garamond" w:hAnsi="Garamond" w:cs="Times New Roman"/>
                <w:sz w:val="20"/>
                <w:szCs w:val="20"/>
              </w:rPr>
              <w:t>apital tjetër</w:t>
            </w:r>
          </w:p>
        </w:tc>
        <w:tc>
          <w:tcPr>
            <w:tcW w:w="3766" w:type="pct"/>
          </w:tcPr>
          <w:p w14:paraId="1D10F2FC"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Shiko kategorinë 4.3</w:t>
            </w:r>
          </w:p>
        </w:tc>
      </w:tr>
      <w:tr w:rsidR="00EE658D" w:rsidRPr="007E6D65" w14:paraId="5AD18E52" w14:textId="77777777" w:rsidTr="00661D0A">
        <w:tc>
          <w:tcPr>
            <w:tcW w:w="1234" w:type="pct"/>
          </w:tcPr>
          <w:p w14:paraId="5EA8A1F8" w14:textId="77777777" w:rsidR="00EE658D" w:rsidRPr="007E6D65" w:rsidRDefault="00EE658D" w:rsidP="00264D78">
            <w:pPr>
              <w:pStyle w:val="ListParagraph"/>
              <w:numPr>
                <w:ilvl w:val="0"/>
                <w:numId w:val="1"/>
              </w:numPr>
              <w:ind w:left="0" w:firstLine="0"/>
              <w:rPr>
                <w:rFonts w:ascii="Garamond" w:hAnsi="Garamond" w:cs="Times New Roman"/>
                <w:sz w:val="20"/>
                <w:szCs w:val="20"/>
              </w:rPr>
            </w:pPr>
            <w:r w:rsidRPr="007E6D65">
              <w:rPr>
                <w:rFonts w:ascii="Garamond" w:hAnsi="Garamond" w:cs="Times New Roman"/>
                <w:sz w:val="20"/>
                <w:szCs w:val="20"/>
              </w:rPr>
              <w:t>Rezervat tektonike të sigurimit</w:t>
            </w:r>
          </w:p>
        </w:tc>
        <w:tc>
          <w:tcPr>
            <w:tcW w:w="3766" w:type="pct"/>
          </w:tcPr>
          <w:p w14:paraId="065A8CA0"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Shuma e kapitalit që mbajnë shoqëritë e sigurimit për të përmbushur kërkesat e ardhshme të sigurimit të policave të saj.</w:t>
            </w:r>
          </w:p>
        </w:tc>
      </w:tr>
      <w:tr w:rsidR="00EE658D" w:rsidRPr="007E6D65" w14:paraId="417AF862" w14:textId="77777777" w:rsidTr="00661D0A">
        <w:tc>
          <w:tcPr>
            <w:tcW w:w="1234" w:type="pct"/>
          </w:tcPr>
          <w:p w14:paraId="344DC278" w14:textId="3B9B6133" w:rsidR="00EE658D" w:rsidRPr="007E6D65" w:rsidRDefault="00EE658D" w:rsidP="00264D78">
            <w:pPr>
              <w:pStyle w:val="ListParagraph"/>
              <w:numPr>
                <w:ilvl w:val="1"/>
                <w:numId w:val="1"/>
              </w:numPr>
              <w:tabs>
                <w:tab w:val="left" w:pos="607"/>
                <w:tab w:val="left" w:pos="787"/>
              </w:tabs>
              <w:ind w:left="0" w:firstLine="0"/>
              <w:rPr>
                <w:rFonts w:ascii="Garamond" w:hAnsi="Garamond" w:cs="Times New Roman"/>
                <w:sz w:val="20"/>
                <w:szCs w:val="20"/>
              </w:rPr>
            </w:pPr>
            <w:r w:rsidRPr="007E6D65">
              <w:rPr>
                <w:rFonts w:ascii="Garamond" w:hAnsi="Garamond" w:cs="Times New Roman"/>
                <w:sz w:val="20"/>
                <w:szCs w:val="20"/>
              </w:rPr>
              <w:t>Rezervat teknike të sigurimit të jetës</w:t>
            </w:r>
          </w:p>
        </w:tc>
        <w:tc>
          <w:tcPr>
            <w:tcW w:w="3766" w:type="pct"/>
          </w:tcPr>
          <w:p w14:paraId="262A57E7"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Shuma e kapitalit që mbajnë shoqëritë e sigurimit për të përmbushur pretendimet e ardhshme të sigurimit të policave të saj të sigurimit të jetës.</w:t>
            </w:r>
          </w:p>
        </w:tc>
      </w:tr>
      <w:tr w:rsidR="00EE658D" w:rsidRPr="007E6D65" w14:paraId="4933E204" w14:textId="77777777" w:rsidTr="00661D0A">
        <w:tc>
          <w:tcPr>
            <w:tcW w:w="1234" w:type="pct"/>
          </w:tcPr>
          <w:p w14:paraId="25979BAC" w14:textId="77777777" w:rsidR="00EE658D" w:rsidRPr="007E6D65" w:rsidRDefault="00EE658D" w:rsidP="00264D78">
            <w:pPr>
              <w:pStyle w:val="ListParagraph"/>
              <w:numPr>
                <w:ilvl w:val="2"/>
                <w:numId w:val="4"/>
              </w:numPr>
              <w:ind w:left="0" w:firstLine="0"/>
              <w:rPr>
                <w:rFonts w:ascii="Garamond" w:hAnsi="Garamond" w:cs="Times New Roman"/>
                <w:sz w:val="20"/>
                <w:szCs w:val="20"/>
              </w:rPr>
            </w:pPr>
            <w:r w:rsidRPr="007E6D65">
              <w:rPr>
                <w:rFonts w:ascii="Garamond" w:hAnsi="Garamond" w:cs="Times New Roman"/>
                <w:sz w:val="20"/>
                <w:szCs w:val="20"/>
              </w:rPr>
              <w:t>nga të cilat rezervat teknike të sigurimit të jetës të lidhura me njësinë</w:t>
            </w:r>
          </w:p>
        </w:tc>
        <w:tc>
          <w:tcPr>
            <w:tcW w:w="3766" w:type="pct"/>
          </w:tcPr>
          <w:p w14:paraId="443BE7AE"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Shuma e kapitalit që mbajnë shoqëritë e sigurimit për të përmbushur pretendimet e ardhshme të sigurimit të mbajtësve të saj të sigurimit të jetës të lidhura me njësinë. Pretendimet e ardhshme të mbajtësit të policës sipas një kontrate sigurimi jete të lidhur me njësinë varen nga performanca e një grupi aktivesh në të cilat janë investuar fondet e mbajtësit të policës.</w:t>
            </w:r>
          </w:p>
        </w:tc>
      </w:tr>
      <w:tr w:rsidR="00EE658D" w:rsidRPr="007E6D65" w14:paraId="2A5746D3" w14:textId="77777777" w:rsidTr="00661D0A">
        <w:tc>
          <w:tcPr>
            <w:tcW w:w="1234" w:type="pct"/>
          </w:tcPr>
          <w:p w14:paraId="66728B31" w14:textId="77777777" w:rsidR="00EE658D" w:rsidRPr="007E6D65" w:rsidRDefault="00EE658D" w:rsidP="00264D78">
            <w:pPr>
              <w:pStyle w:val="ListParagraph"/>
              <w:numPr>
                <w:ilvl w:val="2"/>
                <w:numId w:val="4"/>
              </w:numPr>
              <w:ind w:left="0" w:firstLine="0"/>
              <w:rPr>
                <w:rFonts w:ascii="Garamond" w:hAnsi="Garamond" w:cs="Times New Roman"/>
                <w:sz w:val="20"/>
                <w:szCs w:val="20"/>
              </w:rPr>
            </w:pPr>
            <w:r w:rsidRPr="007E6D65">
              <w:rPr>
                <w:rFonts w:ascii="Garamond" w:hAnsi="Garamond" w:cs="Times New Roman"/>
                <w:sz w:val="20"/>
                <w:szCs w:val="20"/>
              </w:rPr>
              <w:t>nga të cilat rezervat teknike të sigurimit të jetës jo të lidhura me njësinë</w:t>
            </w:r>
          </w:p>
        </w:tc>
        <w:tc>
          <w:tcPr>
            <w:tcW w:w="3766" w:type="pct"/>
          </w:tcPr>
          <w:p w14:paraId="5352CB8A"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Shuma e kapitalit që mbajnë shoqëritë e sigurimit për të përmbushur pretendimet e ardhshme të sigurimit të mbajtësve të saj të sigurimit të jetës jo të lidhura me njësinë. Pretendimet e ardhshme të mbajtësit të policës sipas një kontrate sigurimi të jetës jo të lidhura me njësinë nuk varen nga performanca e ndonjë grupi të caktuar aktivesh.</w:t>
            </w:r>
          </w:p>
        </w:tc>
      </w:tr>
      <w:tr w:rsidR="00EE658D" w:rsidRPr="007E6D65" w14:paraId="7DF68621" w14:textId="77777777" w:rsidTr="00661D0A">
        <w:tc>
          <w:tcPr>
            <w:tcW w:w="1234" w:type="pct"/>
          </w:tcPr>
          <w:p w14:paraId="7144D063" w14:textId="77777777" w:rsidR="00EE658D" w:rsidRPr="007E6D65" w:rsidRDefault="00EE658D" w:rsidP="00264D78">
            <w:pPr>
              <w:pStyle w:val="ListParagraph"/>
              <w:numPr>
                <w:ilvl w:val="2"/>
                <w:numId w:val="4"/>
              </w:numPr>
              <w:ind w:left="0" w:firstLine="0"/>
              <w:rPr>
                <w:rFonts w:ascii="Garamond" w:hAnsi="Garamond" w:cs="Times New Roman"/>
                <w:sz w:val="20"/>
                <w:szCs w:val="20"/>
              </w:rPr>
            </w:pPr>
            <w:r w:rsidRPr="007E6D65">
              <w:rPr>
                <w:rFonts w:ascii="Garamond" w:hAnsi="Garamond" w:cs="Times New Roman"/>
                <w:sz w:val="20"/>
                <w:szCs w:val="20"/>
              </w:rPr>
              <w:lastRenderedPageBreak/>
              <w:t>nga të cilat të drejtat për pension</w:t>
            </w:r>
          </w:p>
        </w:tc>
        <w:tc>
          <w:tcPr>
            <w:tcW w:w="3766" w:type="pct"/>
          </w:tcPr>
          <w:p w14:paraId="77FB4798"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Shuma e kapitalit që mbajnë shoqëritë e sigurimit për të përmbushur kërkesat e ardhshme të skemave të saj të pensioneve. Kjo kategori i referohet vetëm planeve të pensioneve profesionale. Planet individuale të pensioneve që nuk janë të lidhura me një marrëdhënie pune nuk bëjnë pjesë në këtë kategori.</w:t>
            </w:r>
          </w:p>
        </w:tc>
      </w:tr>
      <w:tr w:rsidR="00EE658D" w:rsidRPr="007E6D65" w14:paraId="7ECC604A" w14:textId="77777777" w:rsidTr="00661D0A">
        <w:tc>
          <w:tcPr>
            <w:tcW w:w="1234" w:type="pct"/>
          </w:tcPr>
          <w:p w14:paraId="7584A030" w14:textId="77777777" w:rsidR="00EE658D" w:rsidRPr="007E6D65" w:rsidRDefault="00EE658D" w:rsidP="00264D78">
            <w:pPr>
              <w:pStyle w:val="ListParagraph"/>
              <w:numPr>
                <w:ilvl w:val="3"/>
                <w:numId w:val="4"/>
              </w:numPr>
              <w:tabs>
                <w:tab w:val="left" w:pos="877"/>
              </w:tabs>
              <w:ind w:left="0" w:firstLine="0"/>
              <w:rPr>
                <w:rFonts w:ascii="Garamond" w:hAnsi="Garamond" w:cs="Times New Roman"/>
                <w:sz w:val="20"/>
                <w:szCs w:val="20"/>
              </w:rPr>
            </w:pPr>
            <w:r w:rsidRPr="007E6D65">
              <w:rPr>
                <w:rFonts w:ascii="Garamond" w:hAnsi="Garamond" w:cs="Times New Roman"/>
                <w:sz w:val="20"/>
                <w:szCs w:val="20"/>
              </w:rPr>
              <w:t>Të drejtat pensionale nga të cilat skemat e përcaktuara të kontributeve</w:t>
            </w:r>
          </w:p>
        </w:tc>
        <w:tc>
          <w:tcPr>
            <w:tcW w:w="3766" w:type="pct"/>
          </w:tcPr>
          <w:p w14:paraId="7C02498B"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Shuma e kapitalit që mbajnë shoqëritë e sigurimit për të përmbushur pretendimet e ardhshme të sigurimit të policave të saj të skemës së kontributeve të përcaktuara. Në një skemë kontributesh të përcaktuara, përfitimet e paguara varen nga performanca e aktiveve të fituara nga skema e pensioneve. Detyrimi i një skeme kontributesh të përcaktuar është vlera aktuale e tregut të aktiveve të fondit.</w:t>
            </w:r>
          </w:p>
        </w:tc>
      </w:tr>
      <w:tr w:rsidR="00EE658D" w:rsidRPr="007E6D65" w14:paraId="594CAFB3" w14:textId="77777777" w:rsidTr="00661D0A">
        <w:tc>
          <w:tcPr>
            <w:tcW w:w="1234" w:type="pct"/>
          </w:tcPr>
          <w:p w14:paraId="0196EE66" w14:textId="77777777" w:rsidR="00EE658D" w:rsidRPr="007E6D65" w:rsidRDefault="00EE658D" w:rsidP="00264D78">
            <w:pPr>
              <w:pStyle w:val="ListParagraph"/>
              <w:numPr>
                <w:ilvl w:val="3"/>
                <w:numId w:val="4"/>
              </w:numPr>
              <w:tabs>
                <w:tab w:val="left" w:pos="877"/>
              </w:tabs>
              <w:ind w:left="0" w:firstLine="0"/>
              <w:rPr>
                <w:rFonts w:ascii="Garamond" w:hAnsi="Garamond" w:cs="Times New Roman"/>
                <w:sz w:val="20"/>
                <w:szCs w:val="20"/>
              </w:rPr>
            </w:pPr>
            <w:r w:rsidRPr="007E6D65">
              <w:rPr>
                <w:rFonts w:ascii="Garamond" w:hAnsi="Garamond" w:cs="Times New Roman"/>
                <w:sz w:val="20"/>
                <w:szCs w:val="20"/>
              </w:rPr>
              <w:t xml:space="preserve"> Të drejtat e pensionit nga të cilat skemat e përfitimeve të përcaktuara</w:t>
            </w:r>
          </w:p>
        </w:tc>
        <w:tc>
          <w:tcPr>
            <w:tcW w:w="3766" w:type="pct"/>
          </w:tcPr>
          <w:p w14:paraId="164467BE"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Shuma e kapitalit që mbajnë shoqëritë e sigurimit për të përmbushur pretendimet e ardhshme të sigurimit të policave të saj të skemës së përfitimeve të përcaktuara. Në një skemë pensioni me përfitime të përcaktuara, niveli i përfitimeve pensionale që u premtohen punonjësve pjesëmarrës përcaktohet nga një formulë e rënë dakord paraprakisht. Detyrimi i një skeme pensioni me përfitime të përcaktuara është i barabartë me vlerën aktuale të përfitimeve të premtuara.</w:t>
            </w:r>
          </w:p>
        </w:tc>
      </w:tr>
      <w:tr w:rsidR="00EE658D" w:rsidRPr="007E6D65" w14:paraId="120B50C0" w14:textId="77777777" w:rsidTr="00661D0A">
        <w:tc>
          <w:tcPr>
            <w:tcW w:w="1234" w:type="pct"/>
          </w:tcPr>
          <w:p w14:paraId="6DFD5CE6" w14:textId="77777777" w:rsidR="00EE658D" w:rsidRPr="007E6D65" w:rsidRDefault="00EE658D" w:rsidP="00264D78">
            <w:pPr>
              <w:pStyle w:val="ListParagraph"/>
              <w:numPr>
                <w:ilvl w:val="3"/>
                <w:numId w:val="4"/>
              </w:numPr>
              <w:tabs>
                <w:tab w:val="left" w:pos="877"/>
              </w:tabs>
              <w:ind w:left="0" w:firstLine="0"/>
              <w:rPr>
                <w:rFonts w:ascii="Garamond" w:hAnsi="Garamond" w:cs="Times New Roman"/>
                <w:sz w:val="20"/>
                <w:szCs w:val="20"/>
              </w:rPr>
            </w:pPr>
            <w:r w:rsidRPr="007E6D65">
              <w:rPr>
                <w:rFonts w:ascii="Garamond" w:hAnsi="Garamond" w:cs="Times New Roman"/>
                <w:sz w:val="20"/>
                <w:szCs w:val="20"/>
              </w:rPr>
              <w:t>Të drejtat e pensionit nga të cilat skemat hibride</w:t>
            </w:r>
          </w:p>
        </w:tc>
        <w:tc>
          <w:tcPr>
            <w:tcW w:w="3766" w:type="pct"/>
          </w:tcPr>
          <w:p w14:paraId="2BE1D73F"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Shuma e kapitalit që mbajnë shoqëritë e sigurimit për të përmbushur pretendimet e ardhshme të sigurimit të skemave të saj, duke kombinuar elemente të skemave të kontributeve të përcaktuara dhe përfitimeve të përcaktuara.</w:t>
            </w:r>
          </w:p>
        </w:tc>
      </w:tr>
      <w:tr w:rsidR="00EE658D" w:rsidRPr="007E6D65" w14:paraId="0CB5CF76" w14:textId="77777777" w:rsidTr="00661D0A">
        <w:tc>
          <w:tcPr>
            <w:tcW w:w="1234" w:type="pct"/>
          </w:tcPr>
          <w:p w14:paraId="57258674" w14:textId="77777777" w:rsidR="00EE658D" w:rsidRPr="007E6D65" w:rsidRDefault="00EE658D" w:rsidP="00264D78">
            <w:pPr>
              <w:pStyle w:val="ListParagraph"/>
              <w:numPr>
                <w:ilvl w:val="1"/>
                <w:numId w:val="4"/>
              </w:numPr>
              <w:ind w:left="0" w:firstLine="0"/>
              <w:rPr>
                <w:rFonts w:ascii="Garamond" w:hAnsi="Garamond" w:cs="Times New Roman"/>
                <w:sz w:val="20"/>
                <w:szCs w:val="20"/>
              </w:rPr>
            </w:pPr>
            <w:r w:rsidRPr="007E6D65">
              <w:rPr>
                <w:rFonts w:ascii="Garamond" w:hAnsi="Garamond" w:cs="Times New Roman"/>
                <w:sz w:val="20"/>
                <w:szCs w:val="20"/>
              </w:rPr>
              <w:t>Rezervat teknike të sigurimit të jojetës</w:t>
            </w:r>
          </w:p>
        </w:tc>
        <w:tc>
          <w:tcPr>
            <w:tcW w:w="3766" w:type="pct"/>
          </w:tcPr>
          <w:p w14:paraId="55A3EC87"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Shuma e kapitalit që mbajnë shoqëritë e sigurimit për të përmbushur pretendimet e ardhshme të sigurimit të policave të saj të sigurimit jojetë.</w:t>
            </w:r>
          </w:p>
        </w:tc>
      </w:tr>
      <w:tr w:rsidR="00EE658D" w:rsidRPr="007E6D65" w14:paraId="2486EC2A" w14:textId="77777777" w:rsidTr="00661D0A">
        <w:tc>
          <w:tcPr>
            <w:tcW w:w="1234" w:type="pct"/>
          </w:tcPr>
          <w:p w14:paraId="35E4A23B" w14:textId="77777777" w:rsidR="00EE658D" w:rsidRPr="007E6D65" w:rsidRDefault="00EE658D" w:rsidP="00264D78">
            <w:pPr>
              <w:rPr>
                <w:rFonts w:ascii="Garamond" w:hAnsi="Garamond" w:cs="Times New Roman"/>
                <w:sz w:val="20"/>
                <w:szCs w:val="20"/>
              </w:rPr>
            </w:pPr>
            <w:r w:rsidRPr="007E6D65">
              <w:rPr>
                <w:rFonts w:ascii="Garamond" w:hAnsi="Garamond" w:cs="Times New Roman"/>
                <w:sz w:val="20"/>
                <w:szCs w:val="20"/>
              </w:rPr>
              <w:t>13.2.1. Sigurimi i shpenzimeve mjekësore</w:t>
            </w:r>
          </w:p>
        </w:tc>
        <w:tc>
          <w:tcPr>
            <w:tcW w:w="3766" w:type="pct"/>
          </w:tcPr>
          <w:p w14:paraId="1F308C66"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Detyrimet e sigurimit të shpenzimeve mjekësore kur biznesi bazë nuk ndiqet mbi një bazë teknike të ngjashme me atë të sigurimit të jetës, përveç detyrimeve të përfshira në fushën e biznesit 13.2.3.</w:t>
            </w:r>
          </w:p>
        </w:tc>
      </w:tr>
      <w:tr w:rsidR="00EE658D" w:rsidRPr="007E6D65" w14:paraId="1E2BCB62" w14:textId="77777777" w:rsidTr="00661D0A">
        <w:tc>
          <w:tcPr>
            <w:tcW w:w="1234" w:type="pct"/>
          </w:tcPr>
          <w:p w14:paraId="671EC931" w14:textId="77777777" w:rsidR="00EE658D" w:rsidRPr="007E6D65" w:rsidRDefault="00EE658D" w:rsidP="00264D78">
            <w:pPr>
              <w:rPr>
                <w:rFonts w:ascii="Garamond" w:hAnsi="Garamond" w:cs="Times New Roman"/>
                <w:sz w:val="20"/>
                <w:szCs w:val="20"/>
              </w:rPr>
            </w:pPr>
            <w:r w:rsidRPr="007E6D65">
              <w:rPr>
                <w:rFonts w:ascii="Garamond" w:hAnsi="Garamond" w:cs="Times New Roman"/>
                <w:sz w:val="20"/>
                <w:szCs w:val="20"/>
              </w:rPr>
              <w:t>13.2.2. Sigurimi i mbrojtjes së të ardhurave</w:t>
            </w:r>
          </w:p>
        </w:tc>
        <w:tc>
          <w:tcPr>
            <w:tcW w:w="3766" w:type="pct"/>
          </w:tcPr>
          <w:p w14:paraId="23195703"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Detyrimet e sigurimit për mbrojtjen e të ardhurave kur biznesi themelor nuk ndiqet mbi një bazë teknike të ngjashme me atë të sigurimit të jetës, përveç detyrimeve të përfshira në fushën e biznesit 13.2.3</w:t>
            </w:r>
          </w:p>
        </w:tc>
      </w:tr>
      <w:tr w:rsidR="00EE658D" w:rsidRPr="007E6D65" w14:paraId="22D155FF" w14:textId="77777777" w:rsidTr="00661D0A">
        <w:tc>
          <w:tcPr>
            <w:tcW w:w="1234" w:type="pct"/>
          </w:tcPr>
          <w:p w14:paraId="11263869" w14:textId="77777777" w:rsidR="00EE658D" w:rsidRPr="007E6D65" w:rsidRDefault="00EE658D" w:rsidP="00264D78">
            <w:pPr>
              <w:rPr>
                <w:rFonts w:ascii="Garamond" w:hAnsi="Garamond" w:cs="Times New Roman"/>
                <w:sz w:val="20"/>
                <w:szCs w:val="20"/>
              </w:rPr>
            </w:pPr>
            <w:r w:rsidRPr="007E6D65">
              <w:rPr>
                <w:rFonts w:ascii="Garamond" w:hAnsi="Garamond" w:cs="Times New Roman"/>
                <w:sz w:val="20"/>
                <w:szCs w:val="20"/>
              </w:rPr>
              <w:t>13.2.3. Sigurimi i kompensimit të punëtorëve</w:t>
            </w:r>
          </w:p>
        </w:tc>
        <w:tc>
          <w:tcPr>
            <w:tcW w:w="3766" w:type="pct"/>
          </w:tcPr>
          <w:p w14:paraId="024EC467"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Detyrimet e sigurimit shëndetësor që lidhen me aksidentet në punë, dëmtimet industriale dhe sëmundjet profesionale dhe ku biznesi themelor nuk ndiqet mbi një bazë teknike të ngjashme me atë të sigurimit të jetës.</w:t>
            </w:r>
          </w:p>
        </w:tc>
      </w:tr>
      <w:tr w:rsidR="00EE658D" w:rsidRPr="007E6D65" w14:paraId="46C48BF0" w14:textId="77777777" w:rsidTr="00661D0A">
        <w:tc>
          <w:tcPr>
            <w:tcW w:w="1234" w:type="pct"/>
          </w:tcPr>
          <w:p w14:paraId="53DCE26B" w14:textId="77777777" w:rsidR="00EE658D" w:rsidRPr="007E6D65" w:rsidRDefault="00EE658D" w:rsidP="00264D78">
            <w:pPr>
              <w:rPr>
                <w:rFonts w:ascii="Garamond" w:hAnsi="Garamond" w:cs="Times New Roman"/>
                <w:sz w:val="20"/>
                <w:szCs w:val="20"/>
              </w:rPr>
            </w:pPr>
            <w:r w:rsidRPr="007E6D65">
              <w:rPr>
                <w:rFonts w:ascii="Garamond" w:hAnsi="Garamond" w:cs="Times New Roman"/>
                <w:sz w:val="20"/>
                <w:szCs w:val="20"/>
              </w:rPr>
              <w:t>13.2.4. Sigurimi i përgjegjësisë së mjeteve motorike</w:t>
            </w:r>
          </w:p>
        </w:tc>
        <w:tc>
          <w:tcPr>
            <w:tcW w:w="3766" w:type="pct"/>
          </w:tcPr>
          <w:p w14:paraId="5BE6F7FD"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Detyrimet e sigurimit që mbulojnë të gjitha detyrimet që lindin nga përdorimi i mjeteve motorike që operojnë në tokë (përfshirë përgjegjësinë e transportuesit).</w:t>
            </w:r>
          </w:p>
        </w:tc>
      </w:tr>
      <w:tr w:rsidR="00EE658D" w:rsidRPr="007E6D65" w14:paraId="77C0D91C" w14:textId="77777777" w:rsidTr="00661D0A">
        <w:tc>
          <w:tcPr>
            <w:tcW w:w="1234" w:type="pct"/>
          </w:tcPr>
          <w:p w14:paraId="7D3946A8" w14:textId="77777777" w:rsidR="00EE658D" w:rsidRPr="007E6D65" w:rsidRDefault="00EE658D" w:rsidP="00264D78">
            <w:pPr>
              <w:rPr>
                <w:rFonts w:ascii="Garamond" w:hAnsi="Garamond" w:cs="Times New Roman"/>
                <w:sz w:val="20"/>
                <w:szCs w:val="20"/>
              </w:rPr>
            </w:pPr>
            <w:r w:rsidRPr="007E6D65">
              <w:rPr>
                <w:rFonts w:ascii="Garamond" w:hAnsi="Garamond" w:cs="Times New Roman"/>
                <w:sz w:val="20"/>
                <w:szCs w:val="20"/>
              </w:rPr>
              <w:t>13.2.5. Sigurime të tjera motorike</w:t>
            </w:r>
          </w:p>
        </w:tc>
        <w:tc>
          <w:tcPr>
            <w:tcW w:w="3766" w:type="pct"/>
          </w:tcPr>
          <w:p w14:paraId="19589E62"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Detyrimet e sigurimit që mbulojnë të gjitha dëmtimet ose humbjet e mjeteve tokësore (përfshirë mjetet hekurudhore).</w:t>
            </w:r>
          </w:p>
        </w:tc>
      </w:tr>
      <w:tr w:rsidR="00EE658D" w:rsidRPr="007E6D65" w14:paraId="374FD462" w14:textId="77777777" w:rsidTr="00661D0A">
        <w:tc>
          <w:tcPr>
            <w:tcW w:w="1234" w:type="pct"/>
          </w:tcPr>
          <w:p w14:paraId="3C55FA43" w14:textId="77777777" w:rsidR="00EE658D" w:rsidRPr="007E6D65" w:rsidRDefault="00EE658D" w:rsidP="00264D78">
            <w:pPr>
              <w:rPr>
                <w:rFonts w:ascii="Garamond" w:hAnsi="Garamond" w:cs="Times New Roman"/>
                <w:sz w:val="20"/>
                <w:szCs w:val="20"/>
              </w:rPr>
            </w:pPr>
            <w:r w:rsidRPr="007E6D65">
              <w:rPr>
                <w:rFonts w:ascii="Garamond" w:hAnsi="Garamond" w:cs="Times New Roman"/>
                <w:sz w:val="20"/>
                <w:szCs w:val="20"/>
              </w:rPr>
              <w:t>13.2.6. Sigurime detare, aviacioni dhe transporti</w:t>
            </w:r>
          </w:p>
        </w:tc>
        <w:tc>
          <w:tcPr>
            <w:tcW w:w="3766" w:type="pct"/>
          </w:tcPr>
          <w:p w14:paraId="496EB62E"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Detyrimet e sigurimit që mbulojnë të gjitha dëmtimet ose humbjet në det, liqen, lumë dhe anije kanalesh, avionë dhe dëmtime ose humbje të mallrave në tranzit ose bagazhe, pavarësisht nga forma e transportit. Detyrimet e sigurimit që mbulojnë detyrimet që lindin nga përdorimi i avionëve, anijeve, anijeve ose varkave në det, liqene, lumenj ose kanale (përfshirë përgjegjësinë e transportuesit).</w:t>
            </w:r>
          </w:p>
        </w:tc>
      </w:tr>
      <w:tr w:rsidR="00EE658D" w:rsidRPr="007E6D65" w14:paraId="4BC38C41" w14:textId="77777777" w:rsidTr="00661D0A">
        <w:tc>
          <w:tcPr>
            <w:tcW w:w="1234" w:type="pct"/>
          </w:tcPr>
          <w:p w14:paraId="0C938CFF" w14:textId="77777777" w:rsidR="00EE658D" w:rsidRPr="007E6D65" w:rsidRDefault="00EE658D" w:rsidP="00264D78">
            <w:pPr>
              <w:rPr>
                <w:rFonts w:ascii="Garamond" w:hAnsi="Garamond" w:cs="Times New Roman"/>
                <w:sz w:val="20"/>
                <w:szCs w:val="20"/>
              </w:rPr>
            </w:pPr>
            <w:r w:rsidRPr="007E6D65">
              <w:rPr>
                <w:rFonts w:ascii="Garamond" w:hAnsi="Garamond" w:cs="Times New Roman"/>
                <w:sz w:val="20"/>
                <w:szCs w:val="20"/>
              </w:rPr>
              <w:t>13.2.7. Sigurimi i pronës nga zjarri dhe dëme të tjera</w:t>
            </w:r>
          </w:p>
        </w:tc>
        <w:tc>
          <w:tcPr>
            <w:tcW w:w="3766" w:type="pct"/>
          </w:tcPr>
          <w:p w14:paraId="1394BA80"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Detyrimet e sigurimit që mbulojnë të gjitha dëmet ose humbjet e pronës, përveç atyre të përfshira në linjat e biznesit 13.2.5 dhe 13.2.6, për shkak të zjarrit, shpërthimit, forcave natyrore, duke përfshirë stuhinë, breshrin ose ngricën, energjinë bërthamore, rrëshqitjen e tokës dhe çdo ngjarje të tilla si vjedhja.</w:t>
            </w:r>
          </w:p>
        </w:tc>
      </w:tr>
      <w:tr w:rsidR="00EE658D" w:rsidRPr="007E6D65" w14:paraId="7F3D512D" w14:textId="77777777" w:rsidTr="00661D0A">
        <w:tc>
          <w:tcPr>
            <w:tcW w:w="1234" w:type="pct"/>
          </w:tcPr>
          <w:p w14:paraId="27E86598" w14:textId="77777777" w:rsidR="00EE658D" w:rsidRPr="007E6D65" w:rsidRDefault="00EE658D" w:rsidP="00264D78">
            <w:pPr>
              <w:rPr>
                <w:rFonts w:ascii="Garamond" w:hAnsi="Garamond" w:cs="Times New Roman"/>
                <w:sz w:val="20"/>
                <w:szCs w:val="20"/>
              </w:rPr>
            </w:pPr>
            <w:r w:rsidRPr="007E6D65">
              <w:rPr>
                <w:rFonts w:ascii="Garamond" w:hAnsi="Garamond" w:cs="Times New Roman"/>
                <w:sz w:val="20"/>
                <w:szCs w:val="20"/>
              </w:rPr>
              <w:t>13.2.8. Sigurimi i përgjegjësisë së përgjithshme</w:t>
            </w:r>
          </w:p>
        </w:tc>
        <w:tc>
          <w:tcPr>
            <w:tcW w:w="3766" w:type="pct"/>
          </w:tcPr>
          <w:p w14:paraId="198E32BE"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Detyrimet e sigurimit të cilat mbulojnë të gjitha detyrimet përveç atyre në linjat e biznesit 13.2.4 dhe 13.2.6.</w:t>
            </w:r>
          </w:p>
        </w:tc>
      </w:tr>
      <w:tr w:rsidR="00EE658D" w:rsidRPr="007E6D65" w14:paraId="1F4C8DA7" w14:textId="77777777" w:rsidTr="00661D0A">
        <w:tc>
          <w:tcPr>
            <w:tcW w:w="1234" w:type="pct"/>
          </w:tcPr>
          <w:p w14:paraId="6E60275A" w14:textId="77777777" w:rsidR="00EE658D" w:rsidRPr="007E6D65" w:rsidRDefault="00EE658D" w:rsidP="00264D78">
            <w:pPr>
              <w:rPr>
                <w:rFonts w:ascii="Garamond" w:hAnsi="Garamond" w:cs="Times New Roman"/>
                <w:sz w:val="20"/>
                <w:szCs w:val="20"/>
              </w:rPr>
            </w:pPr>
            <w:r w:rsidRPr="007E6D65">
              <w:rPr>
                <w:rFonts w:ascii="Garamond" w:hAnsi="Garamond" w:cs="Times New Roman"/>
                <w:sz w:val="20"/>
                <w:szCs w:val="20"/>
              </w:rPr>
              <w:t>13.2.9. Sigurimi i kredisë dhe garancisë</w:t>
            </w:r>
          </w:p>
        </w:tc>
        <w:tc>
          <w:tcPr>
            <w:tcW w:w="3766" w:type="pct"/>
          </w:tcPr>
          <w:p w14:paraId="79D29935"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Detyrimet e sigurimit që mbulojnë falimentimin, kredinë e eksportit, kredinë me këste, hipotekat, kredinë bujqësore dhe garancinë direkte dhe indirekte.</w:t>
            </w:r>
          </w:p>
        </w:tc>
      </w:tr>
      <w:tr w:rsidR="00EE658D" w:rsidRPr="007E6D65" w14:paraId="350AC13E" w14:textId="77777777" w:rsidTr="00661D0A">
        <w:tc>
          <w:tcPr>
            <w:tcW w:w="1234" w:type="pct"/>
          </w:tcPr>
          <w:p w14:paraId="56E2FBD6" w14:textId="77777777" w:rsidR="00EE658D" w:rsidRPr="007E6D65" w:rsidRDefault="00EE658D" w:rsidP="00264D78">
            <w:pPr>
              <w:rPr>
                <w:rFonts w:ascii="Garamond" w:hAnsi="Garamond" w:cs="Times New Roman"/>
                <w:sz w:val="20"/>
                <w:szCs w:val="20"/>
              </w:rPr>
            </w:pPr>
            <w:r w:rsidRPr="007E6D65">
              <w:rPr>
                <w:rFonts w:ascii="Garamond" w:hAnsi="Garamond" w:cs="Times New Roman"/>
                <w:sz w:val="20"/>
                <w:szCs w:val="20"/>
              </w:rPr>
              <w:t>13.2.10. Sigurimi i shpenzimeve ligjore</w:t>
            </w:r>
          </w:p>
        </w:tc>
        <w:tc>
          <w:tcPr>
            <w:tcW w:w="3766" w:type="pct"/>
          </w:tcPr>
          <w:p w14:paraId="5CE4151C"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Detyrimet e sigurimit të cilat mbulojnë shpenzimet ligjore dhe koston e procesit gjyqësor.</w:t>
            </w:r>
          </w:p>
        </w:tc>
      </w:tr>
      <w:tr w:rsidR="00EE658D" w:rsidRPr="007E6D65" w14:paraId="6E828B7A" w14:textId="77777777" w:rsidTr="00661D0A">
        <w:tc>
          <w:tcPr>
            <w:tcW w:w="1234" w:type="pct"/>
          </w:tcPr>
          <w:p w14:paraId="78A43AD7" w14:textId="77777777" w:rsidR="00EE658D" w:rsidRPr="007E6D65" w:rsidRDefault="00EE658D" w:rsidP="00264D78">
            <w:pPr>
              <w:rPr>
                <w:rFonts w:ascii="Garamond" w:hAnsi="Garamond" w:cs="Times New Roman"/>
                <w:sz w:val="20"/>
                <w:szCs w:val="20"/>
              </w:rPr>
            </w:pPr>
            <w:r w:rsidRPr="007E6D65">
              <w:rPr>
                <w:rFonts w:ascii="Garamond" w:hAnsi="Garamond" w:cs="Times New Roman"/>
                <w:sz w:val="20"/>
                <w:szCs w:val="20"/>
              </w:rPr>
              <w:t>13.2.11. Asistencë</w:t>
            </w:r>
          </w:p>
        </w:tc>
        <w:tc>
          <w:tcPr>
            <w:tcW w:w="3766" w:type="pct"/>
          </w:tcPr>
          <w:p w14:paraId="4F7249B5"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Detyrimet e sigurimit që mbulojnë asistencën për personat që hasin në vështirësi gjatë udhëtimit, kur janë larg shtëpisë ose larg vendbanimit të tyre të zakonshëm.</w:t>
            </w:r>
          </w:p>
        </w:tc>
      </w:tr>
      <w:tr w:rsidR="00EE658D" w:rsidRPr="007E6D65" w14:paraId="20341730" w14:textId="77777777" w:rsidTr="00661D0A">
        <w:tc>
          <w:tcPr>
            <w:tcW w:w="1234" w:type="pct"/>
          </w:tcPr>
          <w:p w14:paraId="212DC8A6" w14:textId="77777777" w:rsidR="00EE658D" w:rsidRPr="007E6D65" w:rsidRDefault="00EE658D" w:rsidP="00264D78">
            <w:pPr>
              <w:rPr>
                <w:rFonts w:ascii="Garamond" w:hAnsi="Garamond" w:cs="Times New Roman"/>
                <w:sz w:val="20"/>
                <w:szCs w:val="20"/>
              </w:rPr>
            </w:pPr>
            <w:r w:rsidRPr="007E6D65">
              <w:rPr>
                <w:rFonts w:ascii="Garamond" w:hAnsi="Garamond" w:cs="Times New Roman"/>
                <w:sz w:val="20"/>
                <w:szCs w:val="20"/>
              </w:rPr>
              <w:t>13.2.12. Humbje të ndryshme financiare</w:t>
            </w:r>
          </w:p>
        </w:tc>
        <w:tc>
          <w:tcPr>
            <w:tcW w:w="3766" w:type="pct"/>
          </w:tcPr>
          <w:p w14:paraId="74774F8F"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Detyrimet e sigurimit që mbulojnë rrezikun e punësimit, pamjaftueshmërinë e të ardhurave, motin e keq, humbjen e përfitimit, shpenzimet e përgjithshme të vazhdueshme, shpenzimet e paparashikuara të tregtimit, humbjen e vlerës së tregut, humbjen e qirasë ose të ardhurave, humbjet indirekte të tregtisë, të ndryshme nga ato të përmendura më sipër, humbje të tjera financiare (jotregtare), si dhe çdo rrezik tjetër të sigurimit të jojetës që nuk mbulohet nga linjat e biznesit 13.2.1 deri në 13.2.11.</w:t>
            </w:r>
          </w:p>
        </w:tc>
      </w:tr>
      <w:tr w:rsidR="00EE658D" w:rsidRPr="007E6D65" w14:paraId="7E24822C" w14:textId="77777777" w:rsidTr="00661D0A">
        <w:tc>
          <w:tcPr>
            <w:tcW w:w="1234" w:type="pct"/>
          </w:tcPr>
          <w:p w14:paraId="096A5832" w14:textId="77777777" w:rsidR="00EE658D" w:rsidRPr="007E6D65" w:rsidRDefault="00EE658D" w:rsidP="00264D78">
            <w:pPr>
              <w:rPr>
                <w:rFonts w:ascii="Garamond" w:hAnsi="Garamond" w:cs="Times New Roman"/>
                <w:sz w:val="20"/>
                <w:szCs w:val="20"/>
              </w:rPr>
            </w:pPr>
            <w:r w:rsidRPr="007E6D65">
              <w:rPr>
                <w:rFonts w:ascii="Garamond" w:hAnsi="Garamond" w:cs="Times New Roman"/>
                <w:sz w:val="20"/>
                <w:szCs w:val="20"/>
              </w:rPr>
              <w:t>13.2.13. Risigurimi</w:t>
            </w:r>
          </w:p>
        </w:tc>
        <w:tc>
          <w:tcPr>
            <w:tcW w:w="3766" w:type="pct"/>
          </w:tcPr>
          <w:p w14:paraId="4FC61BC7"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Detyrimet e risigurimit</w:t>
            </w:r>
          </w:p>
        </w:tc>
      </w:tr>
      <w:tr w:rsidR="00EE658D" w:rsidRPr="007E6D65" w14:paraId="1821A654" w14:textId="77777777" w:rsidTr="00661D0A">
        <w:tc>
          <w:tcPr>
            <w:tcW w:w="1234" w:type="pct"/>
          </w:tcPr>
          <w:p w14:paraId="59A2CCDE" w14:textId="77777777" w:rsidR="00EE658D" w:rsidRPr="007E6D65" w:rsidRDefault="00EE658D" w:rsidP="00264D78">
            <w:pPr>
              <w:pStyle w:val="ListParagraph"/>
              <w:numPr>
                <w:ilvl w:val="0"/>
                <w:numId w:val="4"/>
              </w:numPr>
              <w:ind w:left="0" w:firstLine="0"/>
              <w:rPr>
                <w:rFonts w:ascii="Garamond" w:hAnsi="Garamond" w:cs="Times New Roman"/>
                <w:sz w:val="20"/>
                <w:szCs w:val="20"/>
              </w:rPr>
            </w:pPr>
            <w:r w:rsidRPr="007E6D65">
              <w:rPr>
                <w:rFonts w:ascii="Garamond" w:hAnsi="Garamond" w:cs="Times New Roman"/>
                <w:sz w:val="20"/>
                <w:szCs w:val="20"/>
              </w:rPr>
              <w:t>Derivativët financiarë</w:t>
            </w:r>
          </w:p>
        </w:tc>
        <w:tc>
          <w:tcPr>
            <w:tcW w:w="3766" w:type="pct"/>
          </w:tcPr>
          <w:p w14:paraId="559A364A"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Shiko kategorinë 6</w:t>
            </w:r>
          </w:p>
        </w:tc>
      </w:tr>
      <w:tr w:rsidR="00EE658D" w:rsidRPr="007E6D65" w14:paraId="0985C05D" w14:textId="77777777" w:rsidTr="00661D0A">
        <w:tc>
          <w:tcPr>
            <w:tcW w:w="1234" w:type="pct"/>
          </w:tcPr>
          <w:p w14:paraId="5DF69824" w14:textId="77777777" w:rsidR="00EE658D" w:rsidRPr="007E6D65" w:rsidRDefault="00EE658D" w:rsidP="00264D78">
            <w:pPr>
              <w:pStyle w:val="ListParagraph"/>
              <w:numPr>
                <w:ilvl w:val="0"/>
                <w:numId w:val="4"/>
              </w:numPr>
              <w:ind w:left="0" w:firstLine="0"/>
              <w:rPr>
                <w:rFonts w:ascii="Garamond" w:hAnsi="Garamond" w:cs="Times New Roman"/>
                <w:sz w:val="20"/>
                <w:szCs w:val="20"/>
              </w:rPr>
            </w:pPr>
            <w:r w:rsidRPr="007E6D65">
              <w:rPr>
                <w:rFonts w:ascii="Garamond" w:hAnsi="Garamond" w:cs="Times New Roman"/>
                <w:sz w:val="20"/>
                <w:szCs w:val="20"/>
              </w:rPr>
              <w:lastRenderedPageBreak/>
              <w:t>Detyrime të tjera</w:t>
            </w:r>
          </w:p>
        </w:tc>
        <w:tc>
          <w:tcPr>
            <w:tcW w:w="3766" w:type="pct"/>
          </w:tcPr>
          <w:p w14:paraId="58377CAF" w14:textId="421A2493"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 xml:space="preserve">Ky është zëri i mbetur në anën e detyrimeve të bilancit, i përcaktuar si </w:t>
            </w:r>
            <w:r w:rsidR="00B24C95">
              <w:rPr>
                <w:rFonts w:ascii="Garamond" w:hAnsi="Garamond" w:cs="Times New Roman"/>
                <w:sz w:val="20"/>
                <w:szCs w:val="20"/>
              </w:rPr>
              <w:t>“</w:t>
            </w:r>
            <w:r w:rsidRPr="007E6D65">
              <w:rPr>
                <w:rFonts w:ascii="Garamond" w:hAnsi="Garamond" w:cs="Times New Roman"/>
                <w:sz w:val="20"/>
                <w:szCs w:val="20"/>
              </w:rPr>
              <w:t>detyrime që nuk përfshihen diku tjetër</w:t>
            </w:r>
            <w:r w:rsidR="00B24C95">
              <w:rPr>
                <w:rFonts w:ascii="Garamond" w:hAnsi="Garamond" w:cs="Times New Roman"/>
                <w:sz w:val="20"/>
                <w:szCs w:val="20"/>
              </w:rPr>
              <w:t>”</w:t>
            </w:r>
            <w:r w:rsidRPr="007E6D65">
              <w:rPr>
                <w:rFonts w:ascii="Garamond" w:hAnsi="Garamond" w:cs="Times New Roman"/>
                <w:sz w:val="20"/>
                <w:szCs w:val="20"/>
              </w:rPr>
              <w:t xml:space="preserve">. NCB-të mund të kërkojnë raportimin e nënpozicioneve specifike të përfshira në këtë kategori. Detyrimet e mbetura mund të përfshijnë: </w:t>
            </w:r>
          </w:p>
          <w:p w14:paraId="63B73D15"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 xml:space="preserve">— shumat e pagueshme që nuk lidhen me biznesin kryesor të shoqërive të sigurimit, d.m.th. shumat që i detyrohen furnitorëve, taksave, pagave, kontributeve sociale etj., </w:t>
            </w:r>
          </w:p>
          <w:p w14:paraId="07AF43F8"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 xml:space="preserve">— provizioneve që përfaqësojnë detyrimet ndaj palëve të treta, p.sh. pensionet, dividentët etj., </w:t>
            </w:r>
          </w:p>
          <w:p w14:paraId="69CF45CD"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 xml:space="preserve">— neto pozicionet që rrjedhin nga huadhënia e titujve pa kolateral në para, </w:t>
            </w:r>
          </w:p>
          <w:p w14:paraId="4FB5B8F7"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 shumat neto të pagueshme në lidhje me shlyerjet e ardhshme të transaksioneve në tituj.</w:t>
            </w:r>
          </w:p>
        </w:tc>
      </w:tr>
    </w:tbl>
    <w:p w14:paraId="1144EAB6" w14:textId="77777777" w:rsidR="00264D78" w:rsidRDefault="00264D78" w:rsidP="007E6D65">
      <w:pPr>
        <w:spacing w:after="0" w:line="240" w:lineRule="auto"/>
        <w:jc w:val="center"/>
        <w:rPr>
          <w:rFonts w:ascii="Garamond" w:hAnsi="Garamond" w:cs="Times New Roman"/>
          <w:b/>
          <w:sz w:val="24"/>
          <w:szCs w:val="24"/>
        </w:rPr>
      </w:pPr>
    </w:p>
    <w:p w14:paraId="606676C3" w14:textId="77777777" w:rsidR="00EE658D" w:rsidRPr="00197142" w:rsidRDefault="00EE658D" w:rsidP="007E6D65">
      <w:pPr>
        <w:spacing w:after="0" w:line="240" w:lineRule="auto"/>
        <w:jc w:val="center"/>
        <w:rPr>
          <w:rFonts w:ascii="Garamond" w:hAnsi="Garamond" w:cs="Times New Roman"/>
          <w:sz w:val="24"/>
          <w:szCs w:val="24"/>
        </w:rPr>
      </w:pPr>
      <w:r w:rsidRPr="00197142">
        <w:rPr>
          <w:rFonts w:ascii="Garamond" w:hAnsi="Garamond" w:cs="Times New Roman"/>
          <w:sz w:val="24"/>
          <w:szCs w:val="24"/>
        </w:rPr>
        <w:t xml:space="preserve">PJESA 2 </w:t>
      </w:r>
    </w:p>
    <w:p w14:paraId="55E6F4B9" w14:textId="77777777" w:rsidR="00EE658D" w:rsidRPr="007E6D65" w:rsidRDefault="00EE658D" w:rsidP="007E6D65">
      <w:pPr>
        <w:spacing w:after="0" w:line="240" w:lineRule="auto"/>
        <w:jc w:val="center"/>
        <w:rPr>
          <w:rFonts w:ascii="Garamond" w:hAnsi="Garamond" w:cs="Times New Roman"/>
          <w:b/>
          <w:sz w:val="24"/>
          <w:szCs w:val="24"/>
        </w:rPr>
      </w:pPr>
      <w:r w:rsidRPr="007E6D65">
        <w:rPr>
          <w:rFonts w:ascii="Garamond" w:hAnsi="Garamond" w:cs="Times New Roman"/>
          <w:b/>
          <w:sz w:val="24"/>
          <w:szCs w:val="24"/>
        </w:rPr>
        <w:t xml:space="preserve">Përshkrimet e atributeve titull-për-titull </w:t>
      </w:r>
    </w:p>
    <w:p w14:paraId="18474DE7" w14:textId="77777777" w:rsidR="00EE658D" w:rsidRPr="007E6D65" w:rsidRDefault="00EE658D" w:rsidP="007E6D65">
      <w:pPr>
        <w:spacing w:after="0" w:line="240" w:lineRule="auto"/>
        <w:jc w:val="center"/>
        <w:rPr>
          <w:rFonts w:ascii="Garamond" w:hAnsi="Garamond" w:cs="Times New Roman"/>
          <w:b/>
          <w:sz w:val="24"/>
          <w:szCs w:val="24"/>
        </w:rPr>
      </w:pPr>
      <w:r w:rsidRPr="007E6D65">
        <w:rPr>
          <w:rFonts w:ascii="Garamond" w:hAnsi="Garamond" w:cs="Times New Roman"/>
          <w:b/>
          <w:sz w:val="24"/>
          <w:szCs w:val="24"/>
        </w:rPr>
        <w:t xml:space="preserve">Tabela B </w:t>
      </w:r>
    </w:p>
    <w:tbl>
      <w:tblPr>
        <w:tblStyle w:val="TableGrid"/>
        <w:tblW w:w="5000" w:type="pct"/>
        <w:tblLook w:val="04A0" w:firstRow="1" w:lastRow="0" w:firstColumn="1" w:lastColumn="0" w:noHBand="0" w:noVBand="1"/>
      </w:tblPr>
      <w:tblGrid>
        <w:gridCol w:w="2261"/>
        <w:gridCol w:w="6981"/>
      </w:tblGrid>
      <w:tr w:rsidR="00EE658D" w:rsidRPr="007E6D65" w14:paraId="4F623CAE" w14:textId="77777777" w:rsidTr="00661D0A">
        <w:trPr>
          <w:trHeight w:val="56"/>
        </w:trPr>
        <w:tc>
          <w:tcPr>
            <w:tcW w:w="1223" w:type="pct"/>
          </w:tcPr>
          <w:p w14:paraId="02845197"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Kodi identifikues i titullit</w:t>
            </w:r>
          </w:p>
        </w:tc>
        <w:tc>
          <w:tcPr>
            <w:tcW w:w="3777" w:type="pct"/>
          </w:tcPr>
          <w:p w14:paraId="293AC9F3"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Një kod që identifikon në mënyrë unike një vlerë, që i nënshtrohet udhëzimeve të BSH-së.</w:t>
            </w:r>
          </w:p>
        </w:tc>
      </w:tr>
      <w:tr w:rsidR="00EE658D" w:rsidRPr="007E6D65" w14:paraId="72E713F5" w14:textId="77777777" w:rsidTr="00661D0A">
        <w:trPr>
          <w:trHeight w:val="56"/>
        </w:trPr>
        <w:tc>
          <w:tcPr>
            <w:tcW w:w="1223" w:type="pct"/>
          </w:tcPr>
          <w:p w14:paraId="06BEC20C"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Numri i njësive</w:t>
            </w:r>
          </w:p>
        </w:tc>
        <w:tc>
          <w:tcPr>
            <w:tcW w:w="3777" w:type="pct"/>
          </w:tcPr>
          <w:p w14:paraId="5F26E9E0"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Numri i njësive të një titulli, ose shuma nominale e përmbledhur nëse titulli tregtohet në shuma dhe jo në njësi, duke përjashtuar interesin e përllogaritur.</w:t>
            </w:r>
          </w:p>
        </w:tc>
      </w:tr>
      <w:tr w:rsidR="00EE658D" w:rsidRPr="007E6D65" w14:paraId="2F982ED0" w14:textId="77777777" w:rsidTr="00661D0A">
        <w:trPr>
          <w:trHeight w:val="80"/>
        </w:trPr>
        <w:tc>
          <w:tcPr>
            <w:tcW w:w="1223" w:type="pct"/>
          </w:tcPr>
          <w:p w14:paraId="25F59930"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Çmimi</w:t>
            </w:r>
          </w:p>
        </w:tc>
        <w:tc>
          <w:tcPr>
            <w:tcW w:w="3777" w:type="pct"/>
          </w:tcPr>
          <w:p w14:paraId="5A029197"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Çmimi i tregut për njësi të një titulli, ose përqindje e shumës nominale të përmbledhur nëse titulli tregtohet në shuma dhe jo në njësi. BSH-ja mund të kërkojnë gjithashtu që interesi i përllogaritur të raportohet sipas këtij pozicioni.</w:t>
            </w:r>
          </w:p>
        </w:tc>
      </w:tr>
      <w:tr w:rsidR="00EE658D" w:rsidRPr="007E6D65" w14:paraId="6C30D556" w14:textId="77777777" w:rsidTr="00661D0A">
        <w:trPr>
          <w:trHeight w:val="207"/>
        </w:trPr>
        <w:tc>
          <w:tcPr>
            <w:tcW w:w="1223" w:type="pct"/>
          </w:tcPr>
          <w:p w14:paraId="7C48BD0C"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Baza e kuotimit</w:t>
            </w:r>
          </w:p>
        </w:tc>
        <w:tc>
          <w:tcPr>
            <w:tcW w:w="3777" w:type="pct"/>
          </w:tcPr>
          <w:p w14:paraId="0D896D3F"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Tregon nëse titulli kuotohet në përqindje apo në njësi.</w:t>
            </w:r>
          </w:p>
        </w:tc>
      </w:tr>
      <w:tr w:rsidR="00EE658D" w:rsidRPr="007E6D65" w14:paraId="1622970C" w14:textId="77777777" w:rsidTr="00661D0A">
        <w:trPr>
          <w:trHeight w:val="1052"/>
        </w:trPr>
        <w:tc>
          <w:tcPr>
            <w:tcW w:w="1223" w:type="pct"/>
          </w:tcPr>
          <w:p w14:paraId="28754113"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Vlera totale</w:t>
            </w:r>
          </w:p>
        </w:tc>
        <w:tc>
          <w:tcPr>
            <w:tcW w:w="3777" w:type="pct"/>
          </w:tcPr>
          <w:p w14:paraId="354E410E"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Vlera totale e tregut të një titulli me vlerë. Në rastin e titulli që tregtohen në njësi, kjo shumë është e barabartë me numrin e titujve të shumëzuar me çmimin për njësi. Kur titujt tregtohen në shuma dhe jo në njësi, kjo shumë është e barabartë me shumën nominale të përmbledhur të shumëzuar me çmimin, i cili shprehet si përqindje e shumës nominale. BSH-ja, në parim, duhet të kërkojnë që interesi i përllogaritur të raportohet ose sipas këtij pozicioni ose veçmas. Megjithatë, BSH-ja, sipas gjykimit të saj, mund të kërkojnë të dhëna duke përjashtuar interesin e përllogaritur.</w:t>
            </w:r>
          </w:p>
        </w:tc>
      </w:tr>
      <w:tr w:rsidR="00EE658D" w:rsidRPr="007E6D65" w14:paraId="3AF3F67E" w14:textId="77777777" w:rsidTr="00661D0A">
        <w:trPr>
          <w:trHeight w:val="80"/>
        </w:trPr>
        <w:tc>
          <w:tcPr>
            <w:tcW w:w="1223" w:type="pct"/>
          </w:tcPr>
          <w:p w14:paraId="48095C7C"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Transaksionet financiare</w:t>
            </w:r>
          </w:p>
        </w:tc>
        <w:tc>
          <w:tcPr>
            <w:tcW w:w="3777" w:type="pct"/>
          </w:tcPr>
          <w:p w14:paraId="2A2DD292" w14:textId="1F2D1215" w:rsidR="00EE658D" w:rsidRPr="007E6D65" w:rsidRDefault="00EE658D" w:rsidP="00197142">
            <w:pPr>
              <w:jc w:val="both"/>
              <w:rPr>
                <w:rFonts w:ascii="Garamond" w:hAnsi="Garamond" w:cs="Times New Roman"/>
                <w:sz w:val="20"/>
                <w:szCs w:val="20"/>
              </w:rPr>
            </w:pPr>
            <w:r w:rsidRPr="007E6D65">
              <w:rPr>
                <w:rFonts w:ascii="Garamond" w:hAnsi="Garamond" w:cs="Times New Roman"/>
                <w:sz w:val="20"/>
                <w:szCs w:val="20"/>
              </w:rPr>
              <w:t xml:space="preserve">Shuma e blerjeve minus shitjet (titujt në anën e aktivit) ose emetimet minus shlyerjet (tituj në anën e pasivit) të një titulli të regjistruar me vlerën e transaksionit në </w:t>
            </w:r>
            <w:r w:rsidR="00197142">
              <w:rPr>
                <w:rFonts w:ascii="Garamond" w:hAnsi="Garamond" w:cs="Times New Roman"/>
                <w:sz w:val="20"/>
                <w:szCs w:val="20"/>
              </w:rPr>
              <w:t>e</w:t>
            </w:r>
            <w:r w:rsidRPr="007E6D65">
              <w:rPr>
                <w:rFonts w:ascii="Garamond" w:hAnsi="Garamond" w:cs="Times New Roman"/>
                <w:sz w:val="20"/>
                <w:szCs w:val="20"/>
              </w:rPr>
              <w:t>uro.</w:t>
            </w:r>
          </w:p>
        </w:tc>
      </w:tr>
      <w:tr w:rsidR="00EE658D" w:rsidRPr="007E6D65" w14:paraId="38F7F510" w14:textId="77777777" w:rsidTr="00661D0A">
        <w:trPr>
          <w:trHeight w:val="56"/>
        </w:trPr>
        <w:tc>
          <w:tcPr>
            <w:tcW w:w="1223" w:type="pct"/>
          </w:tcPr>
          <w:p w14:paraId="3C44163E"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Tituj të blerë</w:t>
            </w:r>
          </w:p>
        </w:tc>
        <w:tc>
          <w:tcPr>
            <w:tcW w:w="3777" w:type="pct"/>
          </w:tcPr>
          <w:p w14:paraId="1B161387"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Shuma e blerjeve të një titulli të regjistruar me vlerën e transaksionit.</w:t>
            </w:r>
          </w:p>
        </w:tc>
      </w:tr>
      <w:tr w:rsidR="00EE658D" w:rsidRPr="007E6D65" w14:paraId="36F33490" w14:textId="77777777" w:rsidTr="00661D0A">
        <w:trPr>
          <w:trHeight w:val="56"/>
        </w:trPr>
        <w:tc>
          <w:tcPr>
            <w:tcW w:w="1223" w:type="pct"/>
          </w:tcPr>
          <w:p w14:paraId="1B814A8B"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Tituj të shitur</w:t>
            </w:r>
          </w:p>
        </w:tc>
        <w:tc>
          <w:tcPr>
            <w:tcW w:w="3777" w:type="pct"/>
          </w:tcPr>
          <w:p w14:paraId="4A158745"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Shuma e shitjeve të një titulli të regjistruar me vlerën e transaksionit.</w:t>
            </w:r>
          </w:p>
        </w:tc>
      </w:tr>
      <w:tr w:rsidR="00EE658D" w:rsidRPr="007E6D65" w14:paraId="6CBBF342" w14:textId="77777777" w:rsidTr="00661D0A">
        <w:trPr>
          <w:trHeight w:val="56"/>
        </w:trPr>
        <w:tc>
          <w:tcPr>
            <w:tcW w:w="1223" w:type="pct"/>
          </w:tcPr>
          <w:p w14:paraId="2B3451A1"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Monedha</w:t>
            </w:r>
          </w:p>
        </w:tc>
        <w:tc>
          <w:tcPr>
            <w:tcW w:w="3777" w:type="pct"/>
          </w:tcPr>
          <w:p w14:paraId="112C54C0"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Kodi ISO ose ekuivalenti i monedhës së përdorur për të shprehur çmimin dhe/ose shumën e papaguar të titullit.</w:t>
            </w:r>
          </w:p>
        </w:tc>
      </w:tr>
      <w:tr w:rsidR="00EE658D" w:rsidRPr="007E6D65" w14:paraId="0BD9B2A4" w14:textId="77777777" w:rsidTr="00661D0A">
        <w:trPr>
          <w:trHeight w:val="70"/>
        </w:trPr>
        <w:tc>
          <w:tcPr>
            <w:tcW w:w="1223" w:type="pct"/>
          </w:tcPr>
          <w:p w14:paraId="01701CF2"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Ndryshime të tjera në vëllim në vlerë nominale</w:t>
            </w:r>
          </w:p>
        </w:tc>
        <w:tc>
          <w:tcPr>
            <w:tcW w:w="3777" w:type="pct"/>
          </w:tcPr>
          <w:p w14:paraId="45132E08" w14:textId="61696D32" w:rsidR="00EE658D" w:rsidRPr="007E6D65" w:rsidRDefault="00EE658D" w:rsidP="00197142">
            <w:pPr>
              <w:jc w:val="both"/>
              <w:rPr>
                <w:rFonts w:ascii="Garamond" w:hAnsi="Garamond" w:cs="Times New Roman"/>
                <w:sz w:val="20"/>
                <w:szCs w:val="20"/>
              </w:rPr>
            </w:pPr>
            <w:r w:rsidRPr="007E6D65">
              <w:rPr>
                <w:rFonts w:ascii="Garamond" w:hAnsi="Garamond" w:cs="Times New Roman"/>
                <w:sz w:val="20"/>
                <w:szCs w:val="20"/>
              </w:rPr>
              <w:t xml:space="preserve">Ndryshime të tjera në vëllimin e titullit me vlerë të mbajtur, me vlerë nominale në monedhë nominale/njësi ose </w:t>
            </w:r>
            <w:r w:rsidR="00197142">
              <w:rPr>
                <w:rFonts w:ascii="Garamond" w:hAnsi="Garamond" w:cs="Times New Roman"/>
                <w:sz w:val="20"/>
                <w:szCs w:val="20"/>
              </w:rPr>
              <w:t>e</w:t>
            </w:r>
            <w:r w:rsidRPr="007E6D65">
              <w:rPr>
                <w:rFonts w:ascii="Garamond" w:hAnsi="Garamond" w:cs="Times New Roman"/>
                <w:sz w:val="20"/>
                <w:szCs w:val="20"/>
              </w:rPr>
              <w:t>uro.</w:t>
            </w:r>
          </w:p>
        </w:tc>
      </w:tr>
      <w:tr w:rsidR="00EE658D" w:rsidRPr="007E6D65" w14:paraId="4BFE2F02" w14:textId="77777777" w:rsidTr="00661D0A">
        <w:trPr>
          <w:trHeight w:val="415"/>
        </w:trPr>
        <w:tc>
          <w:tcPr>
            <w:tcW w:w="1223" w:type="pct"/>
          </w:tcPr>
          <w:p w14:paraId="39A6F254"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Ndryshime të tjera në vëllim në vlerë tregu</w:t>
            </w:r>
          </w:p>
        </w:tc>
        <w:tc>
          <w:tcPr>
            <w:tcW w:w="3777" w:type="pct"/>
          </w:tcPr>
          <w:p w14:paraId="54AB558F"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 xml:space="preserve">Ndryshime të tjera në vëllimin e titullit me vlerë të mbajtur, me vlerën e tregut në Euro. </w:t>
            </w:r>
          </w:p>
        </w:tc>
      </w:tr>
      <w:tr w:rsidR="00EE658D" w:rsidRPr="007E6D65" w14:paraId="0A3DD861" w14:textId="77777777" w:rsidTr="00661D0A">
        <w:trPr>
          <w:trHeight w:val="415"/>
        </w:trPr>
        <w:tc>
          <w:tcPr>
            <w:tcW w:w="1223" w:type="pct"/>
          </w:tcPr>
          <w:p w14:paraId="715E3451"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Investime portofoli ose investime të tjera</w:t>
            </w:r>
          </w:p>
        </w:tc>
        <w:tc>
          <w:tcPr>
            <w:tcW w:w="3777" w:type="pct"/>
          </w:tcPr>
          <w:p w14:paraId="460A0A66"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Funksioni i investimit sipas klasifikimit të tij në statistikat e bilancit të pagesave (1).</w:t>
            </w:r>
          </w:p>
        </w:tc>
      </w:tr>
      <w:tr w:rsidR="00EE658D" w:rsidRPr="007E6D65" w14:paraId="297570CC" w14:textId="77777777" w:rsidTr="00661D0A">
        <w:trPr>
          <w:trHeight w:val="56"/>
        </w:trPr>
        <w:tc>
          <w:tcPr>
            <w:tcW w:w="1223" w:type="pct"/>
          </w:tcPr>
          <w:p w14:paraId="01A2B53E"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Vendi i emetuesit</w:t>
            </w:r>
          </w:p>
        </w:tc>
        <w:tc>
          <w:tcPr>
            <w:tcW w:w="3777" w:type="pct"/>
          </w:tcPr>
          <w:p w14:paraId="5A0FC13F"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Vendbanimi i emetuesit. Në rastin e aksioneve/njësive të fondit të investimit, vendi emetues i referohet vendit ku është rezidenti i fondit të investimit dhe jo rezidencës së menaxherit të fondit.</w:t>
            </w:r>
          </w:p>
        </w:tc>
      </w:tr>
      <w:tr w:rsidR="00EE658D" w:rsidRPr="007E6D65" w14:paraId="0BF6C40B" w14:textId="77777777" w:rsidTr="00661D0A">
        <w:trPr>
          <w:trHeight w:val="56"/>
        </w:trPr>
        <w:tc>
          <w:tcPr>
            <w:tcW w:w="1223" w:type="pct"/>
          </w:tcPr>
          <w:p w14:paraId="1974F80F"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Primet e shkruara</w:t>
            </w:r>
          </w:p>
        </w:tc>
        <w:tc>
          <w:tcPr>
            <w:tcW w:w="3777" w:type="pct"/>
          </w:tcPr>
          <w:p w14:paraId="375D28E6"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Primet bruto të shkruara që përfshijnë të gjitha shumat e detyrimeve gjatë vitit financiar në lidhje me kontratat e sigurimit, pavarësisht nga fakti që shuma të tilla mund të lidhen tërësisht ose pjesërisht me një vit financiar të mëvonshëm.</w:t>
            </w:r>
          </w:p>
        </w:tc>
      </w:tr>
      <w:tr w:rsidR="00EE658D" w:rsidRPr="007E6D65" w14:paraId="2A2018C9" w14:textId="77777777" w:rsidTr="00661D0A">
        <w:trPr>
          <w:trHeight w:val="70"/>
        </w:trPr>
        <w:tc>
          <w:tcPr>
            <w:tcW w:w="1223" w:type="pct"/>
          </w:tcPr>
          <w:p w14:paraId="14CB8E39"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Pretendimet e realizuara</w:t>
            </w:r>
          </w:p>
        </w:tc>
        <w:tc>
          <w:tcPr>
            <w:tcW w:w="3777" w:type="pct"/>
          </w:tcPr>
          <w:p w14:paraId="601BEB55"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Shuma e dëmeve të paguara në lidhje me vitin financiar dhe provizioni për dëmet për atë vit financiar, minus provizionin për dëmet për vitin financiar paraardhës.</w:t>
            </w:r>
          </w:p>
        </w:tc>
      </w:tr>
      <w:tr w:rsidR="00EE658D" w:rsidRPr="007E6D65" w14:paraId="4EEF6717" w14:textId="77777777" w:rsidTr="00661D0A">
        <w:trPr>
          <w:trHeight w:val="70"/>
        </w:trPr>
        <w:tc>
          <w:tcPr>
            <w:tcW w:w="1223" w:type="pct"/>
          </w:tcPr>
          <w:p w14:paraId="2C63A8FE" w14:textId="77777777" w:rsidR="00EE658D" w:rsidRPr="007E6D65" w:rsidRDefault="00EE658D" w:rsidP="00264D78">
            <w:pPr>
              <w:jc w:val="both"/>
              <w:rPr>
                <w:rFonts w:ascii="Garamond" w:hAnsi="Garamond" w:cs="Times New Roman"/>
                <w:sz w:val="20"/>
                <w:szCs w:val="20"/>
              </w:rPr>
            </w:pPr>
            <w:r w:rsidRPr="007E6D65">
              <w:rPr>
                <w:rFonts w:ascii="Garamond" w:hAnsi="Garamond" w:cs="Times New Roman"/>
                <w:sz w:val="20"/>
                <w:szCs w:val="20"/>
              </w:rPr>
              <w:t>Komisionet</w:t>
            </w:r>
          </w:p>
        </w:tc>
        <w:tc>
          <w:tcPr>
            <w:tcW w:w="3777" w:type="pct"/>
          </w:tcPr>
          <w:p w14:paraId="0656E72D" w14:textId="6C916F43" w:rsidR="00EE658D" w:rsidRPr="007E6D65" w:rsidRDefault="00EE658D" w:rsidP="00497478">
            <w:pPr>
              <w:jc w:val="both"/>
              <w:rPr>
                <w:rFonts w:ascii="Garamond" w:hAnsi="Garamond" w:cs="Times New Roman"/>
                <w:sz w:val="20"/>
                <w:szCs w:val="20"/>
              </w:rPr>
            </w:pPr>
            <w:r w:rsidRPr="007E6D65">
              <w:rPr>
                <w:rFonts w:ascii="Garamond" w:hAnsi="Garamond" w:cs="Times New Roman"/>
                <w:sz w:val="20"/>
                <w:szCs w:val="20"/>
              </w:rPr>
              <w:t xml:space="preserve">Shpenzimet e blerjes të paguara nga shoqëritë e sigurimit te subjektet e tjera për të shitur produktet e tyre. </w:t>
            </w:r>
          </w:p>
        </w:tc>
      </w:tr>
    </w:tbl>
    <w:p w14:paraId="6B67E08F" w14:textId="77777777" w:rsidR="00EE658D" w:rsidRPr="007E6D65" w:rsidRDefault="00EE658D" w:rsidP="007E6D65">
      <w:pPr>
        <w:spacing w:after="0" w:line="240" w:lineRule="auto"/>
        <w:jc w:val="center"/>
        <w:rPr>
          <w:rFonts w:ascii="Garamond" w:hAnsi="Garamond" w:cs="Times New Roman"/>
          <w:b/>
          <w:sz w:val="24"/>
          <w:szCs w:val="24"/>
        </w:rPr>
      </w:pPr>
    </w:p>
    <w:p w14:paraId="0B1ECF81" w14:textId="77777777" w:rsidR="00EE658D" w:rsidRPr="00197142" w:rsidRDefault="00EE658D" w:rsidP="00264D78">
      <w:pPr>
        <w:spacing w:after="0" w:line="240" w:lineRule="auto"/>
        <w:ind w:firstLine="284"/>
        <w:jc w:val="center"/>
        <w:rPr>
          <w:rFonts w:ascii="Garamond" w:hAnsi="Garamond" w:cs="Times New Roman"/>
          <w:sz w:val="24"/>
          <w:szCs w:val="24"/>
        </w:rPr>
      </w:pPr>
      <w:r w:rsidRPr="00197142">
        <w:rPr>
          <w:rFonts w:ascii="Garamond" w:hAnsi="Garamond" w:cs="Times New Roman"/>
          <w:sz w:val="24"/>
          <w:szCs w:val="24"/>
        </w:rPr>
        <w:t>PJESA 3</w:t>
      </w:r>
    </w:p>
    <w:p w14:paraId="341768E9" w14:textId="4BA9366D" w:rsidR="00197142" w:rsidRDefault="00EE658D" w:rsidP="00264D78">
      <w:pPr>
        <w:spacing w:after="0" w:line="240" w:lineRule="auto"/>
        <w:ind w:firstLine="284"/>
        <w:jc w:val="center"/>
        <w:rPr>
          <w:rFonts w:ascii="Garamond" w:hAnsi="Garamond" w:cs="Times New Roman"/>
          <w:b/>
          <w:sz w:val="24"/>
          <w:szCs w:val="24"/>
        </w:rPr>
      </w:pPr>
      <w:r w:rsidRPr="007E6D65">
        <w:rPr>
          <w:rFonts w:ascii="Garamond" w:hAnsi="Garamond" w:cs="Times New Roman"/>
          <w:b/>
          <w:sz w:val="24"/>
          <w:szCs w:val="24"/>
        </w:rPr>
        <w:t>Përshkrimet sipas sektorëve</w:t>
      </w:r>
    </w:p>
    <w:p w14:paraId="3599C199" w14:textId="77777777" w:rsidR="00C64FD3" w:rsidRPr="007E6D65" w:rsidRDefault="00C64FD3" w:rsidP="00264D78">
      <w:pPr>
        <w:spacing w:after="0" w:line="240" w:lineRule="auto"/>
        <w:ind w:firstLine="284"/>
        <w:jc w:val="center"/>
        <w:rPr>
          <w:rFonts w:ascii="Garamond" w:hAnsi="Garamond" w:cs="Times New Roman"/>
          <w:b/>
          <w:sz w:val="24"/>
          <w:szCs w:val="24"/>
        </w:rPr>
      </w:pPr>
    </w:p>
    <w:p w14:paraId="22468666" w14:textId="18B26D26" w:rsidR="00EE658D" w:rsidRPr="007E6D65" w:rsidRDefault="00EE658D" w:rsidP="00264D78">
      <w:pPr>
        <w:spacing w:after="0" w:line="240" w:lineRule="auto"/>
        <w:ind w:firstLine="284"/>
        <w:jc w:val="both"/>
        <w:rPr>
          <w:rFonts w:ascii="Garamond" w:hAnsi="Garamond" w:cs="Times New Roman"/>
          <w:sz w:val="24"/>
          <w:szCs w:val="24"/>
        </w:rPr>
      </w:pPr>
      <w:r w:rsidRPr="007E6D65">
        <w:rPr>
          <w:rFonts w:ascii="Garamond" w:hAnsi="Garamond" w:cs="Times New Roman"/>
          <w:sz w:val="24"/>
          <w:szCs w:val="24"/>
        </w:rPr>
        <w:t>ESA 2010 ofron standardin për klasifikimin e sektorit. Tabela D jep përshkrime të detajuara të atyre sektorëve që NCB-të duhet t</w:t>
      </w:r>
      <w:r w:rsidR="00B24C95">
        <w:rPr>
          <w:rFonts w:ascii="Garamond" w:hAnsi="Garamond" w:cs="Times New Roman"/>
          <w:sz w:val="24"/>
          <w:szCs w:val="24"/>
        </w:rPr>
        <w:t>’</w:t>
      </w:r>
      <w:r w:rsidRPr="007E6D65">
        <w:rPr>
          <w:rFonts w:ascii="Garamond" w:hAnsi="Garamond" w:cs="Times New Roman"/>
          <w:sz w:val="24"/>
          <w:szCs w:val="24"/>
        </w:rPr>
        <w:t xml:space="preserve">i transpozojnë në klasifikimet e tyre kombëtare, në përputhje me këtë rregullore. Kundërpartitë rezidentë në territoret e shteteve anëtare, monedha e </w:t>
      </w:r>
      <w:r w:rsidRPr="007E6D65">
        <w:rPr>
          <w:rFonts w:ascii="Garamond" w:hAnsi="Garamond" w:cs="Times New Roman"/>
          <w:sz w:val="24"/>
          <w:szCs w:val="24"/>
        </w:rPr>
        <w:lastRenderedPageBreak/>
        <w:t xml:space="preserve">të cilave është Euro, identifikohen sipas sektorit të tyre, në përputhje me listat e mbajtura nga Banka Qendrore Evropiane (BQE) për qëllime statistikore dhe udhëzimet për klasifikimin statistikor të palëve të parashikuara në BQE. </w:t>
      </w:r>
      <w:r w:rsidR="00B24C95">
        <w:rPr>
          <w:rFonts w:ascii="Garamond" w:hAnsi="Garamond" w:cs="Times New Roman"/>
          <w:sz w:val="24"/>
          <w:szCs w:val="24"/>
        </w:rPr>
        <w:t>“</w:t>
      </w:r>
      <w:r w:rsidRPr="007E6D65">
        <w:rPr>
          <w:rFonts w:ascii="Garamond" w:hAnsi="Garamond" w:cs="Times New Roman"/>
          <w:sz w:val="24"/>
          <w:szCs w:val="24"/>
        </w:rPr>
        <w:t>Manuali i Sektorit të Statistikave të Institucioneve Financiare dhe Tregjeve: Udhëzues për Klasifikimin Statistikor të Konsumatorëve</w:t>
      </w:r>
      <w:r w:rsidR="00B24C95">
        <w:rPr>
          <w:rFonts w:ascii="Garamond" w:hAnsi="Garamond" w:cs="Times New Roman"/>
          <w:sz w:val="24"/>
          <w:szCs w:val="24"/>
        </w:rPr>
        <w:t>”</w:t>
      </w:r>
      <w:r w:rsidRPr="007E6D65">
        <w:rPr>
          <w:rFonts w:ascii="Garamond" w:hAnsi="Garamond" w:cs="Times New Roman"/>
          <w:sz w:val="24"/>
          <w:szCs w:val="24"/>
        </w:rPr>
        <w:t xml:space="preserve"> (1).</w:t>
      </w:r>
    </w:p>
    <w:p w14:paraId="069EC7E8" w14:textId="77777777" w:rsidR="00EE658D" w:rsidRPr="007E6D65" w:rsidRDefault="00EE658D" w:rsidP="007E6D65">
      <w:pPr>
        <w:spacing w:after="0" w:line="240" w:lineRule="auto"/>
        <w:jc w:val="center"/>
        <w:rPr>
          <w:rFonts w:ascii="Garamond" w:hAnsi="Garamond" w:cs="Times New Roman"/>
          <w:b/>
          <w:sz w:val="24"/>
          <w:szCs w:val="24"/>
        </w:rPr>
      </w:pPr>
    </w:p>
    <w:p w14:paraId="1467C263" w14:textId="77777777" w:rsidR="00EE658D" w:rsidRPr="007E6D65" w:rsidRDefault="00EE658D" w:rsidP="007E6D65">
      <w:pPr>
        <w:spacing w:after="0" w:line="240" w:lineRule="auto"/>
        <w:jc w:val="center"/>
        <w:rPr>
          <w:rFonts w:ascii="Garamond" w:hAnsi="Garamond" w:cs="Times New Roman"/>
          <w:b/>
          <w:sz w:val="24"/>
          <w:szCs w:val="24"/>
        </w:rPr>
      </w:pPr>
      <w:r w:rsidRPr="007E6D65">
        <w:rPr>
          <w:rFonts w:ascii="Garamond" w:hAnsi="Garamond" w:cs="Times New Roman"/>
          <w:b/>
          <w:sz w:val="24"/>
          <w:szCs w:val="24"/>
        </w:rPr>
        <w:t xml:space="preserve">Tabela D </w:t>
      </w:r>
    </w:p>
    <w:p w14:paraId="6B98FECB" w14:textId="77777777" w:rsidR="00EE658D" w:rsidRPr="007E6D65" w:rsidRDefault="00EE658D" w:rsidP="007E6D65">
      <w:pPr>
        <w:spacing w:after="0" w:line="240" w:lineRule="auto"/>
        <w:jc w:val="center"/>
        <w:rPr>
          <w:rFonts w:ascii="Garamond" w:hAnsi="Garamond" w:cs="Times New Roman"/>
          <w:b/>
          <w:sz w:val="24"/>
          <w:szCs w:val="24"/>
        </w:rPr>
      </w:pPr>
      <w:r w:rsidRPr="007E6D65">
        <w:rPr>
          <w:rFonts w:ascii="Garamond" w:hAnsi="Garamond" w:cs="Times New Roman"/>
          <w:b/>
          <w:sz w:val="24"/>
          <w:szCs w:val="24"/>
        </w:rPr>
        <w:t>Përshkimi i sektorit</w:t>
      </w:r>
    </w:p>
    <w:tbl>
      <w:tblPr>
        <w:tblStyle w:val="TableGrid1"/>
        <w:tblW w:w="5000" w:type="pct"/>
        <w:tblLook w:val="04A0" w:firstRow="1" w:lastRow="0" w:firstColumn="1" w:lastColumn="0" w:noHBand="0" w:noVBand="1"/>
      </w:tblPr>
      <w:tblGrid>
        <w:gridCol w:w="2089"/>
        <w:gridCol w:w="7153"/>
      </w:tblGrid>
      <w:tr w:rsidR="00EE658D" w:rsidRPr="007E6D65" w14:paraId="5082283C" w14:textId="77777777" w:rsidTr="00661D0A">
        <w:tc>
          <w:tcPr>
            <w:tcW w:w="1130" w:type="pct"/>
          </w:tcPr>
          <w:p w14:paraId="67739FBD" w14:textId="77777777" w:rsidR="00EE658D" w:rsidRPr="00197142" w:rsidRDefault="00EE658D" w:rsidP="0000176D">
            <w:pPr>
              <w:jc w:val="center"/>
              <w:rPr>
                <w:rFonts w:ascii="Garamond" w:hAnsi="Garamond" w:cs="Times New Roman"/>
                <w:b/>
                <w:sz w:val="20"/>
                <w:szCs w:val="20"/>
              </w:rPr>
            </w:pPr>
            <w:r w:rsidRPr="00197142">
              <w:rPr>
                <w:rFonts w:ascii="Garamond" w:hAnsi="Garamond" w:cs="Times New Roman"/>
                <w:b/>
                <w:sz w:val="20"/>
                <w:szCs w:val="20"/>
              </w:rPr>
              <w:t>Sektori</w:t>
            </w:r>
          </w:p>
        </w:tc>
        <w:tc>
          <w:tcPr>
            <w:tcW w:w="3870" w:type="pct"/>
          </w:tcPr>
          <w:p w14:paraId="59C40860" w14:textId="77777777" w:rsidR="00EE658D" w:rsidRPr="00197142" w:rsidRDefault="00EE658D" w:rsidP="0000176D">
            <w:pPr>
              <w:rPr>
                <w:rFonts w:ascii="Garamond" w:hAnsi="Garamond" w:cs="Times New Roman"/>
                <w:b/>
                <w:sz w:val="20"/>
                <w:szCs w:val="20"/>
              </w:rPr>
            </w:pPr>
            <w:r w:rsidRPr="00197142">
              <w:rPr>
                <w:rFonts w:ascii="Garamond" w:hAnsi="Garamond" w:cs="Times New Roman"/>
                <w:b/>
                <w:sz w:val="20"/>
                <w:szCs w:val="20"/>
              </w:rPr>
              <w:t>Përshkrimi</w:t>
            </w:r>
          </w:p>
        </w:tc>
      </w:tr>
      <w:tr w:rsidR="00EE658D" w:rsidRPr="007E6D65" w14:paraId="073EA4B5" w14:textId="77777777" w:rsidTr="00661D0A">
        <w:tc>
          <w:tcPr>
            <w:tcW w:w="1130" w:type="pct"/>
          </w:tcPr>
          <w:p w14:paraId="2C4E6C13" w14:textId="15D4CCA4" w:rsidR="00EE658D" w:rsidRPr="007E6D65" w:rsidRDefault="00EE658D" w:rsidP="00C64FD3">
            <w:pPr>
              <w:numPr>
                <w:ilvl w:val="0"/>
                <w:numId w:val="15"/>
              </w:numPr>
              <w:ind w:left="0" w:firstLine="0"/>
              <w:contextualSpacing/>
              <w:rPr>
                <w:rFonts w:ascii="Garamond" w:hAnsi="Garamond" w:cs="Times New Roman"/>
                <w:b/>
                <w:sz w:val="20"/>
                <w:szCs w:val="20"/>
              </w:rPr>
            </w:pPr>
            <w:r w:rsidRPr="007E6D65">
              <w:rPr>
                <w:rFonts w:ascii="Garamond" w:hAnsi="Garamond" w:cs="Times New Roman"/>
                <w:i/>
                <w:sz w:val="20"/>
                <w:szCs w:val="20"/>
              </w:rPr>
              <w:t xml:space="preserve">Qeveria </w:t>
            </w:r>
            <w:r w:rsidR="00197142">
              <w:rPr>
                <w:rFonts w:ascii="Garamond" w:hAnsi="Garamond" w:cs="Times New Roman"/>
                <w:i/>
                <w:sz w:val="20"/>
                <w:szCs w:val="20"/>
              </w:rPr>
              <w:t>q</w:t>
            </w:r>
            <w:r w:rsidRPr="007E6D65">
              <w:rPr>
                <w:rFonts w:ascii="Garamond" w:hAnsi="Garamond" w:cs="Times New Roman"/>
                <w:i/>
                <w:sz w:val="20"/>
                <w:szCs w:val="20"/>
              </w:rPr>
              <w:t>endrore</w:t>
            </w:r>
          </w:p>
        </w:tc>
        <w:tc>
          <w:tcPr>
            <w:tcW w:w="3870" w:type="pct"/>
          </w:tcPr>
          <w:p w14:paraId="5794EC6B" w14:textId="77777777"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Përfshin të gjitha departamentet administrative të shtetit dhe agjencitë qendrore kompetencat e të cilave shtrihen mbi të gjithë territorin ekonomik të vendit. Të tilla janë ministritë dhe administrata publike qendrore, organizatat jo me qëllim fitimi të kontrolluara nga qeveria.</w:t>
            </w:r>
          </w:p>
        </w:tc>
      </w:tr>
      <w:tr w:rsidR="00EE658D" w:rsidRPr="007E6D65" w14:paraId="463F9560" w14:textId="77777777" w:rsidTr="00661D0A">
        <w:tc>
          <w:tcPr>
            <w:tcW w:w="1130" w:type="pct"/>
          </w:tcPr>
          <w:p w14:paraId="09417372" w14:textId="77777777" w:rsidR="00EE658D" w:rsidRPr="007E6D65" w:rsidRDefault="00EE658D" w:rsidP="00C64FD3">
            <w:pPr>
              <w:numPr>
                <w:ilvl w:val="0"/>
                <w:numId w:val="15"/>
              </w:numPr>
              <w:ind w:left="0" w:firstLine="0"/>
              <w:contextualSpacing/>
              <w:rPr>
                <w:rFonts w:ascii="Garamond" w:hAnsi="Garamond" w:cs="Times New Roman"/>
                <w:b/>
                <w:sz w:val="20"/>
                <w:szCs w:val="20"/>
              </w:rPr>
            </w:pPr>
            <w:r w:rsidRPr="007E6D65">
              <w:rPr>
                <w:rFonts w:ascii="Garamond" w:hAnsi="Garamond" w:cs="Times New Roman"/>
                <w:i/>
                <w:sz w:val="20"/>
                <w:szCs w:val="20"/>
              </w:rPr>
              <w:t>Qeveria lokale</w:t>
            </w:r>
          </w:p>
        </w:tc>
        <w:tc>
          <w:tcPr>
            <w:tcW w:w="3870" w:type="pct"/>
          </w:tcPr>
          <w:p w14:paraId="2EF69F07" w14:textId="77777777"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Përfshin bashkitë dhe pushtetin lokal. Të përfshira në këtë nënsektor janë gjithashtu, ato institucione jofitimprurëse, të cilat janë të kontrolluara nga pushteti vendor dhe që ushtrojnë aktivitetin e tyre vetëm brenda territorit ekonomik të qeverisë lokale.</w:t>
            </w:r>
          </w:p>
        </w:tc>
      </w:tr>
      <w:tr w:rsidR="00EE658D" w:rsidRPr="007E6D65" w14:paraId="26A3F4B7" w14:textId="77777777" w:rsidTr="00661D0A">
        <w:tc>
          <w:tcPr>
            <w:tcW w:w="1130" w:type="pct"/>
          </w:tcPr>
          <w:p w14:paraId="105268CF" w14:textId="77777777" w:rsidR="00EE658D" w:rsidRPr="007E6D65" w:rsidRDefault="00EE658D" w:rsidP="00C64FD3">
            <w:pPr>
              <w:numPr>
                <w:ilvl w:val="0"/>
                <w:numId w:val="15"/>
              </w:numPr>
              <w:ind w:left="0" w:firstLine="0"/>
              <w:contextualSpacing/>
              <w:rPr>
                <w:rFonts w:ascii="Garamond" w:hAnsi="Garamond" w:cs="Times New Roman"/>
                <w:b/>
                <w:sz w:val="20"/>
                <w:szCs w:val="20"/>
              </w:rPr>
            </w:pPr>
            <w:r w:rsidRPr="007E6D65">
              <w:rPr>
                <w:rFonts w:ascii="Garamond" w:hAnsi="Garamond" w:cs="Times New Roman"/>
                <w:i/>
                <w:sz w:val="20"/>
                <w:szCs w:val="20"/>
              </w:rPr>
              <w:t>Fondet e sigurimeve shoqërore</w:t>
            </w:r>
          </w:p>
        </w:tc>
        <w:tc>
          <w:tcPr>
            <w:tcW w:w="3870" w:type="pct"/>
          </w:tcPr>
          <w:p w14:paraId="448B7403" w14:textId="77777777"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 xml:space="preserve">Përfshijnë njësitë institucionale qendrore dhe lokale aktiviteti kryesor i të cilave është të sigurojë përfitime sociale dhe plotësojnë këto kritere: </w:t>
            </w:r>
          </w:p>
          <w:p w14:paraId="34EE7460" w14:textId="0C407988"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a)</w:t>
            </w:r>
            <w:r w:rsidR="007E6D65" w:rsidRPr="007E6D65">
              <w:rPr>
                <w:rFonts w:ascii="Garamond" w:hAnsi="Garamond" w:cs="Times New Roman"/>
                <w:sz w:val="20"/>
                <w:szCs w:val="20"/>
              </w:rPr>
              <w:t xml:space="preserve"> </w:t>
            </w:r>
            <w:r w:rsidRPr="007E6D65">
              <w:rPr>
                <w:rFonts w:ascii="Garamond" w:hAnsi="Garamond" w:cs="Times New Roman"/>
                <w:sz w:val="20"/>
                <w:szCs w:val="20"/>
              </w:rPr>
              <w:t xml:space="preserve">me ligj ose me rregullore, grupe të caktuara të popullsisë janë të detyruara të marrin pjesë në skema ose të paguajnë kontributet ; dhe </w:t>
            </w:r>
          </w:p>
          <w:p w14:paraId="3AF3662F" w14:textId="2083102E"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b)</w:t>
            </w:r>
            <w:r w:rsidR="007E6D65" w:rsidRPr="007E6D65">
              <w:rPr>
                <w:rFonts w:ascii="Garamond" w:hAnsi="Garamond" w:cs="Times New Roman"/>
                <w:sz w:val="20"/>
                <w:szCs w:val="20"/>
              </w:rPr>
              <w:t xml:space="preserve"> </w:t>
            </w:r>
            <w:r w:rsidRPr="007E6D65">
              <w:rPr>
                <w:rFonts w:ascii="Garamond" w:hAnsi="Garamond" w:cs="Times New Roman"/>
                <w:sz w:val="20"/>
                <w:szCs w:val="20"/>
              </w:rPr>
              <w:t>qeveria e përgjithshme është përgjegjëse për menaxhimin e institucionit në lidhje me zgjidhjen ose miratimin e kontributeve dhe përfitimeve në mënyrë të pavarur nga roli i tij si organ mbikëqyrës ose punëdhënës.</w:t>
            </w:r>
          </w:p>
        </w:tc>
      </w:tr>
      <w:tr w:rsidR="00EE658D" w:rsidRPr="007E6D65" w14:paraId="2B2D4F1D" w14:textId="77777777" w:rsidTr="00661D0A">
        <w:tc>
          <w:tcPr>
            <w:tcW w:w="1130" w:type="pct"/>
          </w:tcPr>
          <w:p w14:paraId="7AEFC993" w14:textId="77777777" w:rsidR="00EE658D" w:rsidRPr="007E6D65" w:rsidRDefault="00EE658D" w:rsidP="00C64FD3">
            <w:pPr>
              <w:numPr>
                <w:ilvl w:val="0"/>
                <w:numId w:val="15"/>
              </w:numPr>
              <w:ind w:left="0" w:firstLine="0"/>
              <w:contextualSpacing/>
              <w:rPr>
                <w:rFonts w:ascii="Garamond" w:hAnsi="Garamond" w:cs="Times New Roman"/>
                <w:i/>
                <w:sz w:val="20"/>
                <w:szCs w:val="20"/>
              </w:rPr>
            </w:pPr>
            <w:r w:rsidRPr="007E6D65">
              <w:rPr>
                <w:rFonts w:ascii="Garamond" w:hAnsi="Garamond" w:cs="Times New Roman"/>
                <w:i/>
                <w:sz w:val="20"/>
                <w:szCs w:val="20"/>
              </w:rPr>
              <w:t>Banka qendrore</w:t>
            </w:r>
          </w:p>
        </w:tc>
        <w:tc>
          <w:tcPr>
            <w:tcW w:w="3870" w:type="pct"/>
          </w:tcPr>
          <w:p w14:paraId="5C14F5FA" w14:textId="77777777"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Funksioni kryesor i saj është që të emetojë monedhën, të ruajë vlerën e brendshme dhe të jashtme të monedhës, si dhe të mbajë të gjitha ose një pjesë të rezervave ndërkombëtare të vendit.</w:t>
            </w:r>
          </w:p>
        </w:tc>
      </w:tr>
      <w:tr w:rsidR="00EE658D" w:rsidRPr="007E6D65" w14:paraId="60043501" w14:textId="77777777" w:rsidTr="00661D0A">
        <w:tc>
          <w:tcPr>
            <w:tcW w:w="1130" w:type="pct"/>
          </w:tcPr>
          <w:p w14:paraId="0440D678" w14:textId="77777777" w:rsidR="00EE658D" w:rsidRPr="007E6D65" w:rsidRDefault="00EE658D" w:rsidP="00C64FD3">
            <w:pPr>
              <w:numPr>
                <w:ilvl w:val="0"/>
                <w:numId w:val="15"/>
              </w:numPr>
              <w:ind w:left="0" w:firstLine="0"/>
              <w:contextualSpacing/>
              <w:rPr>
                <w:rFonts w:ascii="Garamond" w:hAnsi="Garamond" w:cs="Times New Roman"/>
                <w:i/>
                <w:sz w:val="20"/>
                <w:szCs w:val="20"/>
              </w:rPr>
            </w:pPr>
            <w:r w:rsidRPr="007E6D65">
              <w:rPr>
                <w:rFonts w:ascii="Garamond" w:hAnsi="Garamond" w:cs="Times New Roman"/>
                <w:i/>
                <w:sz w:val="20"/>
                <w:szCs w:val="20"/>
              </w:rPr>
              <w:t>Banka</w:t>
            </w:r>
          </w:p>
        </w:tc>
        <w:tc>
          <w:tcPr>
            <w:tcW w:w="3870" w:type="pct"/>
          </w:tcPr>
          <w:p w14:paraId="46705F48" w14:textId="20F837EE"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 xml:space="preserve">Të gjitha subjektet që ushtrojnë veprimtari bankare në Republikën e Shqipërisë në bazë të ligjit nr. 9662, datë 18.12.2006, </w:t>
            </w:r>
            <w:r w:rsidR="00B24C95">
              <w:rPr>
                <w:rFonts w:ascii="Garamond" w:hAnsi="Garamond" w:cs="Times New Roman"/>
                <w:sz w:val="20"/>
                <w:szCs w:val="20"/>
              </w:rPr>
              <w:t>“</w:t>
            </w:r>
            <w:r w:rsidRPr="007E6D65">
              <w:rPr>
                <w:rFonts w:ascii="Garamond" w:hAnsi="Garamond" w:cs="Times New Roman"/>
                <w:sz w:val="20"/>
                <w:szCs w:val="20"/>
              </w:rPr>
              <w:t>Për bankat në Republikën e Shqipërisë.</w:t>
            </w:r>
          </w:p>
        </w:tc>
      </w:tr>
      <w:tr w:rsidR="00EE658D" w:rsidRPr="007E6D65" w14:paraId="75A4CC7F" w14:textId="77777777" w:rsidTr="00661D0A">
        <w:tc>
          <w:tcPr>
            <w:tcW w:w="1130" w:type="pct"/>
          </w:tcPr>
          <w:p w14:paraId="1C725E21" w14:textId="77777777" w:rsidR="00EE658D" w:rsidRPr="007E6D65" w:rsidRDefault="00EE658D" w:rsidP="00C64FD3">
            <w:pPr>
              <w:numPr>
                <w:ilvl w:val="0"/>
                <w:numId w:val="15"/>
              </w:numPr>
              <w:ind w:left="0" w:firstLine="0"/>
              <w:contextualSpacing/>
              <w:rPr>
                <w:rFonts w:ascii="Garamond" w:hAnsi="Garamond" w:cs="Times New Roman"/>
                <w:i/>
                <w:sz w:val="20"/>
                <w:szCs w:val="20"/>
              </w:rPr>
            </w:pPr>
            <w:r w:rsidRPr="007E6D65">
              <w:rPr>
                <w:rFonts w:ascii="Garamond" w:hAnsi="Garamond" w:cs="Times New Roman"/>
                <w:i/>
                <w:sz w:val="20"/>
                <w:szCs w:val="20"/>
              </w:rPr>
              <w:t>Shoqëritë e Kursim-Kreditit</w:t>
            </w:r>
          </w:p>
        </w:tc>
        <w:tc>
          <w:tcPr>
            <w:tcW w:w="3870" w:type="pct"/>
          </w:tcPr>
          <w:p w14:paraId="6A91C7A4" w14:textId="331DEB59"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 xml:space="preserve">Janë institucione jo me qëllim fitimi, të cilat organizohen si bashkime vullnetare të personave juridikë ose fizikë. Ato mbledhin fonde nga anëtarët e tyre dhe u japin kredi vetëm anëtarëve të tyre. Veprimtaria e tyre rregullohet nga ligji </w:t>
            </w:r>
            <w:r w:rsidR="00B24C95">
              <w:rPr>
                <w:rFonts w:ascii="Garamond" w:hAnsi="Garamond" w:cs="Times New Roman"/>
                <w:sz w:val="20"/>
                <w:szCs w:val="20"/>
              </w:rPr>
              <w:t>“</w:t>
            </w:r>
            <w:r w:rsidRPr="007E6D65">
              <w:rPr>
                <w:rFonts w:ascii="Garamond" w:hAnsi="Garamond" w:cs="Times New Roman"/>
                <w:sz w:val="20"/>
                <w:szCs w:val="20"/>
              </w:rPr>
              <w:t xml:space="preserve">Për </w:t>
            </w:r>
            <w:r w:rsidR="00197142" w:rsidRPr="007E6D65">
              <w:rPr>
                <w:rFonts w:ascii="Garamond" w:hAnsi="Garamond" w:cs="Times New Roman"/>
                <w:sz w:val="20"/>
                <w:szCs w:val="20"/>
              </w:rPr>
              <w:t>shoqëritë e kursim-kreditit</w:t>
            </w:r>
            <w:r w:rsidR="00B24C95">
              <w:rPr>
                <w:rFonts w:ascii="Garamond" w:hAnsi="Garamond" w:cs="Times New Roman"/>
                <w:sz w:val="20"/>
                <w:szCs w:val="20"/>
              </w:rPr>
              <w:t>”</w:t>
            </w:r>
            <w:r w:rsidRPr="007E6D65">
              <w:rPr>
                <w:rFonts w:ascii="Garamond" w:hAnsi="Garamond" w:cs="Times New Roman"/>
                <w:sz w:val="20"/>
                <w:szCs w:val="20"/>
              </w:rPr>
              <w:t xml:space="preserve"> nr. 8782, datë 3.5.2001, dhe nga rregulloret e Bankës së Shqipërisë. </w:t>
            </w:r>
          </w:p>
        </w:tc>
      </w:tr>
      <w:tr w:rsidR="00EE658D" w:rsidRPr="007E6D65" w14:paraId="4A9323C6" w14:textId="77777777" w:rsidTr="00661D0A">
        <w:tc>
          <w:tcPr>
            <w:tcW w:w="1130" w:type="pct"/>
          </w:tcPr>
          <w:p w14:paraId="4E460FE2" w14:textId="77777777" w:rsidR="00EE658D" w:rsidRPr="007E6D65" w:rsidRDefault="00EE658D" w:rsidP="00C64FD3">
            <w:pPr>
              <w:numPr>
                <w:ilvl w:val="0"/>
                <w:numId w:val="15"/>
              </w:numPr>
              <w:ind w:left="0" w:firstLine="0"/>
              <w:contextualSpacing/>
              <w:rPr>
                <w:rFonts w:ascii="Garamond" w:hAnsi="Garamond" w:cs="Times New Roman"/>
                <w:i/>
                <w:sz w:val="20"/>
                <w:szCs w:val="20"/>
              </w:rPr>
            </w:pPr>
            <w:r w:rsidRPr="007E6D65">
              <w:rPr>
                <w:rFonts w:ascii="Garamond" w:hAnsi="Garamond" w:cs="Times New Roman"/>
                <w:i/>
                <w:sz w:val="20"/>
                <w:szCs w:val="20"/>
              </w:rPr>
              <w:t>Fondet e Investimeve</w:t>
            </w:r>
          </w:p>
        </w:tc>
        <w:tc>
          <w:tcPr>
            <w:tcW w:w="3870" w:type="pct"/>
          </w:tcPr>
          <w:p w14:paraId="70DC32BB" w14:textId="772BD9DC"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 xml:space="preserve">Të cilat njihen edhe si fonde të përbashkëta ose institucione për investim kolektiv, përfshijnë të gjitha skemat e investimeve kolektive të angazhuara në ndërmjetësim financiar. Aktiviteti i tyre është të emetojnë aksione dhe kuota të fondeve të investimit, të cilat mund të jenë ose jo zëvendësuese të afërta të depozitave, dhe bëjnë investime në mjete financiare afatshkurtra dhe afatgjata dhe në aktive jofinanciare (zakonisht në pasuri të patundshme). Në Shqipëri, këto institucione operojnë në përputhje me ligjin nr.10 198, datë 10.12.2009, </w:t>
            </w:r>
            <w:r w:rsidR="00B24C95">
              <w:rPr>
                <w:rFonts w:ascii="Garamond" w:hAnsi="Garamond" w:cs="Times New Roman"/>
                <w:sz w:val="20"/>
                <w:szCs w:val="20"/>
              </w:rPr>
              <w:t>“</w:t>
            </w:r>
            <w:r w:rsidRPr="007E6D65">
              <w:rPr>
                <w:rFonts w:ascii="Garamond" w:hAnsi="Garamond" w:cs="Times New Roman"/>
                <w:sz w:val="20"/>
                <w:szCs w:val="20"/>
              </w:rPr>
              <w:t>Për sipërmarrjet e investimeve kolektive</w:t>
            </w:r>
            <w:r w:rsidR="00B24C95">
              <w:rPr>
                <w:rFonts w:ascii="Garamond" w:hAnsi="Garamond" w:cs="Times New Roman"/>
                <w:sz w:val="20"/>
                <w:szCs w:val="20"/>
              </w:rPr>
              <w:t>”</w:t>
            </w:r>
            <w:r w:rsidRPr="007E6D65">
              <w:rPr>
                <w:rFonts w:ascii="Garamond" w:hAnsi="Garamond" w:cs="Times New Roman"/>
                <w:sz w:val="20"/>
                <w:szCs w:val="20"/>
              </w:rPr>
              <w:t xml:space="preserve">. Shoqëritë administruese të fondeve të investimit nuk klasifikohen në këtë sektor, por klasifikohen si </w:t>
            </w:r>
            <w:r w:rsidR="00B24C95">
              <w:rPr>
                <w:rFonts w:ascii="Garamond" w:hAnsi="Garamond" w:cs="Times New Roman"/>
                <w:sz w:val="20"/>
                <w:szCs w:val="20"/>
              </w:rPr>
              <w:t>“</w:t>
            </w:r>
            <w:r w:rsidRPr="007E6D65">
              <w:rPr>
                <w:rFonts w:ascii="Garamond" w:hAnsi="Garamond" w:cs="Times New Roman"/>
                <w:sz w:val="20"/>
                <w:szCs w:val="20"/>
              </w:rPr>
              <w:t>Ndërmjetës të tjerë financiarë dhe ndihmësit financiarë</w:t>
            </w:r>
            <w:r w:rsidR="00B24C95">
              <w:rPr>
                <w:rFonts w:ascii="Garamond" w:hAnsi="Garamond" w:cs="Times New Roman"/>
                <w:sz w:val="20"/>
                <w:szCs w:val="20"/>
              </w:rPr>
              <w:t>”</w:t>
            </w:r>
            <w:r w:rsidRPr="007E6D65">
              <w:rPr>
                <w:rFonts w:ascii="Garamond" w:hAnsi="Garamond" w:cs="Times New Roman"/>
                <w:sz w:val="20"/>
                <w:szCs w:val="20"/>
              </w:rPr>
              <w:t>.</w:t>
            </w:r>
          </w:p>
        </w:tc>
      </w:tr>
      <w:tr w:rsidR="00EE658D" w:rsidRPr="007E6D65" w14:paraId="55DEA69C" w14:textId="77777777" w:rsidTr="00661D0A">
        <w:tc>
          <w:tcPr>
            <w:tcW w:w="1130" w:type="pct"/>
          </w:tcPr>
          <w:p w14:paraId="09D035E1" w14:textId="77777777" w:rsidR="00EE658D" w:rsidRPr="007E6D65" w:rsidRDefault="00EE658D" w:rsidP="0000176D">
            <w:pPr>
              <w:numPr>
                <w:ilvl w:val="0"/>
                <w:numId w:val="15"/>
              </w:numPr>
              <w:ind w:left="0" w:firstLine="0"/>
              <w:contextualSpacing/>
              <w:rPr>
                <w:rFonts w:ascii="Garamond" w:hAnsi="Garamond" w:cs="Times New Roman"/>
                <w:i/>
                <w:sz w:val="20"/>
                <w:szCs w:val="20"/>
              </w:rPr>
            </w:pPr>
            <w:r w:rsidRPr="007E6D65">
              <w:rPr>
                <w:rFonts w:ascii="Garamond" w:hAnsi="Garamond" w:cs="Times New Roman"/>
                <w:i/>
                <w:sz w:val="20"/>
                <w:szCs w:val="20"/>
              </w:rPr>
              <w:t>Ndërmjetës të tjerë financiarë (përveç shoqërive të sigurimit dhe fondeve të pensionit vullnetar) dhe ndihmësit financiarë</w:t>
            </w:r>
          </w:p>
        </w:tc>
        <w:tc>
          <w:tcPr>
            <w:tcW w:w="3870" w:type="pct"/>
          </w:tcPr>
          <w:p w14:paraId="13AFAF24" w14:textId="0D5F13BA"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 xml:space="preserve">Përfshijnë të gjitha institucionet e tjera që kryejnë ndërmjetësim financiar apo lehtësojnë ndërmjetësimin financiar (përjashtuar kompanitë e sigurimit dhe fondet e pensionit) të tillë si, institucionet e kreditit, institucionet që ofrojnë qiranë financiare (leasing), institucionet e financimit të transaksioneve tregtare, institucionet e mikrokredisë, faktoringut, të gjitha shërbimet e pagesave dhe transferimit të parave, unionet e </w:t>
            </w:r>
            <w:r w:rsidR="00863252" w:rsidRPr="007E6D65">
              <w:rPr>
                <w:rFonts w:ascii="Garamond" w:hAnsi="Garamond" w:cs="Times New Roman"/>
                <w:sz w:val="20"/>
                <w:szCs w:val="20"/>
              </w:rPr>
              <w:t>shoqërive të kursim-kreditit,</w:t>
            </w:r>
            <w:r w:rsidRPr="007E6D65">
              <w:rPr>
                <w:rFonts w:ascii="Garamond" w:hAnsi="Garamond" w:cs="Times New Roman"/>
                <w:sz w:val="20"/>
                <w:szCs w:val="20"/>
              </w:rPr>
              <w:t xml:space="preserve"> shoqëritë administruese të fondeve të investimit dhe të fondeve të pensionit vullnetar etj.</w:t>
            </w:r>
          </w:p>
        </w:tc>
      </w:tr>
      <w:tr w:rsidR="00EE658D" w:rsidRPr="007E6D65" w14:paraId="2DEAD7FE" w14:textId="77777777" w:rsidTr="00661D0A">
        <w:tc>
          <w:tcPr>
            <w:tcW w:w="1130" w:type="pct"/>
          </w:tcPr>
          <w:p w14:paraId="59AA80CB" w14:textId="77777777" w:rsidR="00EE658D" w:rsidRPr="007E6D65" w:rsidRDefault="00EE658D" w:rsidP="0000176D">
            <w:pPr>
              <w:numPr>
                <w:ilvl w:val="0"/>
                <w:numId w:val="15"/>
              </w:numPr>
              <w:ind w:left="0" w:firstLine="0"/>
              <w:contextualSpacing/>
              <w:rPr>
                <w:rFonts w:ascii="Garamond" w:hAnsi="Garamond" w:cs="Times New Roman"/>
                <w:i/>
                <w:sz w:val="20"/>
                <w:szCs w:val="20"/>
              </w:rPr>
            </w:pPr>
            <w:r w:rsidRPr="007E6D65">
              <w:rPr>
                <w:rFonts w:ascii="Garamond" w:hAnsi="Garamond" w:cs="Times New Roman"/>
                <w:i/>
                <w:sz w:val="20"/>
                <w:szCs w:val="20"/>
              </w:rPr>
              <w:t>Shoqëritë e sigurimit</w:t>
            </w:r>
          </w:p>
        </w:tc>
        <w:tc>
          <w:tcPr>
            <w:tcW w:w="3870" w:type="pct"/>
          </w:tcPr>
          <w:p w14:paraId="7D1BC894" w14:textId="22664797" w:rsidR="00EE658D" w:rsidRPr="007E6D65" w:rsidRDefault="00EE658D" w:rsidP="00497478">
            <w:pPr>
              <w:jc w:val="both"/>
              <w:rPr>
                <w:rFonts w:ascii="Garamond" w:hAnsi="Garamond" w:cs="Times New Roman"/>
                <w:sz w:val="20"/>
                <w:szCs w:val="20"/>
              </w:rPr>
            </w:pPr>
            <w:r w:rsidRPr="007E6D65">
              <w:rPr>
                <w:rFonts w:ascii="Garamond" w:hAnsi="Garamond" w:cs="Times New Roman"/>
                <w:sz w:val="20"/>
                <w:szCs w:val="20"/>
              </w:rPr>
              <w:t>Ofrojnë shërbimet e sigurimit të jetës dhe jo jetës për individë dhe kompani, si edhe risigurimin e kompanive të tjera të sigurimit. Këto kompani u sigurojnë përfitime financiare klientëve dhe personave të mbijetuar në raste aksidentesh, sëmundjesh, vdekjesh, katastrofash natyrore etj. Kompanitë e sigurimit financiar ose të sigurimit të kredisë sigurojnë mbulimin e riskut të humbjes financiare nga mos pagesat e ndryshme të kredisë etj.</w:t>
            </w:r>
          </w:p>
        </w:tc>
      </w:tr>
      <w:tr w:rsidR="00EE658D" w:rsidRPr="007E6D65" w14:paraId="63EE72B3" w14:textId="77777777" w:rsidTr="00661D0A">
        <w:tc>
          <w:tcPr>
            <w:tcW w:w="1130" w:type="pct"/>
          </w:tcPr>
          <w:p w14:paraId="256CF96D" w14:textId="77777777" w:rsidR="00EE658D" w:rsidRPr="007E6D65" w:rsidRDefault="00EE658D" w:rsidP="0000176D">
            <w:pPr>
              <w:numPr>
                <w:ilvl w:val="0"/>
                <w:numId w:val="15"/>
              </w:numPr>
              <w:ind w:left="0" w:firstLine="0"/>
              <w:contextualSpacing/>
              <w:rPr>
                <w:rFonts w:ascii="Garamond" w:hAnsi="Garamond" w:cs="Times New Roman"/>
                <w:i/>
                <w:sz w:val="20"/>
                <w:szCs w:val="20"/>
              </w:rPr>
            </w:pPr>
            <w:r w:rsidRPr="007E6D65">
              <w:rPr>
                <w:rFonts w:ascii="Garamond" w:hAnsi="Garamond" w:cs="Times New Roman"/>
                <w:i/>
                <w:sz w:val="20"/>
                <w:szCs w:val="20"/>
              </w:rPr>
              <w:t>Fondet e pensionit vullnetar</w:t>
            </w:r>
          </w:p>
        </w:tc>
        <w:tc>
          <w:tcPr>
            <w:tcW w:w="3870" w:type="pct"/>
          </w:tcPr>
          <w:p w14:paraId="60A98F61" w14:textId="03546580"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 xml:space="preserve">Përfshijnë të gjitha kompanitë, të cilat janë të angazhuara kryesisht në ndërmjetësim financiar, si pasojë e grupimit të rreziqeve sociale dhe të nevojave të personave të siguruar. Fondet e pensioneve, ashtu si skema e sigurimeve shoqërore, sigurojnë të ardhura pas daljes në pension dhe përfitime në raste paaftësie dhe vdekje. Në këtë nënsektor përfshihen vetëm fondet e pensioneve të cilat janë njësi institucionale të ndara nga kompanitë që i krijojnë ato. Të tilla fonde autonome kanë autonominë e vendimmarrjes dhe mbajnë një grup të plotë të llogarive, përfshirë bilancin kontabël. </w:t>
            </w:r>
            <w:r w:rsidRPr="007E6D65">
              <w:rPr>
                <w:rFonts w:ascii="Garamond" w:hAnsi="Garamond" w:cs="Times New Roman"/>
                <w:sz w:val="20"/>
                <w:szCs w:val="20"/>
              </w:rPr>
              <w:lastRenderedPageBreak/>
              <w:t>Pjesëmarrja në këto fonde është vullnetare dhe nuk përjashton detyrimin e personave për t</w:t>
            </w:r>
            <w:r w:rsidR="00B24C95">
              <w:rPr>
                <w:rFonts w:ascii="Garamond" w:hAnsi="Garamond" w:cs="Times New Roman"/>
                <w:sz w:val="20"/>
                <w:szCs w:val="20"/>
              </w:rPr>
              <w:t>’</w:t>
            </w:r>
            <w:r w:rsidRPr="007E6D65">
              <w:rPr>
                <w:rFonts w:ascii="Garamond" w:hAnsi="Garamond" w:cs="Times New Roman"/>
                <w:sz w:val="20"/>
                <w:szCs w:val="20"/>
              </w:rPr>
              <w:t>u siguruar sipas dispozitave ligjore në fuqi.</w:t>
            </w:r>
          </w:p>
        </w:tc>
      </w:tr>
      <w:tr w:rsidR="00EE658D" w:rsidRPr="007E6D65" w14:paraId="2B0C0022" w14:textId="77777777" w:rsidTr="00661D0A">
        <w:tc>
          <w:tcPr>
            <w:tcW w:w="1130" w:type="pct"/>
          </w:tcPr>
          <w:p w14:paraId="4DB31D89" w14:textId="77777777" w:rsidR="00EE658D" w:rsidRPr="007E6D65" w:rsidRDefault="00EE658D" w:rsidP="0000176D">
            <w:pPr>
              <w:numPr>
                <w:ilvl w:val="0"/>
                <w:numId w:val="15"/>
              </w:numPr>
              <w:ind w:left="0" w:firstLine="0"/>
              <w:contextualSpacing/>
              <w:rPr>
                <w:rFonts w:ascii="Garamond" w:hAnsi="Garamond" w:cs="Times New Roman"/>
                <w:i/>
                <w:sz w:val="20"/>
                <w:szCs w:val="20"/>
              </w:rPr>
            </w:pPr>
            <w:r w:rsidRPr="007E6D65">
              <w:rPr>
                <w:rFonts w:ascii="Garamond" w:hAnsi="Garamond" w:cs="Times New Roman"/>
                <w:i/>
                <w:sz w:val="20"/>
                <w:szCs w:val="20"/>
              </w:rPr>
              <w:lastRenderedPageBreak/>
              <w:t>Korporatat jofinanciare publike</w:t>
            </w:r>
          </w:p>
        </w:tc>
        <w:tc>
          <w:tcPr>
            <w:tcW w:w="3870" w:type="pct"/>
          </w:tcPr>
          <w:p w14:paraId="4B703772" w14:textId="47386935" w:rsidR="00EE658D" w:rsidRPr="007E6D65" w:rsidRDefault="00EE658D" w:rsidP="00197142">
            <w:pPr>
              <w:jc w:val="both"/>
              <w:rPr>
                <w:rFonts w:ascii="Garamond" w:hAnsi="Garamond" w:cs="Times New Roman"/>
                <w:sz w:val="20"/>
                <w:szCs w:val="20"/>
              </w:rPr>
            </w:pPr>
            <w:r w:rsidRPr="007E6D65">
              <w:rPr>
                <w:rFonts w:ascii="Garamond" w:hAnsi="Garamond" w:cs="Times New Roman"/>
                <w:sz w:val="20"/>
                <w:szCs w:val="20"/>
              </w:rPr>
              <w:t>Janë korporata jo financiare rezidente, thuaj se korporata dhe institucione jo me qëllim fitimi, të angazhuara në prodhim tregu, që kontrollohen dhe financohen kryesisht nga qeveria. Kontrolli mund të ushtrohet nga zotërimi i më tepër se gjysmës së të drejtave votuese ose nëpërmjet ligjit, me dekrete ose me rregullore, të cilat vendosin politikën nëpërmjet të cilës qeveria mund të emërojë drejtuesit. Këtu përjashtohen institucionet jo me qëllim fitimi, të cilat nuk angazhohen në prodhim tregu.</w:t>
            </w:r>
          </w:p>
        </w:tc>
      </w:tr>
      <w:tr w:rsidR="00EE658D" w:rsidRPr="007E6D65" w14:paraId="5F0A1213" w14:textId="77777777" w:rsidTr="00661D0A">
        <w:tc>
          <w:tcPr>
            <w:tcW w:w="1130" w:type="pct"/>
          </w:tcPr>
          <w:p w14:paraId="066DEB87" w14:textId="77777777" w:rsidR="00EE658D" w:rsidRPr="007E6D65" w:rsidRDefault="00EE658D" w:rsidP="0000176D">
            <w:pPr>
              <w:numPr>
                <w:ilvl w:val="0"/>
                <w:numId w:val="15"/>
              </w:numPr>
              <w:ind w:left="0" w:firstLine="0"/>
              <w:contextualSpacing/>
              <w:rPr>
                <w:rFonts w:ascii="Garamond" w:hAnsi="Garamond" w:cs="Times New Roman"/>
                <w:i/>
                <w:sz w:val="20"/>
                <w:szCs w:val="20"/>
              </w:rPr>
            </w:pPr>
            <w:r w:rsidRPr="007E6D65">
              <w:rPr>
                <w:rFonts w:ascii="Garamond" w:hAnsi="Garamond" w:cs="Times New Roman"/>
                <w:i/>
                <w:sz w:val="20"/>
                <w:szCs w:val="20"/>
              </w:rPr>
              <w:t>Korporatat jofinanciare private</w:t>
            </w:r>
          </w:p>
        </w:tc>
        <w:tc>
          <w:tcPr>
            <w:tcW w:w="3870" w:type="pct"/>
          </w:tcPr>
          <w:p w14:paraId="41F13EFC" w14:textId="71B98509" w:rsidR="00EE658D" w:rsidRPr="007E6D65" w:rsidRDefault="00EE658D" w:rsidP="008A6EA7">
            <w:pPr>
              <w:jc w:val="both"/>
              <w:rPr>
                <w:rFonts w:ascii="Garamond" w:hAnsi="Garamond" w:cs="Times New Roman"/>
                <w:sz w:val="20"/>
                <w:szCs w:val="20"/>
              </w:rPr>
            </w:pPr>
            <w:r w:rsidRPr="007E6D65">
              <w:rPr>
                <w:rFonts w:ascii="Garamond" w:hAnsi="Garamond" w:cs="Times New Roman"/>
                <w:sz w:val="20"/>
                <w:szCs w:val="20"/>
              </w:rPr>
              <w:t>Përfshijnë të gjitha njësitë institucionale, të cilat janë subjekte juridike të pavarura të krijuara me qëllim prodhimin e mallrave dhe shërbimeve jo financiare për tregun dhe që nuk kontrollohen nga qeveria. Këtu përfshihen korporata jo-financiare rezidente, thuaj se korporata dhe institucione jo me qëllim fitimi të angazhuara në prodhimin e mallrave dhe shërbimeve për tregun. Thuaj se korporatat janë ndërmarrje jo aksionere, të cilat funksionojnë si korporata. Që një thuajse korporatë të ekzistojë, ajo duhet të jetë e aftë të krijojë një plan të plotë llogarish, duke përfshirë bilancin kontabël, për të dalluar thuaj se korporatën nga pronarët e saj. Mjetet dhe detyrimet e lidhura me biznesin të thuaj se korporatës duhen ndarë nga mjetet dhe detyrimet e pronarëve. Gjithashtu, duhet të jetë i mundur identifikimi i flukseve të kapitalit dhe të të ardhurave që shkaktohen midis thuaj se korporatës dhe pronarëve të saj. Praktikisht, në nën sektorin e korporatave jo financiare do të klasifikohen të gjitha shoqëritë tregtare private (jo financiare) ose bizneset private të cilat ushtrojnë aktivitetin e tyre në përputhje me ligjin nr. 9901, d</w:t>
            </w:r>
            <w:r w:rsidR="00497478">
              <w:rPr>
                <w:rFonts w:ascii="Garamond" w:hAnsi="Garamond" w:cs="Times New Roman"/>
                <w:sz w:val="20"/>
                <w:szCs w:val="20"/>
              </w:rPr>
              <w:t>a</w:t>
            </w:r>
            <w:r w:rsidRPr="007E6D65">
              <w:rPr>
                <w:rFonts w:ascii="Garamond" w:hAnsi="Garamond" w:cs="Times New Roman"/>
                <w:sz w:val="20"/>
                <w:szCs w:val="20"/>
              </w:rPr>
              <w:t>t</w:t>
            </w:r>
            <w:r w:rsidR="00497478">
              <w:rPr>
                <w:rFonts w:ascii="Garamond" w:hAnsi="Garamond" w:cs="Times New Roman"/>
                <w:sz w:val="20"/>
                <w:szCs w:val="20"/>
              </w:rPr>
              <w:t>ë</w:t>
            </w:r>
            <w:r w:rsidRPr="007E6D65">
              <w:rPr>
                <w:rFonts w:ascii="Garamond" w:hAnsi="Garamond" w:cs="Times New Roman"/>
                <w:sz w:val="20"/>
                <w:szCs w:val="20"/>
              </w:rPr>
              <w:t xml:space="preserve"> 14.4.2008, </w:t>
            </w:r>
            <w:r w:rsidR="00B24C95">
              <w:rPr>
                <w:rFonts w:ascii="Garamond" w:hAnsi="Garamond" w:cs="Times New Roman"/>
                <w:sz w:val="20"/>
                <w:szCs w:val="20"/>
              </w:rPr>
              <w:t>“</w:t>
            </w:r>
            <w:r w:rsidRPr="007E6D65">
              <w:rPr>
                <w:rFonts w:ascii="Garamond" w:hAnsi="Garamond" w:cs="Times New Roman"/>
                <w:sz w:val="20"/>
                <w:szCs w:val="20"/>
              </w:rPr>
              <w:t>Për tregtarët dhe shoqëritë tregtare</w:t>
            </w:r>
            <w:r w:rsidR="00B24C95">
              <w:rPr>
                <w:rFonts w:ascii="Garamond" w:hAnsi="Garamond" w:cs="Times New Roman"/>
                <w:sz w:val="20"/>
                <w:szCs w:val="20"/>
              </w:rPr>
              <w:t>”</w:t>
            </w:r>
            <w:r w:rsidRPr="007E6D65">
              <w:rPr>
                <w:rFonts w:ascii="Garamond" w:hAnsi="Garamond" w:cs="Times New Roman"/>
                <w:sz w:val="20"/>
                <w:szCs w:val="20"/>
              </w:rPr>
              <w:t xml:space="preserve">. Përjashtim bëjnë vetëm personat fizikë të cilët ushtrojnë aktivitetin e tyre në përputhje me nenin 1 të ligjit </w:t>
            </w:r>
            <w:r w:rsidR="00B24C95">
              <w:rPr>
                <w:rFonts w:ascii="Garamond" w:hAnsi="Garamond" w:cs="Times New Roman"/>
                <w:sz w:val="20"/>
                <w:szCs w:val="20"/>
              </w:rPr>
              <w:t>“</w:t>
            </w:r>
            <w:r w:rsidRPr="007E6D65">
              <w:rPr>
                <w:rFonts w:ascii="Garamond" w:hAnsi="Garamond" w:cs="Times New Roman"/>
                <w:sz w:val="20"/>
                <w:szCs w:val="20"/>
              </w:rPr>
              <w:t>Për tregtaret dhe shoqëritë tregtare</w:t>
            </w:r>
            <w:r w:rsidR="00B24C95">
              <w:rPr>
                <w:rFonts w:ascii="Garamond" w:hAnsi="Garamond" w:cs="Times New Roman"/>
                <w:sz w:val="20"/>
                <w:szCs w:val="20"/>
              </w:rPr>
              <w:t>”</w:t>
            </w:r>
            <w:r w:rsidRPr="007E6D65">
              <w:rPr>
                <w:rFonts w:ascii="Garamond" w:hAnsi="Garamond" w:cs="Times New Roman"/>
                <w:sz w:val="20"/>
                <w:szCs w:val="20"/>
              </w:rPr>
              <w:t xml:space="preserve"> dhe që do të klasifikohen në sektorin </w:t>
            </w:r>
            <w:r w:rsidR="00B24C95">
              <w:rPr>
                <w:rFonts w:ascii="Garamond" w:hAnsi="Garamond" w:cs="Times New Roman"/>
                <w:sz w:val="20"/>
                <w:szCs w:val="20"/>
              </w:rPr>
              <w:t>“</w:t>
            </w:r>
            <w:r w:rsidRPr="007E6D65">
              <w:rPr>
                <w:rFonts w:ascii="Garamond" w:hAnsi="Garamond" w:cs="Times New Roman"/>
                <w:sz w:val="20"/>
                <w:szCs w:val="20"/>
              </w:rPr>
              <w:t>Individët</w:t>
            </w:r>
            <w:r w:rsidR="00B24C95">
              <w:rPr>
                <w:rFonts w:ascii="Garamond" w:hAnsi="Garamond" w:cs="Times New Roman"/>
                <w:sz w:val="20"/>
                <w:szCs w:val="20"/>
              </w:rPr>
              <w:t>”</w:t>
            </w:r>
            <w:r w:rsidRPr="007E6D65">
              <w:rPr>
                <w:rFonts w:ascii="Garamond" w:hAnsi="Garamond" w:cs="Times New Roman"/>
                <w:sz w:val="20"/>
                <w:szCs w:val="20"/>
              </w:rPr>
              <w:t xml:space="preserve"> (</w:t>
            </w:r>
            <w:r w:rsidR="008A6EA7">
              <w:rPr>
                <w:rFonts w:ascii="Garamond" w:hAnsi="Garamond" w:cs="Times New Roman"/>
                <w:sz w:val="20"/>
                <w:szCs w:val="20"/>
              </w:rPr>
              <w:t>e</w:t>
            </w:r>
            <w:r w:rsidRPr="007E6D65">
              <w:rPr>
                <w:rFonts w:ascii="Garamond" w:hAnsi="Garamond" w:cs="Times New Roman"/>
                <w:sz w:val="20"/>
                <w:szCs w:val="20"/>
              </w:rPr>
              <w:t>konomitë familjare).</w:t>
            </w:r>
          </w:p>
        </w:tc>
      </w:tr>
      <w:tr w:rsidR="00EE658D" w:rsidRPr="007E6D65" w14:paraId="1B43F95F" w14:textId="77777777" w:rsidTr="00661D0A">
        <w:tc>
          <w:tcPr>
            <w:tcW w:w="1130" w:type="pct"/>
          </w:tcPr>
          <w:p w14:paraId="20645C83" w14:textId="3113E11E" w:rsidR="00EE658D" w:rsidRPr="007E6D65" w:rsidRDefault="00EE658D" w:rsidP="00197142">
            <w:pPr>
              <w:numPr>
                <w:ilvl w:val="0"/>
                <w:numId w:val="15"/>
              </w:numPr>
              <w:ind w:left="0" w:firstLine="0"/>
              <w:contextualSpacing/>
              <w:rPr>
                <w:rFonts w:ascii="Garamond" w:hAnsi="Garamond" w:cs="Times New Roman"/>
                <w:i/>
                <w:sz w:val="20"/>
                <w:szCs w:val="20"/>
              </w:rPr>
            </w:pPr>
            <w:r w:rsidRPr="007E6D65">
              <w:rPr>
                <w:rFonts w:ascii="Garamond" w:hAnsi="Garamond" w:cs="Times New Roman"/>
                <w:i/>
                <w:sz w:val="20"/>
                <w:szCs w:val="20"/>
              </w:rPr>
              <w:t>Individët (</w:t>
            </w:r>
            <w:r w:rsidR="00197142">
              <w:rPr>
                <w:rFonts w:ascii="Garamond" w:hAnsi="Garamond" w:cs="Times New Roman"/>
                <w:i/>
                <w:sz w:val="20"/>
                <w:szCs w:val="20"/>
              </w:rPr>
              <w:t>e</w:t>
            </w:r>
            <w:r w:rsidRPr="007E6D65">
              <w:rPr>
                <w:rFonts w:ascii="Garamond" w:hAnsi="Garamond" w:cs="Times New Roman"/>
                <w:i/>
                <w:sz w:val="20"/>
                <w:szCs w:val="20"/>
              </w:rPr>
              <w:t>konomitë familjare)</w:t>
            </w:r>
          </w:p>
        </w:tc>
        <w:tc>
          <w:tcPr>
            <w:tcW w:w="3870" w:type="pct"/>
          </w:tcPr>
          <w:p w14:paraId="453DDFDC" w14:textId="77777777"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 xml:space="preserve">Përbëhet nga individë dhe grupe individësh, të cilët janë kryesisht konsumatorë. Ata ndajnë të njëjtën banesë, mbledhin një pjesë ose të gjitha të ardhurat dhe konsumojnë kolektivisht mallrat dhe shërbimet. </w:t>
            </w:r>
          </w:p>
          <w:p w14:paraId="71C1E5B1" w14:textId="1DA074F1"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 xml:space="preserve">Ky sektor përbëhet, gjithashtu, nga individë ose grupe individësh, të cilët janë sipërmarrës, pra janë të angazhuar edhe në aktivitet ekonomik, për shitje në treg ose për konsumin e vetë ekonomisë familjare, me kusht që prodhimi i mallrave dhe shërbimeve nuk realizohet nëpërmjet njësive ekonomike të ndara të trajtuara si thuaj se korporata. Aktivitetet prodhuese të integruara në sektorin e ekonomive familjare, quhen ndërmarrje të patrupëzuara. Ato angazhohen në biznes nëpërmjet punës, kapitalit fizik dhe burimeve financiare të ekonomisë familjare. Gjithashtu, ato mund të marrin hua për të financuar aktivitetet prodhuese. Kapitali fizik dhe mjetet financiare të përdorura nga ndërmarrjet e patrupëzuara, i përkasin ekonomisë familjare, e cila është plotësisht përgjegjëse për huan dhe për detyrimet në lidhje me të. Ky biznes, nuk mund të angazhohet në transaksione me njësi të tjera për llogari të tij dhe nuk mund të zotërojë mjete apo të marrë përsipër detyrime në emër të tij. </w:t>
            </w:r>
          </w:p>
          <w:p w14:paraId="3695B149" w14:textId="77777777"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Sektori i ekonomive familjare përfshin:</w:t>
            </w:r>
          </w:p>
          <w:p w14:paraId="27BF0C45" w14:textId="36672BCA"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a)</w:t>
            </w:r>
            <w:r w:rsidR="007E6D65" w:rsidRPr="007E6D65">
              <w:rPr>
                <w:rFonts w:ascii="Garamond" w:hAnsi="Garamond" w:cs="Times New Roman"/>
                <w:sz w:val="20"/>
                <w:szCs w:val="20"/>
              </w:rPr>
              <w:t xml:space="preserve"> </w:t>
            </w:r>
            <w:r w:rsidRPr="007E6D65">
              <w:rPr>
                <w:rFonts w:ascii="Garamond" w:hAnsi="Garamond" w:cs="Times New Roman"/>
                <w:sz w:val="20"/>
                <w:szCs w:val="20"/>
              </w:rPr>
              <w:t>individë ose grupe anëtarësh funksioni kryesor i të cilëve është konsumi;</w:t>
            </w:r>
          </w:p>
          <w:p w14:paraId="6746893B" w14:textId="2F07AFB0"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b)</w:t>
            </w:r>
            <w:r w:rsidR="007E6D65" w:rsidRPr="007E6D65">
              <w:rPr>
                <w:rFonts w:ascii="Garamond" w:hAnsi="Garamond" w:cs="Times New Roman"/>
                <w:sz w:val="20"/>
                <w:szCs w:val="20"/>
              </w:rPr>
              <w:t xml:space="preserve"> </w:t>
            </w:r>
            <w:r w:rsidRPr="007E6D65">
              <w:rPr>
                <w:rFonts w:ascii="Garamond" w:hAnsi="Garamond" w:cs="Times New Roman"/>
                <w:sz w:val="20"/>
                <w:szCs w:val="20"/>
              </w:rPr>
              <w:t>personat që jetojnë në mënyrë të përhershme në institucione që kanë pak ose aspak autonominë e veprimit ose vendimit në çështjet ekonomike (p.sh. anëtarët e sekteve fetare që jetojnë në manastire, personat e moshuar që jetojnë në mënyrë të përhershme në shtëpitë e të moshuarve (azile) etj.;</w:t>
            </w:r>
          </w:p>
          <w:p w14:paraId="180B984B" w14:textId="54EBBB78"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c)</w:t>
            </w:r>
            <w:r w:rsidR="007E6D65" w:rsidRPr="007E6D65">
              <w:rPr>
                <w:rFonts w:ascii="Garamond" w:hAnsi="Garamond" w:cs="Times New Roman"/>
                <w:sz w:val="20"/>
                <w:szCs w:val="20"/>
              </w:rPr>
              <w:t xml:space="preserve"> </w:t>
            </w:r>
            <w:r w:rsidRPr="007E6D65">
              <w:rPr>
                <w:rFonts w:ascii="Garamond" w:hAnsi="Garamond" w:cs="Times New Roman"/>
                <w:sz w:val="20"/>
                <w:szCs w:val="20"/>
              </w:rPr>
              <w:t>individë ose grupe anëtarësh funksioni kryesor i të cilëve është konsumi dhe që prodhojnë mallra dhe shërbime për përdorim final ekskluzivisht vetjak;</w:t>
            </w:r>
          </w:p>
          <w:p w14:paraId="0FDE3264" w14:textId="2A18E81A"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d)</w:t>
            </w:r>
            <w:r w:rsidR="007E6D65" w:rsidRPr="007E6D65">
              <w:rPr>
                <w:rFonts w:ascii="Garamond" w:hAnsi="Garamond" w:cs="Times New Roman"/>
                <w:sz w:val="20"/>
                <w:szCs w:val="20"/>
              </w:rPr>
              <w:t xml:space="preserve"> </w:t>
            </w:r>
            <w:r w:rsidRPr="007E6D65">
              <w:rPr>
                <w:rFonts w:ascii="Garamond" w:hAnsi="Garamond" w:cs="Times New Roman"/>
                <w:sz w:val="20"/>
                <w:szCs w:val="20"/>
              </w:rPr>
              <w:t>pronësitë personale dhe bashkëpronësitë pa status juridik, (përveç atyre të cilat trajtohen si thuaj se korporata dhe të cilat janë prodhues tregu). Të tillë do të konsiderohen personat fizikë të cilët kryejnë aktivitet tregtar në përputhje me nenin 1, ligji nr. 9901, d</w:t>
            </w:r>
            <w:r w:rsidR="00497478">
              <w:rPr>
                <w:rFonts w:ascii="Garamond" w:hAnsi="Garamond" w:cs="Times New Roman"/>
                <w:sz w:val="20"/>
                <w:szCs w:val="20"/>
              </w:rPr>
              <w:t>a</w:t>
            </w:r>
            <w:r w:rsidRPr="007E6D65">
              <w:rPr>
                <w:rFonts w:ascii="Garamond" w:hAnsi="Garamond" w:cs="Times New Roman"/>
                <w:sz w:val="20"/>
                <w:szCs w:val="20"/>
              </w:rPr>
              <w:t>t</w:t>
            </w:r>
            <w:r w:rsidR="00497478">
              <w:rPr>
                <w:rFonts w:ascii="Garamond" w:hAnsi="Garamond" w:cs="Times New Roman"/>
                <w:sz w:val="20"/>
                <w:szCs w:val="20"/>
              </w:rPr>
              <w:t>ë</w:t>
            </w:r>
            <w:r w:rsidRPr="007E6D65">
              <w:rPr>
                <w:rFonts w:ascii="Garamond" w:hAnsi="Garamond" w:cs="Times New Roman"/>
                <w:sz w:val="20"/>
                <w:szCs w:val="20"/>
              </w:rPr>
              <w:t xml:space="preserve"> 14.4.2008, </w:t>
            </w:r>
            <w:r w:rsidR="00B24C95">
              <w:rPr>
                <w:rFonts w:ascii="Garamond" w:hAnsi="Garamond" w:cs="Times New Roman"/>
                <w:sz w:val="20"/>
                <w:szCs w:val="20"/>
              </w:rPr>
              <w:t>“</w:t>
            </w:r>
            <w:r w:rsidRPr="007E6D65">
              <w:rPr>
                <w:rFonts w:ascii="Garamond" w:hAnsi="Garamond" w:cs="Times New Roman"/>
                <w:sz w:val="20"/>
                <w:szCs w:val="20"/>
              </w:rPr>
              <w:t>Për tregtarët dhe shoqëritë tregtare;</w:t>
            </w:r>
          </w:p>
          <w:p w14:paraId="5FD57706" w14:textId="4316B360" w:rsidR="00EE658D" w:rsidRPr="007E6D65" w:rsidRDefault="00EE658D" w:rsidP="00197142">
            <w:pPr>
              <w:jc w:val="both"/>
              <w:rPr>
                <w:rFonts w:ascii="Garamond" w:hAnsi="Garamond" w:cs="Times New Roman"/>
                <w:sz w:val="20"/>
                <w:szCs w:val="20"/>
              </w:rPr>
            </w:pPr>
            <w:r w:rsidRPr="007E6D65">
              <w:rPr>
                <w:rFonts w:ascii="Garamond" w:hAnsi="Garamond" w:cs="Times New Roman"/>
                <w:sz w:val="20"/>
                <w:szCs w:val="20"/>
              </w:rPr>
              <w:t>e)</w:t>
            </w:r>
            <w:r w:rsidR="007E6D65" w:rsidRPr="007E6D65">
              <w:rPr>
                <w:rFonts w:ascii="Garamond" w:hAnsi="Garamond" w:cs="Times New Roman"/>
                <w:sz w:val="20"/>
                <w:szCs w:val="20"/>
              </w:rPr>
              <w:t xml:space="preserve"> </w:t>
            </w:r>
            <w:r w:rsidRPr="007E6D65">
              <w:rPr>
                <w:rFonts w:ascii="Garamond" w:hAnsi="Garamond" w:cs="Times New Roman"/>
                <w:sz w:val="20"/>
                <w:szCs w:val="20"/>
              </w:rPr>
              <w:t>institucionet jofitimprurëse që i shërbejnë ekonomive familjare, të cilat nuk kanë status të pavarur juridik.</w:t>
            </w:r>
          </w:p>
        </w:tc>
      </w:tr>
      <w:tr w:rsidR="00EE658D" w:rsidRPr="007E6D65" w14:paraId="525C389F" w14:textId="77777777" w:rsidTr="00661D0A">
        <w:tc>
          <w:tcPr>
            <w:tcW w:w="1130" w:type="pct"/>
          </w:tcPr>
          <w:p w14:paraId="19C28356" w14:textId="77777777" w:rsidR="00EE658D" w:rsidRPr="007E6D65" w:rsidRDefault="00EE658D" w:rsidP="0000176D">
            <w:pPr>
              <w:numPr>
                <w:ilvl w:val="0"/>
                <w:numId w:val="15"/>
              </w:numPr>
              <w:ind w:left="0" w:firstLine="0"/>
              <w:contextualSpacing/>
              <w:rPr>
                <w:rFonts w:ascii="Garamond" w:hAnsi="Garamond" w:cs="Times New Roman"/>
                <w:i/>
                <w:sz w:val="20"/>
                <w:szCs w:val="20"/>
              </w:rPr>
            </w:pPr>
            <w:r w:rsidRPr="007E6D65">
              <w:rPr>
                <w:rFonts w:ascii="Garamond" w:hAnsi="Garamond" w:cs="Times New Roman"/>
                <w:i/>
                <w:sz w:val="20"/>
                <w:szCs w:val="20"/>
              </w:rPr>
              <w:t>Institucionet jo me qëllim fitimi në shërbim të individëve</w:t>
            </w:r>
          </w:p>
        </w:tc>
        <w:tc>
          <w:tcPr>
            <w:tcW w:w="3870" w:type="pct"/>
          </w:tcPr>
          <w:p w14:paraId="532D263C" w14:textId="0CA33AD2"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Përfshijnë institucionet jo me qëllim fitimi, të cilat janë njësi ligjore të pavarura, u shërbejnë ekonomive familjare dhe janë prodhues privat që nuk prodhojnë për tregun. Institucionet jo me qëllim fitimi, të angazhuar në prodhim, por jo për tregun, i sigurojnë ekonomive familjare mallra dhe shërbime falas, ose me çmime që nuk janë ekonomikisht domethënëse. Ato financohen kryesisht nga kontributet vullnetare, nga kuotat e anëtarëve, pagesat e bëra nga qeveria e përgjithshme apo nga fitimet që rrjedhin nga mbajtja e mjeteve financiare ose jofinanciare.</w:t>
            </w:r>
          </w:p>
          <w:p w14:paraId="0620BEAA" w14:textId="77777777"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lastRenderedPageBreak/>
              <w:t xml:space="preserve">Llojet kryesore të institucioneve jo me qëllim fitimi në shërbim të ekonomive familjare janë: </w:t>
            </w:r>
          </w:p>
          <w:p w14:paraId="313F44B1" w14:textId="4461279A"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a)</w:t>
            </w:r>
            <w:r w:rsidR="007E6D65" w:rsidRPr="007E6D65">
              <w:rPr>
                <w:rFonts w:ascii="Garamond" w:hAnsi="Garamond" w:cs="Times New Roman"/>
                <w:sz w:val="20"/>
                <w:szCs w:val="20"/>
              </w:rPr>
              <w:t xml:space="preserve"> </w:t>
            </w:r>
            <w:r w:rsidRPr="007E6D65">
              <w:rPr>
                <w:rFonts w:ascii="Garamond" w:hAnsi="Garamond" w:cs="Times New Roman"/>
                <w:sz w:val="20"/>
                <w:szCs w:val="20"/>
              </w:rPr>
              <w:t>sindikatat, shoqatat profesionale, shoqatat e konsumatorëve, partitë politike, kisha apo shoqëritë fetare (duke përfshirë edhe ato të financuara, por jo të kontrolluara nga qeveria) dhe klubet sociale, kulturore, sportive etj.; dhe</w:t>
            </w:r>
          </w:p>
          <w:p w14:paraId="633B1855" w14:textId="0B8ED199"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b)</w:t>
            </w:r>
            <w:r w:rsidR="007E6D65" w:rsidRPr="007E6D65">
              <w:rPr>
                <w:rFonts w:ascii="Garamond" w:hAnsi="Garamond" w:cs="Times New Roman"/>
                <w:sz w:val="20"/>
                <w:szCs w:val="20"/>
              </w:rPr>
              <w:t xml:space="preserve"> </w:t>
            </w:r>
            <w:r w:rsidRPr="007E6D65">
              <w:rPr>
                <w:rFonts w:ascii="Garamond" w:hAnsi="Garamond" w:cs="Times New Roman"/>
                <w:sz w:val="20"/>
                <w:szCs w:val="20"/>
              </w:rPr>
              <w:t>organizatat bamirëse, mbështetëse dhe të ndihmës, të financuara nga transfertat vullnetare në par</w:t>
            </w:r>
            <w:r w:rsidR="00197142">
              <w:rPr>
                <w:rFonts w:ascii="Garamond" w:hAnsi="Garamond" w:cs="Times New Roman"/>
                <w:sz w:val="20"/>
                <w:szCs w:val="20"/>
              </w:rPr>
              <w:t>a</w:t>
            </w:r>
            <w:r w:rsidRPr="007E6D65">
              <w:rPr>
                <w:rFonts w:ascii="Garamond" w:hAnsi="Garamond" w:cs="Times New Roman"/>
                <w:sz w:val="20"/>
                <w:szCs w:val="20"/>
              </w:rPr>
              <w:t xml:space="preserve"> (cash) ose në natyrë nga njësi të tjera institucionale.</w:t>
            </w:r>
          </w:p>
          <w:p w14:paraId="37591B04" w14:textId="6C4ACCE4"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Institucionet jo me qëllim fitimi në shërbim të ekonomive familjare jo për tregun, të kontrolluara nga qeveria e përgjithshme klasifikohen në sektorin e qeverisë.</w:t>
            </w:r>
          </w:p>
          <w:p w14:paraId="706E4BBB" w14:textId="77777777" w:rsidR="00EE658D" w:rsidRPr="007E6D65" w:rsidRDefault="00EE658D" w:rsidP="0000176D">
            <w:pPr>
              <w:jc w:val="both"/>
              <w:rPr>
                <w:rFonts w:ascii="Garamond" w:hAnsi="Garamond" w:cs="Times New Roman"/>
                <w:sz w:val="20"/>
                <w:szCs w:val="20"/>
              </w:rPr>
            </w:pPr>
            <w:r w:rsidRPr="007E6D65">
              <w:rPr>
                <w:rFonts w:ascii="Garamond" w:hAnsi="Garamond" w:cs="Times New Roman"/>
                <w:sz w:val="20"/>
                <w:szCs w:val="20"/>
              </w:rPr>
              <w:t>Institucionet jo me qëllim fitimi, të cilat janë nën kontrollin e qeverisë klasifikohen në sektorin e qeverisë që i kontrollon ato.</w:t>
            </w:r>
          </w:p>
        </w:tc>
      </w:tr>
    </w:tbl>
    <w:p w14:paraId="737F989C" w14:textId="24FF1F7A" w:rsidR="00EE658D" w:rsidRPr="007E6D65" w:rsidRDefault="00EE658D" w:rsidP="007E6D65">
      <w:pPr>
        <w:spacing w:after="0" w:line="240" w:lineRule="auto"/>
        <w:rPr>
          <w:rFonts w:ascii="Garamond" w:hAnsi="Garamond" w:cs="Times New Roman"/>
          <w:b/>
          <w:sz w:val="24"/>
          <w:szCs w:val="24"/>
        </w:rPr>
      </w:pPr>
    </w:p>
    <w:p w14:paraId="66D0BE42" w14:textId="77777777" w:rsidR="007E6D65" w:rsidRPr="00197142" w:rsidRDefault="007E6D65"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197142">
        <w:rPr>
          <w:rFonts w:ascii="Garamond" w:hAnsi="Garamond" w:cs="Times New Roman"/>
          <w:bCs/>
          <w:color w:val="000000"/>
          <w:sz w:val="24"/>
          <w:szCs w:val="24"/>
        </w:rPr>
        <w:t xml:space="preserve">PJESA 4 </w:t>
      </w:r>
    </w:p>
    <w:p w14:paraId="6334C6BA"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 xml:space="preserve">Përshkrimet e transaksioneve financiare dhe rregullimet </w:t>
      </w:r>
    </w:p>
    <w:p w14:paraId="711FC9F5" w14:textId="7AB8BC29"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r w:rsidRPr="007E6D65">
        <w:rPr>
          <w:rFonts w:ascii="Garamond" w:hAnsi="Garamond" w:cs="Times New Roman"/>
          <w:b/>
          <w:bCs/>
          <w:color w:val="000000"/>
          <w:sz w:val="24"/>
          <w:szCs w:val="24"/>
        </w:rPr>
        <w:t xml:space="preserve">e rivlerësimit për qëllime të kësaj rregulloreje </w:t>
      </w:r>
    </w:p>
    <w:p w14:paraId="5775F494"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6B93AFFE" w14:textId="6859B3C4"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1. </w:t>
      </w:r>
      <w:r w:rsidR="00B24C95">
        <w:rPr>
          <w:rFonts w:ascii="Garamond" w:hAnsi="Garamond" w:cs="Times New Roman"/>
          <w:color w:val="000000"/>
          <w:sz w:val="24"/>
          <w:szCs w:val="24"/>
        </w:rPr>
        <w:t>“</w:t>
      </w:r>
      <w:r w:rsidRPr="007E6D65">
        <w:rPr>
          <w:rFonts w:ascii="Garamond" w:hAnsi="Garamond" w:cs="Times New Roman"/>
          <w:color w:val="000000"/>
          <w:sz w:val="24"/>
          <w:szCs w:val="24"/>
        </w:rPr>
        <w:t>Transaksionet financiare</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maten në terma të diferencës ndërmjet pozicioneve të aksioneve në datat e raportimit në fund të periudhës, nga të cilat efektet e ndryshimeve që vijnë nga ndikimi i </w:t>
      </w:r>
      <w:r w:rsidR="00B24C95">
        <w:rPr>
          <w:rFonts w:ascii="Garamond" w:hAnsi="Garamond" w:cs="Times New Roman"/>
          <w:color w:val="000000"/>
          <w:sz w:val="24"/>
          <w:szCs w:val="24"/>
        </w:rPr>
        <w:t>“</w:t>
      </w:r>
      <w:r w:rsidRPr="007E6D65">
        <w:rPr>
          <w:rFonts w:ascii="Garamond" w:hAnsi="Garamond" w:cs="Times New Roman"/>
          <w:color w:val="000000"/>
          <w:sz w:val="24"/>
          <w:szCs w:val="24"/>
        </w:rPr>
        <w:t>rregullimet e rivlerësimit</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(si pasojë e ndryshimeve të çmimeve dhe kursit të këmbimit) dhe </w:t>
      </w:r>
      <w:r w:rsidR="00B24C95">
        <w:rPr>
          <w:rFonts w:ascii="Garamond" w:hAnsi="Garamond" w:cs="Times New Roman"/>
          <w:color w:val="000000"/>
          <w:sz w:val="24"/>
          <w:szCs w:val="24"/>
        </w:rPr>
        <w:t>“</w:t>
      </w:r>
      <w:r w:rsidRPr="007E6D65">
        <w:rPr>
          <w:rFonts w:ascii="Garamond" w:hAnsi="Garamond" w:cs="Times New Roman"/>
          <w:color w:val="000000"/>
          <w:sz w:val="24"/>
          <w:szCs w:val="24"/>
        </w:rPr>
        <w:t>riklasifikimet dhe rregullimet e tjera</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hiqen. BQE-ja kërkon informacion statistikor, me qëllim përpilimin e të dhënave për transaksionet financiare në formën e rregullimeve që përfshijnë </w:t>
      </w:r>
      <w:r w:rsidR="00B24C95">
        <w:rPr>
          <w:rFonts w:ascii="Garamond" w:hAnsi="Garamond" w:cs="Times New Roman"/>
          <w:color w:val="000000"/>
          <w:sz w:val="24"/>
          <w:szCs w:val="24"/>
        </w:rPr>
        <w:t>“</w:t>
      </w:r>
      <w:r w:rsidRPr="007E6D65">
        <w:rPr>
          <w:rFonts w:ascii="Garamond" w:hAnsi="Garamond" w:cs="Times New Roman"/>
          <w:color w:val="000000"/>
          <w:sz w:val="24"/>
          <w:szCs w:val="24"/>
        </w:rPr>
        <w:t>riklasifikime dhe rregullime të tjera</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si dhe </w:t>
      </w:r>
      <w:r w:rsidR="00B24C95">
        <w:rPr>
          <w:rFonts w:ascii="Garamond" w:hAnsi="Garamond" w:cs="Times New Roman"/>
          <w:color w:val="000000"/>
          <w:sz w:val="24"/>
          <w:szCs w:val="24"/>
        </w:rPr>
        <w:t>“</w:t>
      </w:r>
      <w:r w:rsidRPr="007E6D65">
        <w:rPr>
          <w:rFonts w:ascii="Garamond" w:hAnsi="Garamond" w:cs="Times New Roman"/>
          <w:color w:val="000000"/>
          <w:sz w:val="24"/>
          <w:szCs w:val="24"/>
        </w:rPr>
        <w:t>rivlerësime të çmimeve dhe kursit të këmbimit</w:t>
      </w:r>
      <w:r w:rsidR="00B24C95">
        <w:rPr>
          <w:rFonts w:ascii="Garamond" w:hAnsi="Garamond" w:cs="Times New Roman"/>
          <w:color w:val="000000"/>
          <w:sz w:val="24"/>
          <w:szCs w:val="24"/>
        </w:rPr>
        <w:t>”</w:t>
      </w:r>
      <w:r w:rsidRPr="007E6D65">
        <w:rPr>
          <w:rFonts w:ascii="Garamond" w:hAnsi="Garamond" w:cs="Times New Roman"/>
          <w:color w:val="000000"/>
          <w:sz w:val="24"/>
          <w:szCs w:val="24"/>
        </w:rPr>
        <w:t>.</w:t>
      </w:r>
    </w:p>
    <w:p w14:paraId="1BD38402" w14:textId="4F9E3F9A"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2. </w:t>
      </w:r>
      <w:r w:rsidR="00B24C95">
        <w:rPr>
          <w:rFonts w:ascii="Garamond" w:hAnsi="Garamond" w:cs="Times New Roman"/>
          <w:color w:val="000000"/>
          <w:sz w:val="24"/>
          <w:szCs w:val="24"/>
        </w:rPr>
        <w:t>“</w:t>
      </w:r>
      <w:r w:rsidRPr="007E6D65">
        <w:rPr>
          <w:rFonts w:ascii="Garamond" w:hAnsi="Garamond" w:cs="Times New Roman"/>
          <w:color w:val="000000"/>
          <w:sz w:val="24"/>
          <w:szCs w:val="24"/>
        </w:rPr>
        <w:t>Rivlerësimet e çmimeve dhe kursit të këmbimit</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pasqyrojnë ndryshimet në vlerësimin e aktiveve/detyrimeve që rrjedhin ose nga ndryshimet në çmimin me të cilin regjistrohen ose tregtohen aktivet/detyrimet, ose nga ndryshimet në kurset e këmbimit që ndikojnë në vlerat, të shprehura në Euro, të aktiveve dhe detyrimeve të shprehura në valutë të huaj. Rivlerësimet e çmimeve marrin parasysh ndryshimet që ndodhin me kalimin e kohës në vlerën e stoqeve të periudhës së fundit, për shkak të ndryshimeve në vlerat e referencës në të cilat regjistrohen këto stoqe, d.m.th. fitimet/humbjet e mbajtjes. Lëvizjet në kurset e këmbimit kundrejt Euros që ndodhin ndërmjet datave të raportimit në fund të periudhës, rezultojnë gjithashtu në ndryshime në vlerën e aktiveve/detyrimeve në valutë të huaj kur shprehen në Euro. Duke qenë se këto ndryshime përfaqësojnë fitime/humbje të mbajtjes dhe nuk janë për shkak të transaksioneve financiare, këto efekte duhet të hiqen nga të dhënat e transaksioneve financiare. Në parim, </w:t>
      </w:r>
      <w:r w:rsidR="00B24C95">
        <w:rPr>
          <w:rFonts w:ascii="Garamond" w:hAnsi="Garamond" w:cs="Times New Roman"/>
          <w:color w:val="000000"/>
          <w:sz w:val="24"/>
          <w:szCs w:val="24"/>
        </w:rPr>
        <w:t>“</w:t>
      </w:r>
      <w:r w:rsidRPr="007E6D65">
        <w:rPr>
          <w:rFonts w:ascii="Garamond" w:hAnsi="Garamond" w:cs="Times New Roman"/>
          <w:color w:val="000000"/>
          <w:sz w:val="24"/>
          <w:szCs w:val="24"/>
        </w:rPr>
        <w:t>rivlerësimet e çmimit dhe kursit të këmbimit</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 gjithashtu marrin parasysh ndryshimet në vlerë që rezultojnë nga transaksionet në aktive/detyrime, d.m.th. fitimet/humbjet e realizuara; megjithatë, ekzistojnë praktika të ndryshme kombëtare në këtë drejtim.</w:t>
      </w:r>
    </w:p>
    <w:p w14:paraId="1C1774FF"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p>
    <w:p w14:paraId="1C7C0763" w14:textId="65DF42A2" w:rsidR="007E6D65" w:rsidRPr="00197142" w:rsidRDefault="00197142"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197142">
        <w:rPr>
          <w:rFonts w:ascii="Garamond" w:hAnsi="Garamond" w:cs="Times New Roman"/>
          <w:bCs/>
          <w:color w:val="000000"/>
          <w:sz w:val="24"/>
          <w:szCs w:val="24"/>
        </w:rPr>
        <w:t>SHTOJCA III</w:t>
      </w:r>
    </w:p>
    <w:p w14:paraId="5D341F74" w14:textId="09B07B3C" w:rsidR="007E6D65" w:rsidRPr="00197142" w:rsidRDefault="00197142" w:rsidP="007E6D65">
      <w:pPr>
        <w:autoSpaceDE w:val="0"/>
        <w:autoSpaceDN w:val="0"/>
        <w:adjustRightInd w:val="0"/>
        <w:spacing w:after="0" w:line="240" w:lineRule="auto"/>
        <w:ind w:firstLine="284"/>
        <w:jc w:val="center"/>
        <w:rPr>
          <w:rFonts w:ascii="Garamond" w:hAnsi="Garamond" w:cs="Times New Roman"/>
          <w:bCs/>
          <w:color w:val="000000"/>
          <w:sz w:val="24"/>
          <w:szCs w:val="24"/>
        </w:rPr>
      </w:pPr>
      <w:r w:rsidRPr="00197142">
        <w:rPr>
          <w:rFonts w:ascii="Garamond" w:hAnsi="Garamond" w:cs="Times New Roman"/>
          <w:bCs/>
          <w:color w:val="000000"/>
          <w:sz w:val="24"/>
          <w:szCs w:val="24"/>
        </w:rPr>
        <w:t>STANDARDET MINIMALE QË DUHET TË PËRMBUSHË POPULLATA E SUBJEKTEVE RAPORTUESE</w:t>
      </w:r>
    </w:p>
    <w:p w14:paraId="33A791B6" w14:textId="77777777" w:rsidR="007E6D65" w:rsidRPr="007E6D65" w:rsidRDefault="007E6D65" w:rsidP="007E6D65">
      <w:pPr>
        <w:autoSpaceDE w:val="0"/>
        <w:autoSpaceDN w:val="0"/>
        <w:adjustRightInd w:val="0"/>
        <w:spacing w:after="0" w:line="240" w:lineRule="auto"/>
        <w:ind w:firstLine="284"/>
        <w:jc w:val="center"/>
        <w:rPr>
          <w:rFonts w:ascii="Garamond" w:hAnsi="Garamond" w:cs="Times New Roman"/>
          <w:b/>
          <w:bCs/>
          <w:color w:val="000000"/>
          <w:sz w:val="24"/>
          <w:szCs w:val="24"/>
        </w:rPr>
      </w:pPr>
    </w:p>
    <w:p w14:paraId="3E8DD486" w14:textId="7D50422B"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Subjektet raportuese duhet të përmbushin standardet minimale të mëposhtme për të përmbushur kërkesat e raportimit statistikor të Bankës së Shqipërisë.</w:t>
      </w:r>
      <w:r w:rsidR="00197142">
        <w:rPr>
          <w:rFonts w:ascii="Garamond" w:hAnsi="Garamond" w:cs="Times New Roman"/>
          <w:color w:val="000000"/>
          <w:sz w:val="24"/>
          <w:szCs w:val="24"/>
        </w:rPr>
        <w:t xml:space="preserve"> </w:t>
      </w:r>
    </w:p>
    <w:p w14:paraId="621EF79D"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1. Standardet minimale për tejçimin/ përcjelljen e informacionit: </w:t>
      </w:r>
    </w:p>
    <w:p w14:paraId="590E2131"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a) raportimi duhet të jetë në kohë dhe brenda afateve të përcaktuara nga Banka; </w:t>
      </w:r>
    </w:p>
    <w:p w14:paraId="0E1C48DE"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b) raportet statistikore duhet të jenë në përputhje me formën dhe formatin e tyre nga kërkesat e raportimit teknik të përcaktuara nga BSH-ja; </w:t>
      </w:r>
    </w:p>
    <w:p w14:paraId="6E242DFC" w14:textId="753D7A5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c) subjekti raportues duhet t</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i japë Bankës të dhënat e një ose më shumë personave kontaktues; </w:t>
      </w:r>
    </w:p>
    <w:p w14:paraId="7D05055E"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d) duhet të ndiqen specifikimet teknike për transmetimin e të dhënave në Bankën e Shqipërisë. </w:t>
      </w:r>
    </w:p>
    <w:p w14:paraId="44ABEBD9"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2. Standardet minimale për saktësinë: </w:t>
      </w:r>
    </w:p>
    <w:p w14:paraId="1283B1B0"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lastRenderedPageBreak/>
        <w:t xml:space="preserve">a) informacioni statistikor duhet të jetë i saktë: të gjitha kufizimet paralele/ rregullat e kontrollit duhet të përmbushen (p.sh. mjetet dhe detyrimet duhet të balancohen, nën totalet duhet të mblidhen në total) dhe të dhënat duhet të jenë të qëndrueshme në të gjitha frekuencat e raportimit; </w:t>
      </w:r>
    </w:p>
    <w:p w14:paraId="614455D9"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b) subjektet raportuese duhet të jenë në gjendje të japin informacion mbi zhvillimet që tregojnë të dhënat e dërguara; </w:t>
      </w:r>
    </w:p>
    <w:p w14:paraId="159E466B" w14:textId="433A74D1"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c) informacioni statistikor duhet të jetë i plotë dhe nuk duhet të përmbajë boshllëqe të vazhdueshme dhe strukturore. Mangësitë ekzistuese duhet të njihen, t</w:t>
      </w:r>
      <w:r w:rsidR="00B24C95">
        <w:rPr>
          <w:rFonts w:ascii="Garamond" w:hAnsi="Garamond" w:cs="Times New Roman"/>
          <w:color w:val="000000"/>
          <w:sz w:val="24"/>
          <w:szCs w:val="24"/>
        </w:rPr>
        <w:t>’</w:t>
      </w:r>
      <w:r w:rsidRPr="007E6D65">
        <w:rPr>
          <w:rFonts w:ascii="Garamond" w:hAnsi="Garamond" w:cs="Times New Roman"/>
          <w:color w:val="000000"/>
          <w:sz w:val="24"/>
          <w:szCs w:val="24"/>
        </w:rPr>
        <w:t xml:space="preserve">i shpjegohen BSH-së dhe, kur është e aplikueshme, të kapërcehen sa më shpejt që të jetë e mundur; </w:t>
      </w:r>
    </w:p>
    <w:p w14:paraId="74002F84"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d) subjektet raportuese duhet të ndjekin dimensionet, politikën e rrumbullakosjes dhe numrat dhjetorë të vendosur nga Bankat për përcjelljen teknike të të dhënave. </w:t>
      </w:r>
    </w:p>
    <w:p w14:paraId="462BC115" w14:textId="77777777"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 xml:space="preserve">3. Standardet minimale për përputhshmërinë me konceptet: </w:t>
      </w:r>
    </w:p>
    <w:p w14:paraId="179B0C49" w14:textId="341CCDB8"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a)</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 xml:space="preserve">informacioni statistikor duhet të jetë në përputhje me përkufizimet dhe klasifikimet e përfshira në këtë rregullore; </w:t>
      </w:r>
    </w:p>
    <w:p w14:paraId="32331533" w14:textId="156A8F13"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b)</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 xml:space="preserve">në rast të devijimeve nga këto përkufizime dhe klasifikime, subjektet raportuese duhet të monitorojnë dhe të përcaktojnë në mënyrë të rregullt diferencën ndërmjet metodologjisë së përdorur dhe asaj që përcakton kjo rregullore; </w:t>
      </w:r>
    </w:p>
    <w:p w14:paraId="6CC126B5" w14:textId="6CF45054" w:rsidR="007E6D65" w:rsidRPr="007E6D65" w:rsidRDefault="007E6D65" w:rsidP="007E6D65">
      <w:pPr>
        <w:autoSpaceDE w:val="0"/>
        <w:autoSpaceDN w:val="0"/>
        <w:adjustRightInd w:val="0"/>
        <w:spacing w:after="0" w:line="240" w:lineRule="auto"/>
        <w:ind w:firstLine="284"/>
        <w:jc w:val="both"/>
        <w:rPr>
          <w:rFonts w:ascii="Garamond" w:hAnsi="Garamond" w:cs="Times New Roman"/>
          <w:color w:val="000000"/>
          <w:sz w:val="24"/>
          <w:szCs w:val="24"/>
        </w:rPr>
      </w:pPr>
      <w:r w:rsidRPr="007E6D65">
        <w:rPr>
          <w:rFonts w:ascii="Garamond" w:hAnsi="Garamond" w:cs="Times New Roman"/>
          <w:color w:val="000000"/>
          <w:sz w:val="24"/>
          <w:szCs w:val="24"/>
        </w:rPr>
        <w:t>c)</w:t>
      </w:r>
      <w:r w:rsidR="00197142">
        <w:rPr>
          <w:rFonts w:ascii="Garamond" w:hAnsi="Garamond" w:cs="Times New Roman"/>
          <w:color w:val="000000"/>
          <w:sz w:val="24"/>
          <w:szCs w:val="24"/>
        </w:rPr>
        <w:t xml:space="preserve"> </w:t>
      </w:r>
      <w:r w:rsidRPr="007E6D65">
        <w:rPr>
          <w:rFonts w:ascii="Garamond" w:hAnsi="Garamond" w:cs="Times New Roman"/>
          <w:color w:val="000000"/>
          <w:sz w:val="24"/>
          <w:szCs w:val="24"/>
        </w:rPr>
        <w:t xml:space="preserve">subjektet raportuese duhet të jenë në gjendje të shpjegojnë ndryshimet/ thyerjet në të dhënat e përcjella më parë/ transmetuara krahasuar me shifrat e periudhave të mëparshme. </w:t>
      </w:r>
    </w:p>
    <w:p w14:paraId="37CB3834" w14:textId="77B330AF" w:rsidR="00A613ED" w:rsidRPr="007E6D65" w:rsidRDefault="007E6D65" w:rsidP="007E6D65">
      <w:pPr>
        <w:autoSpaceDE w:val="0"/>
        <w:autoSpaceDN w:val="0"/>
        <w:adjustRightInd w:val="0"/>
        <w:spacing w:after="0" w:line="240" w:lineRule="auto"/>
        <w:ind w:firstLine="284"/>
        <w:jc w:val="both"/>
        <w:rPr>
          <w:rFonts w:ascii="Garamond" w:hAnsi="Garamond" w:cs="Times New Roman"/>
          <w:sz w:val="24"/>
          <w:szCs w:val="24"/>
        </w:rPr>
      </w:pPr>
      <w:r w:rsidRPr="007E6D65">
        <w:rPr>
          <w:rFonts w:ascii="Garamond" w:hAnsi="Garamond" w:cs="Times New Roman"/>
          <w:color w:val="000000"/>
          <w:sz w:val="24"/>
          <w:szCs w:val="24"/>
        </w:rPr>
        <w:t>4. Standardet minimale për rishikime: duhet të ndiqen politikat dhe procedurat e rishikimeve të përcaktuara nga Banka e Shqipërisë. Rishikimet që devijojnë nga rishikimet e rregullta duhet të shoqërohen me shënime shpjeguese të detajuara.</w:t>
      </w:r>
    </w:p>
    <w:sectPr w:rsidR="00A613ED" w:rsidRPr="007E6D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EU Albertina">
    <w:altName w:val="EU Albertina"/>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6277F"/>
    <w:multiLevelType w:val="hybridMultilevel"/>
    <w:tmpl w:val="83304190"/>
    <w:lvl w:ilvl="0" w:tplc="8710F304">
      <w:start w:val="1"/>
      <w:numFmt w:val="low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A77153"/>
    <w:multiLevelType w:val="hybridMultilevel"/>
    <w:tmpl w:val="FC3ADEC8"/>
    <w:lvl w:ilvl="0" w:tplc="5860D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47226D"/>
    <w:multiLevelType w:val="multilevel"/>
    <w:tmpl w:val="AAFC197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nsid w:val="2B8543FD"/>
    <w:multiLevelType w:val="hybridMultilevel"/>
    <w:tmpl w:val="10F4A7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9950FB"/>
    <w:multiLevelType w:val="hybridMultilevel"/>
    <w:tmpl w:val="7C4E380C"/>
    <w:lvl w:ilvl="0" w:tplc="0409000F">
      <w:start w:val="1"/>
      <w:numFmt w:val="decimal"/>
      <w:lvlText w:val="%1."/>
      <w:lvlJc w:val="left"/>
      <w:pPr>
        <w:ind w:left="720" w:hanging="360"/>
      </w:pPr>
    </w:lvl>
    <w:lvl w:ilvl="1" w:tplc="04090017">
      <w:start w:val="1"/>
      <w:numFmt w:val="lowerLetter"/>
      <w:lvlText w:val="%2)"/>
      <w:lvlJc w:val="left"/>
      <w:pPr>
        <w:ind w:left="643" w:hanging="360"/>
      </w:pPr>
    </w:lvl>
    <w:lvl w:ilvl="2" w:tplc="DB283FC4">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061802"/>
    <w:multiLevelType w:val="hybridMultilevel"/>
    <w:tmpl w:val="95D81596"/>
    <w:lvl w:ilvl="0" w:tplc="041C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40623E24"/>
    <w:multiLevelType w:val="hybridMultilevel"/>
    <w:tmpl w:val="29924AFA"/>
    <w:lvl w:ilvl="0" w:tplc="68C0F6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27254F"/>
    <w:multiLevelType w:val="multilevel"/>
    <w:tmpl w:val="0B04E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46710EA8"/>
    <w:multiLevelType w:val="hybridMultilevel"/>
    <w:tmpl w:val="52B43AE0"/>
    <w:lvl w:ilvl="0" w:tplc="04090017">
      <w:start w:val="1"/>
      <w:numFmt w:val="lowerLetter"/>
      <w:lvlText w:val="%1)"/>
      <w:lvlJc w:val="left"/>
      <w:pPr>
        <w:ind w:left="720" w:hanging="360"/>
      </w:pPr>
    </w:lvl>
    <w:lvl w:ilvl="1" w:tplc="1EC26DD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46475D"/>
    <w:multiLevelType w:val="hybridMultilevel"/>
    <w:tmpl w:val="70861E0A"/>
    <w:lvl w:ilvl="0" w:tplc="0409001B">
      <w:start w:val="1"/>
      <w:numFmt w:val="lowerRoman"/>
      <w:lvlText w:val="%1."/>
      <w:lvlJc w:val="right"/>
      <w:pPr>
        <w:ind w:left="1440" w:hanging="360"/>
      </w:pPr>
    </w:lvl>
    <w:lvl w:ilvl="1" w:tplc="DD70C1FC">
      <w:start w:val="1"/>
      <w:numFmt w:val="lowerRoman"/>
      <w:lvlText w:val="%2."/>
      <w:lvlJc w:val="left"/>
      <w:pPr>
        <w:ind w:left="2160" w:hanging="360"/>
      </w:pPr>
      <w:rPr>
        <w:rFonts w:ascii="Times New Roman" w:eastAsiaTheme="minorHAnsi" w:hAnsi="Times New Roman" w:cs="Times New Roman"/>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C6A0FE3"/>
    <w:multiLevelType w:val="hybridMultilevel"/>
    <w:tmpl w:val="786EA02C"/>
    <w:lvl w:ilvl="0" w:tplc="04090017">
      <w:start w:val="1"/>
      <w:numFmt w:val="lowerLetter"/>
      <w:lvlText w:val="%1)"/>
      <w:lvlJc w:val="left"/>
      <w:pPr>
        <w:ind w:left="720" w:hanging="360"/>
      </w:pPr>
    </w:lvl>
    <w:lvl w:ilvl="1" w:tplc="607264A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F76255"/>
    <w:multiLevelType w:val="multilevel"/>
    <w:tmpl w:val="643CD78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340"/>
        </w:tabs>
        <w:ind w:left="2340" w:hanging="360"/>
      </w:pPr>
      <w:rPr>
        <w:rFonts w:ascii="Arial" w:eastAsia="Times New Roman" w:hAnsi="Arial" w:cs="Arial" w:hint="default"/>
      </w:rPr>
    </w:lvl>
    <w:lvl w:ilvl="3">
      <w:start w:val="1"/>
      <w:numFmt w:val="lowerLetter"/>
      <w:lvlText w:val="%4)"/>
      <w:lvlJc w:val="left"/>
      <w:pPr>
        <w:ind w:left="2880" w:hanging="360"/>
      </w:pPr>
      <w:rPr>
        <w:rFonts w:eastAsia="Arial Unicode M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64974FF9"/>
    <w:multiLevelType w:val="multilevel"/>
    <w:tmpl w:val="0B04E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66B7493E"/>
    <w:multiLevelType w:val="hybridMultilevel"/>
    <w:tmpl w:val="029460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5411AC5"/>
    <w:multiLevelType w:val="hybridMultilevel"/>
    <w:tmpl w:val="C06EC20A"/>
    <w:lvl w:ilvl="0" w:tplc="03063C9C">
      <w:start w:val="1"/>
      <w:numFmt w:val="decimal"/>
      <w:lvlText w:val="%1."/>
      <w:lvlJc w:val="left"/>
      <w:pPr>
        <w:ind w:left="720" w:hanging="360"/>
      </w:pPr>
      <w:rPr>
        <w:rFonts w:ascii="Calibri" w:hAnsi="Calibri" w:cs="Calibri"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C6A3889"/>
    <w:multiLevelType w:val="multilevel"/>
    <w:tmpl w:val="17F8F65A"/>
    <w:lvl w:ilvl="0">
      <w:start w:val="13"/>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12"/>
  </w:num>
  <w:num w:numId="3">
    <w:abstractNumId w:val="2"/>
  </w:num>
  <w:num w:numId="4">
    <w:abstractNumId w:val="15"/>
  </w:num>
  <w:num w:numId="5">
    <w:abstractNumId w:val="4"/>
  </w:num>
  <w:num w:numId="6">
    <w:abstractNumId w:val="5"/>
  </w:num>
  <w:num w:numId="7">
    <w:abstractNumId w:val="3"/>
  </w:num>
  <w:num w:numId="8">
    <w:abstractNumId w:val="1"/>
  </w:num>
  <w:num w:numId="9">
    <w:abstractNumId w:val="8"/>
  </w:num>
  <w:num w:numId="10">
    <w:abstractNumId w:val="13"/>
  </w:num>
  <w:num w:numId="11">
    <w:abstractNumId w:val="6"/>
  </w:num>
  <w:num w:numId="12">
    <w:abstractNumId w:val="10"/>
  </w:num>
  <w:num w:numId="13">
    <w:abstractNumId w:val="0"/>
  </w:num>
  <w:num w:numId="14">
    <w:abstractNumId w:val="9"/>
  </w:num>
  <w:num w:numId="15">
    <w:abstractNumId w:val="1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567"/>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393"/>
    <w:rsid w:val="00000762"/>
    <w:rsid w:val="0000176D"/>
    <w:rsid w:val="00036A1E"/>
    <w:rsid w:val="00063864"/>
    <w:rsid w:val="0006595E"/>
    <w:rsid w:val="00080229"/>
    <w:rsid w:val="00085B59"/>
    <w:rsid w:val="000C7F94"/>
    <w:rsid w:val="000D1E54"/>
    <w:rsid w:val="000F0634"/>
    <w:rsid w:val="001020B6"/>
    <w:rsid w:val="00125116"/>
    <w:rsid w:val="00141A42"/>
    <w:rsid w:val="0015256A"/>
    <w:rsid w:val="00155F4D"/>
    <w:rsid w:val="00172E14"/>
    <w:rsid w:val="00182476"/>
    <w:rsid w:val="0018527F"/>
    <w:rsid w:val="00194661"/>
    <w:rsid w:val="00197142"/>
    <w:rsid w:val="001A0C71"/>
    <w:rsid w:val="001A10E8"/>
    <w:rsid w:val="001A1DF8"/>
    <w:rsid w:val="001A5908"/>
    <w:rsid w:val="001C0A1F"/>
    <w:rsid w:val="001D176F"/>
    <w:rsid w:val="001D5BB1"/>
    <w:rsid w:val="001E0FC5"/>
    <w:rsid w:val="001E12D9"/>
    <w:rsid w:val="00200459"/>
    <w:rsid w:val="0021602A"/>
    <w:rsid w:val="002264F7"/>
    <w:rsid w:val="00234D88"/>
    <w:rsid w:val="00245E57"/>
    <w:rsid w:val="00264D78"/>
    <w:rsid w:val="00275393"/>
    <w:rsid w:val="002943FD"/>
    <w:rsid w:val="002A74F4"/>
    <w:rsid w:val="002F0C65"/>
    <w:rsid w:val="0030523D"/>
    <w:rsid w:val="003130E8"/>
    <w:rsid w:val="00351195"/>
    <w:rsid w:val="003614E1"/>
    <w:rsid w:val="00370910"/>
    <w:rsid w:val="00370BDA"/>
    <w:rsid w:val="0037509A"/>
    <w:rsid w:val="00383CBB"/>
    <w:rsid w:val="003943B4"/>
    <w:rsid w:val="003A7A59"/>
    <w:rsid w:val="003D27B2"/>
    <w:rsid w:val="003E2589"/>
    <w:rsid w:val="003F6CB6"/>
    <w:rsid w:val="00401D9E"/>
    <w:rsid w:val="004233DD"/>
    <w:rsid w:val="00423D55"/>
    <w:rsid w:val="004317CB"/>
    <w:rsid w:val="00465C5C"/>
    <w:rsid w:val="00471927"/>
    <w:rsid w:val="00476296"/>
    <w:rsid w:val="00485B1B"/>
    <w:rsid w:val="00494460"/>
    <w:rsid w:val="00497478"/>
    <w:rsid w:val="004A136E"/>
    <w:rsid w:val="004A1A11"/>
    <w:rsid w:val="004B6EA1"/>
    <w:rsid w:val="004D295F"/>
    <w:rsid w:val="004F57F5"/>
    <w:rsid w:val="0053623F"/>
    <w:rsid w:val="00540C69"/>
    <w:rsid w:val="00573C93"/>
    <w:rsid w:val="00580240"/>
    <w:rsid w:val="0059415F"/>
    <w:rsid w:val="005A345C"/>
    <w:rsid w:val="005A5F69"/>
    <w:rsid w:val="005B528D"/>
    <w:rsid w:val="005F1EBF"/>
    <w:rsid w:val="005F53FF"/>
    <w:rsid w:val="00630F23"/>
    <w:rsid w:val="006344C9"/>
    <w:rsid w:val="00634622"/>
    <w:rsid w:val="00661D0A"/>
    <w:rsid w:val="00691E3F"/>
    <w:rsid w:val="006925D0"/>
    <w:rsid w:val="006D004F"/>
    <w:rsid w:val="006F0D3B"/>
    <w:rsid w:val="00707FBC"/>
    <w:rsid w:val="00710375"/>
    <w:rsid w:val="00726012"/>
    <w:rsid w:val="00742DD9"/>
    <w:rsid w:val="00777A55"/>
    <w:rsid w:val="0078458B"/>
    <w:rsid w:val="007B0C4E"/>
    <w:rsid w:val="007C2C98"/>
    <w:rsid w:val="007D2C59"/>
    <w:rsid w:val="007E45D7"/>
    <w:rsid w:val="007E6D65"/>
    <w:rsid w:val="00804C83"/>
    <w:rsid w:val="00824A06"/>
    <w:rsid w:val="0084758A"/>
    <w:rsid w:val="00855DCB"/>
    <w:rsid w:val="00863252"/>
    <w:rsid w:val="0086609E"/>
    <w:rsid w:val="008718D6"/>
    <w:rsid w:val="008924CC"/>
    <w:rsid w:val="008A6EA7"/>
    <w:rsid w:val="008A7E3A"/>
    <w:rsid w:val="008D0DE3"/>
    <w:rsid w:val="008D6AA4"/>
    <w:rsid w:val="008E7C70"/>
    <w:rsid w:val="008F2F5A"/>
    <w:rsid w:val="00927FBD"/>
    <w:rsid w:val="00956445"/>
    <w:rsid w:val="00964D80"/>
    <w:rsid w:val="00971EA1"/>
    <w:rsid w:val="009A07EB"/>
    <w:rsid w:val="009A28E2"/>
    <w:rsid w:val="009A5E98"/>
    <w:rsid w:val="009C0A9E"/>
    <w:rsid w:val="009C3B86"/>
    <w:rsid w:val="009C6831"/>
    <w:rsid w:val="009D2EE7"/>
    <w:rsid w:val="009D3E63"/>
    <w:rsid w:val="009E69D6"/>
    <w:rsid w:val="009F227C"/>
    <w:rsid w:val="00A44686"/>
    <w:rsid w:val="00A613ED"/>
    <w:rsid w:val="00A64291"/>
    <w:rsid w:val="00AD4EB6"/>
    <w:rsid w:val="00AD5AFE"/>
    <w:rsid w:val="00AD6CE2"/>
    <w:rsid w:val="00AE1087"/>
    <w:rsid w:val="00AF048E"/>
    <w:rsid w:val="00AF6468"/>
    <w:rsid w:val="00B03B27"/>
    <w:rsid w:val="00B101E2"/>
    <w:rsid w:val="00B24C95"/>
    <w:rsid w:val="00B32530"/>
    <w:rsid w:val="00B43BB2"/>
    <w:rsid w:val="00B52C45"/>
    <w:rsid w:val="00B56002"/>
    <w:rsid w:val="00BB02C1"/>
    <w:rsid w:val="00BC4BBD"/>
    <w:rsid w:val="00BC65D1"/>
    <w:rsid w:val="00BF62FB"/>
    <w:rsid w:val="00C00C6A"/>
    <w:rsid w:val="00C04645"/>
    <w:rsid w:val="00C15EAE"/>
    <w:rsid w:val="00C2306F"/>
    <w:rsid w:val="00C25057"/>
    <w:rsid w:val="00C3240F"/>
    <w:rsid w:val="00C64FD3"/>
    <w:rsid w:val="00C756BA"/>
    <w:rsid w:val="00CA1035"/>
    <w:rsid w:val="00CB2E2E"/>
    <w:rsid w:val="00CD42F6"/>
    <w:rsid w:val="00CE02B1"/>
    <w:rsid w:val="00CF25A5"/>
    <w:rsid w:val="00CF4F92"/>
    <w:rsid w:val="00D0081B"/>
    <w:rsid w:val="00D43BD6"/>
    <w:rsid w:val="00D84878"/>
    <w:rsid w:val="00DF5E5B"/>
    <w:rsid w:val="00E27BFA"/>
    <w:rsid w:val="00E30F97"/>
    <w:rsid w:val="00E36167"/>
    <w:rsid w:val="00E43DB0"/>
    <w:rsid w:val="00E67908"/>
    <w:rsid w:val="00EA3E5B"/>
    <w:rsid w:val="00ED3D3E"/>
    <w:rsid w:val="00EE658D"/>
    <w:rsid w:val="00EE6E49"/>
    <w:rsid w:val="00F00AED"/>
    <w:rsid w:val="00F168BC"/>
    <w:rsid w:val="00F54903"/>
    <w:rsid w:val="00F73B5A"/>
    <w:rsid w:val="00FC56E7"/>
    <w:rsid w:val="00FC58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A1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5393"/>
    <w:pPr>
      <w:autoSpaceDE w:val="0"/>
      <w:autoSpaceDN w:val="0"/>
      <w:adjustRightInd w:val="0"/>
      <w:spacing w:after="0" w:line="240" w:lineRule="auto"/>
    </w:pPr>
    <w:rPr>
      <w:rFonts w:ascii="EU Albertina" w:hAnsi="EU Albertina" w:cs="EU Albertina"/>
      <w:color w:val="000000"/>
      <w:sz w:val="24"/>
      <w:szCs w:val="24"/>
    </w:rPr>
  </w:style>
  <w:style w:type="paragraph" w:styleId="ListParagraph">
    <w:name w:val="List Paragraph"/>
    <w:basedOn w:val="Normal"/>
    <w:uiPriority w:val="34"/>
    <w:qFormat/>
    <w:rsid w:val="00275393"/>
    <w:pPr>
      <w:ind w:left="720"/>
      <w:contextualSpacing/>
    </w:pPr>
  </w:style>
  <w:style w:type="table" w:styleId="TableGrid">
    <w:name w:val="Table Grid"/>
    <w:basedOn w:val="TableNormal"/>
    <w:uiPriority w:val="39"/>
    <w:rsid w:val="00A446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D176F"/>
    <w:rPr>
      <w:sz w:val="16"/>
      <w:szCs w:val="16"/>
    </w:rPr>
  </w:style>
  <w:style w:type="paragraph" w:styleId="CommentText">
    <w:name w:val="annotation text"/>
    <w:basedOn w:val="Normal"/>
    <w:link w:val="CommentTextChar"/>
    <w:uiPriority w:val="99"/>
    <w:semiHidden/>
    <w:unhideWhenUsed/>
    <w:rsid w:val="001D176F"/>
    <w:pPr>
      <w:spacing w:line="240" w:lineRule="auto"/>
    </w:pPr>
    <w:rPr>
      <w:sz w:val="20"/>
      <w:szCs w:val="20"/>
    </w:rPr>
  </w:style>
  <w:style w:type="character" w:customStyle="1" w:styleId="CommentTextChar">
    <w:name w:val="Comment Text Char"/>
    <w:basedOn w:val="DefaultParagraphFont"/>
    <w:link w:val="CommentText"/>
    <w:uiPriority w:val="99"/>
    <w:semiHidden/>
    <w:rsid w:val="001D176F"/>
    <w:rPr>
      <w:sz w:val="20"/>
      <w:szCs w:val="20"/>
      <w:lang w:val="sq-AL"/>
    </w:rPr>
  </w:style>
  <w:style w:type="paragraph" w:styleId="CommentSubject">
    <w:name w:val="annotation subject"/>
    <w:basedOn w:val="CommentText"/>
    <w:next w:val="CommentText"/>
    <w:link w:val="CommentSubjectChar"/>
    <w:uiPriority w:val="99"/>
    <w:semiHidden/>
    <w:unhideWhenUsed/>
    <w:rsid w:val="001D176F"/>
    <w:rPr>
      <w:b/>
      <w:bCs/>
    </w:rPr>
  </w:style>
  <w:style w:type="character" w:customStyle="1" w:styleId="CommentSubjectChar">
    <w:name w:val="Comment Subject Char"/>
    <w:basedOn w:val="CommentTextChar"/>
    <w:link w:val="CommentSubject"/>
    <w:uiPriority w:val="99"/>
    <w:semiHidden/>
    <w:rsid w:val="001D176F"/>
    <w:rPr>
      <w:b/>
      <w:bCs/>
      <w:sz w:val="20"/>
      <w:szCs w:val="20"/>
      <w:lang w:val="sq-AL"/>
    </w:rPr>
  </w:style>
  <w:style w:type="paragraph" w:styleId="BalloonText">
    <w:name w:val="Balloon Text"/>
    <w:basedOn w:val="Normal"/>
    <w:link w:val="BalloonTextChar"/>
    <w:uiPriority w:val="99"/>
    <w:semiHidden/>
    <w:unhideWhenUsed/>
    <w:rsid w:val="001D17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76F"/>
    <w:rPr>
      <w:rFonts w:ascii="Segoe UI" w:hAnsi="Segoe UI" w:cs="Segoe UI"/>
      <w:sz w:val="18"/>
      <w:szCs w:val="18"/>
      <w:lang w:val="sq-AL"/>
    </w:rPr>
  </w:style>
  <w:style w:type="paragraph" w:styleId="Revision">
    <w:name w:val="Revision"/>
    <w:hidden/>
    <w:uiPriority w:val="99"/>
    <w:semiHidden/>
    <w:rsid w:val="00855DCB"/>
    <w:pPr>
      <w:spacing w:after="0" w:line="240" w:lineRule="auto"/>
    </w:pPr>
    <w:rPr>
      <w:lang w:val="sq-AL"/>
    </w:rPr>
  </w:style>
  <w:style w:type="character" w:styleId="Hyperlink">
    <w:name w:val="Hyperlink"/>
    <w:basedOn w:val="DefaultParagraphFont"/>
    <w:uiPriority w:val="99"/>
    <w:unhideWhenUsed/>
    <w:rsid w:val="00691E3F"/>
    <w:rPr>
      <w:color w:val="0563C1"/>
      <w:u w:val="single"/>
    </w:rPr>
  </w:style>
  <w:style w:type="table" w:customStyle="1" w:styleId="TableGrid1">
    <w:name w:val="Table Grid1"/>
    <w:basedOn w:val="TableNormal"/>
    <w:next w:val="TableGrid"/>
    <w:uiPriority w:val="39"/>
    <w:rsid w:val="00691E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MS Mincho"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75393"/>
    <w:pPr>
      <w:autoSpaceDE w:val="0"/>
      <w:autoSpaceDN w:val="0"/>
      <w:adjustRightInd w:val="0"/>
      <w:spacing w:after="0" w:line="240" w:lineRule="auto"/>
    </w:pPr>
    <w:rPr>
      <w:rFonts w:ascii="EU Albertina" w:hAnsi="EU Albertina" w:cs="EU Albertina"/>
      <w:color w:val="000000"/>
      <w:sz w:val="24"/>
      <w:szCs w:val="24"/>
    </w:rPr>
  </w:style>
  <w:style w:type="paragraph" w:styleId="ListParagraph">
    <w:name w:val="List Paragraph"/>
    <w:basedOn w:val="Normal"/>
    <w:uiPriority w:val="34"/>
    <w:qFormat/>
    <w:rsid w:val="00275393"/>
    <w:pPr>
      <w:ind w:left="720"/>
      <w:contextualSpacing/>
    </w:pPr>
  </w:style>
  <w:style w:type="table" w:styleId="TableGrid">
    <w:name w:val="Table Grid"/>
    <w:basedOn w:val="TableNormal"/>
    <w:uiPriority w:val="39"/>
    <w:rsid w:val="00A446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1D176F"/>
    <w:rPr>
      <w:sz w:val="16"/>
      <w:szCs w:val="16"/>
    </w:rPr>
  </w:style>
  <w:style w:type="paragraph" w:styleId="CommentText">
    <w:name w:val="annotation text"/>
    <w:basedOn w:val="Normal"/>
    <w:link w:val="CommentTextChar"/>
    <w:uiPriority w:val="99"/>
    <w:semiHidden/>
    <w:unhideWhenUsed/>
    <w:rsid w:val="001D176F"/>
    <w:pPr>
      <w:spacing w:line="240" w:lineRule="auto"/>
    </w:pPr>
    <w:rPr>
      <w:sz w:val="20"/>
      <w:szCs w:val="20"/>
    </w:rPr>
  </w:style>
  <w:style w:type="character" w:customStyle="1" w:styleId="CommentTextChar">
    <w:name w:val="Comment Text Char"/>
    <w:basedOn w:val="DefaultParagraphFont"/>
    <w:link w:val="CommentText"/>
    <w:uiPriority w:val="99"/>
    <w:semiHidden/>
    <w:rsid w:val="001D176F"/>
    <w:rPr>
      <w:sz w:val="20"/>
      <w:szCs w:val="20"/>
      <w:lang w:val="sq-AL"/>
    </w:rPr>
  </w:style>
  <w:style w:type="paragraph" w:styleId="CommentSubject">
    <w:name w:val="annotation subject"/>
    <w:basedOn w:val="CommentText"/>
    <w:next w:val="CommentText"/>
    <w:link w:val="CommentSubjectChar"/>
    <w:uiPriority w:val="99"/>
    <w:semiHidden/>
    <w:unhideWhenUsed/>
    <w:rsid w:val="001D176F"/>
    <w:rPr>
      <w:b/>
      <w:bCs/>
    </w:rPr>
  </w:style>
  <w:style w:type="character" w:customStyle="1" w:styleId="CommentSubjectChar">
    <w:name w:val="Comment Subject Char"/>
    <w:basedOn w:val="CommentTextChar"/>
    <w:link w:val="CommentSubject"/>
    <w:uiPriority w:val="99"/>
    <w:semiHidden/>
    <w:rsid w:val="001D176F"/>
    <w:rPr>
      <w:b/>
      <w:bCs/>
      <w:sz w:val="20"/>
      <w:szCs w:val="20"/>
      <w:lang w:val="sq-AL"/>
    </w:rPr>
  </w:style>
  <w:style w:type="paragraph" w:styleId="BalloonText">
    <w:name w:val="Balloon Text"/>
    <w:basedOn w:val="Normal"/>
    <w:link w:val="BalloonTextChar"/>
    <w:uiPriority w:val="99"/>
    <w:semiHidden/>
    <w:unhideWhenUsed/>
    <w:rsid w:val="001D17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76F"/>
    <w:rPr>
      <w:rFonts w:ascii="Segoe UI" w:hAnsi="Segoe UI" w:cs="Segoe UI"/>
      <w:sz w:val="18"/>
      <w:szCs w:val="18"/>
      <w:lang w:val="sq-AL"/>
    </w:rPr>
  </w:style>
  <w:style w:type="paragraph" w:styleId="Revision">
    <w:name w:val="Revision"/>
    <w:hidden/>
    <w:uiPriority w:val="99"/>
    <w:semiHidden/>
    <w:rsid w:val="00855DCB"/>
    <w:pPr>
      <w:spacing w:after="0" w:line="240" w:lineRule="auto"/>
    </w:pPr>
    <w:rPr>
      <w:lang w:val="sq-AL"/>
    </w:rPr>
  </w:style>
  <w:style w:type="character" w:styleId="Hyperlink">
    <w:name w:val="Hyperlink"/>
    <w:basedOn w:val="DefaultParagraphFont"/>
    <w:uiPriority w:val="99"/>
    <w:unhideWhenUsed/>
    <w:rsid w:val="00691E3F"/>
    <w:rPr>
      <w:color w:val="0563C1"/>
      <w:u w:val="single"/>
    </w:rPr>
  </w:style>
  <w:style w:type="table" w:customStyle="1" w:styleId="TableGrid1">
    <w:name w:val="Table Grid1"/>
    <w:basedOn w:val="TableNormal"/>
    <w:next w:val="TableGrid"/>
    <w:uiPriority w:val="39"/>
    <w:rsid w:val="00691E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1396578">
      <w:bodyDiv w:val="1"/>
      <w:marLeft w:val="0"/>
      <w:marRight w:val="0"/>
      <w:marTop w:val="0"/>
      <w:marBottom w:val="0"/>
      <w:divBdr>
        <w:top w:val="none" w:sz="0" w:space="0" w:color="auto"/>
        <w:left w:val="none" w:sz="0" w:space="0" w:color="auto"/>
        <w:bottom w:val="none" w:sz="0" w:space="0" w:color="auto"/>
        <w:right w:val="none" w:sz="0" w:space="0" w:color="auto"/>
      </w:divBdr>
    </w:div>
    <w:div w:id="148531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eur-lex.europa.eu/legal-content/EN/TXT/HTML/?uri=CELEX:32014R1374&amp;from=EN"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hyperlink" Target="https://eur-lex.europa.eu/legal-content/EN/TXT/HTML/?uri=CELEX:32014R1374&amp;from=E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lex.europa.eu/legal-content/EN/TXT/HTML/?uri=CELEX:32014R1374&amp;from=EN"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eur-lex.europa.eu/legal-content/EN/TXT/HTML/?uri=CELEX:32014R1374&amp;from=EN"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449C4538B2654B43939D3A2881F7F75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65</Nr_x002e__x0020_akti>
    <Data_x0020_e_x0020_Krijimit xmlns="0e656187-b300-4fb0-8bf4-3a50f872073c">2022-12-28T14:11:33Z</Data_x0020_e_x0020_Krijimit>
    <URL xmlns="0e656187-b300-4fb0-8bf4-3a50f872073c" xsi:nil="true"/>
    <Institucion_x0020_Pergjegjes xmlns="0e656187-b300-4fb0-8bf4-3a50f872073c">http://qbz.gov.al/resource/authority/legal-institution/8|banka-e-shqiperise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2022-12-27T23:00:00Z</Date_x0020_protokolli>
    <Titulli xmlns="0e656187-b300-4fb0-8bf4-3a50f872073c">Për miratimin e rregullores "Për raportimin statistikor të mjeteve dhe detyrimeve të shoqërive të sigurimit"</Titulli>
    <Modifikuesi xmlns="0e656187-b300-4fb0-8bf4-3a50f872073c">jorina.kryeziu</Modifikuesi>
    <Nr_x002e__x0020_prot_x0020_QBZ xmlns="0e656187-b300-4fb0-8bf4-3a50f872073c">1917/6</Nr_x002e__x0020_prot_x0020_QBZ>
    <Data_x0020_e_x0020_Modifikimit xmlns="0e656187-b300-4fb0-8bf4-3a50f872073c">2023-01-04T12:21:08Z</Data_x0020_e_x0020_Modifikimit>
    <Dekretuar xmlns="0e656187-b300-4fb0-8bf4-3a50f872073c">false</Dekretuar>
    <Data xmlns="0e656187-b300-4fb0-8bf4-3a50f872073c">2022-12-20T23:00:00Z</Data>
    <Nr_x002e__x0020_protokolli_x0020_i_x0020_aktit xmlns="0e656187-b300-4fb0-8bf4-3a50f872073c">5591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kt ligjor" ma:contentTypeID="0x010100449C4538B2654B43939D3A2881F7F752"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FD67F-A447-4569-8B2D-E1D553304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799CDD9-7465-4DE8-BB1E-6705F5ADC8D5}">
  <ds:schemaRefs>
    <ds:schemaRef ds:uri="http://www.w3.org/XML/1998/namespace"/>
    <ds:schemaRef ds:uri="http://purl.org/dc/elements/1.1/"/>
    <ds:schemaRef ds:uri="http://purl.org/dc/terms/"/>
    <ds:schemaRef ds:uri="http://schemas.microsoft.com/office/2006/documentManagement/types"/>
    <ds:schemaRef ds:uri="http://schemas.microsoft.com/office/2006/metadata/properties"/>
    <ds:schemaRef ds:uri="http://schemas.openxmlformats.org/package/2006/metadata/core-properties"/>
    <ds:schemaRef ds:uri="0e656187-b300-4fb0-8bf4-3a50f872073c"/>
    <ds:schemaRef ds:uri="http://purl.org/dc/dcmitype/"/>
  </ds:schemaRefs>
</ds:datastoreItem>
</file>

<file path=customXml/itemProps3.xml><?xml version="1.0" encoding="utf-8"?>
<ds:datastoreItem xmlns:ds="http://schemas.openxmlformats.org/officeDocument/2006/customXml" ds:itemID="{DBB56598-8CDD-4AC3-BBCD-0D47AC734D98}">
  <ds:schemaRefs>
    <ds:schemaRef ds:uri="http://schemas.microsoft.com/sharepoint/v3/contenttype/forms"/>
  </ds:schemaRefs>
</ds:datastoreItem>
</file>

<file path=customXml/itemProps4.xml><?xml version="1.0" encoding="utf-8"?>
<ds:datastoreItem xmlns:ds="http://schemas.openxmlformats.org/officeDocument/2006/customXml" ds:itemID="{2A95DD99-80AB-4129-816F-1D9041C96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FE149A46-84CB-4063-A3FD-3C0CE1220E37}">
  <ds:schemaRefs>
    <ds:schemaRef ds:uri="http://schemas.microsoft.com/sharepoint/v3/contenttype/forms"/>
  </ds:schemaRefs>
</ds:datastoreItem>
</file>

<file path=customXml/itemProps6.xml><?xml version="1.0" encoding="utf-8"?>
<ds:datastoreItem xmlns:ds="http://schemas.openxmlformats.org/officeDocument/2006/customXml" ds:itemID="{651BFB9A-6271-40AF-BF76-4F4F85832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27</Pages>
  <Words>10148</Words>
  <Characters>57847</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Për miratimin e rregullores "Për raportimin statistikor të mjeteve dhe detyrimeve të shoqërive të sigurimit"</vt:lpstr>
    </vt:vector>
  </TitlesOfParts>
  <Company/>
  <LinksUpToDate>false</LinksUpToDate>
  <CharactersWithSpaces>67860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rregullores "Për raportimin statistikor të mjeteve dhe detyrimeve të shoqërive të sigurimit"</dc:title>
  <dc:creator>Majela Smakaj (Collaku)</dc:creator>
  <cp:lastModifiedBy>Valjeta Kaftalli</cp:lastModifiedBy>
  <cp:revision>45</cp:revision>
  <cp:lastPrinted>2022-12-23T09:34:00Z</cp:lastPrinted>
  <dcterms:created xsi:type="dcterms:W3CDTF">2022-12-21T13:29:00Z</dcterms:created>
  <dcterms:modified xsi:type="dcterms:W3CDTF">2023-01-05T09:05:00Z</dcterms:modified>
</cp:coreProperties>
</file>