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2D4CAA" w14:textId="7D393377" w:rsidR="008921A4" w:rsidRPr="00E76B69" w:rsidRDefault="008921A4" w:rsidP="00D023FD">
      <w:pPr>
        <w:widowControl w:val="0"/>
        <w:autoSpaceDE w:val="0"/>
        <w:autoSpaceDN w:val="0"/>
        <w:adjustRightInd w:val="0"/>
        <w:spacing w:after="0" w:line="240" w:lineRule="auto"/>
        <w:ind w:firstLine="284"/>
        <w:jc w:val="center"/>
        <w:rPr>
          <w:rFonts w:ascii="Garamond" w:hAnsi="Garamond" w:cs="Times New Roman"/>
          <w:b/>
          <w:bCs/>
          <w:color w:val="000000"/>
          <w:sz w:val="24"/>
          <w:szCs w:val="24"/>
        </w:rPr>
      </w:pPr>
      <w:r w:rsidRPr="00E76B69">
        <w:rPr>
          <w:rFonts w:ascii="Garamond" w:hAnsi="Garamond" w:cs="Times New Roman"/>
          <w:b/>
          <w:bCs/>
          <w:color w:val="000000"/>
          <w:sz w:val="24"/>
          <w:szCs w:val="24"/>
        </w:rPr>
        <w:t>VENDIM</w:t>
      </w:r>
      <w:r w:rsidR="00BD41B0">
        <w:rPr>
          <w:rFonts w:ascii="Garamond" w:hAnsi="Garamond" w:cs="Times New Roman"/>
          <w:b/>
          <w:bCs/>
          <w:color w:val="000000"/>
          <w:sz w:val="24"/>
          <w:szCs w:val="24"/>
        </w:rPr>
        <w:t xml:space="preserve"> </w:t>
      </w:r>
    </w:p>
    <w:p w14:paraId="66E2FBA9" w14:textId="77777777" w:rsidR="008921A4" w:rsidRPr="00E76B69" w:rsidRDefault="008921A4" w:rsidP="00D023FD">
      <w:pPr>
        <w:widowControl w:val="0"/>
        <w:autoSpaceDE w:val="0"/>
        <w:autoSpaceDN w:val="0"/>
        <w:adjustRightInd w:val="0"/>
        <w:spacing w:after="0" w:line="240" w:lineRule="auto"/>
        <w:ind w:firstLine="284"/>
        <w:jc w:val="center"/>
        <w:rPr>
          <w:rFonts w:ascii="Garamond" w:hAnsi="Garamond" w:cs="Times New Roman"/>
          <w:b/>
          <w:bCs/>
          <w:color w:val="000000"/>
          <w:sz w:val="24"/>
          <w:szCs w:val="24"/>
        </w:rPr>
      </w:pPr>
      <w:r w:rsidRPr="00E76B69">
        <w:rPr>
          <w:rFonts w:ascii="Garamond" w:hAnsi="Garamond" w:cs="Times New Roman"/>
          <w:b/>
          <w:bCs/>
          <w:color w:val="000000"/>
          <w:sz w:val="24"/>
          <w:szCs w:val="24"/>
        </w:rPr>
        <w:t>Nr. 10, datë 7.2.2024</w:t>
      </w:r>
    </w:p>
    <w:p w14:paraId="2CDD5D6F" w14:textId="77777777" w:rsidR="008921A4" w:rsidRPr="00E76B69" w:rsidRDefault="008921A4" w:rsidP="00D023FD">
      <w:pPr>
        <w:widowControl w:val="0"/>
        <w:autoSpaceDE w:val="0"/>
        <w:autoSpaceDN w:val="0"/>
        <w:adjustRightInd w:val="0"/>
        <w:spacing w:after="0" w:line="240" w:lineRule="auto"/>
        <w:ind w:firstLine="284"/>
        <w:jc w:val="center"/>
        <w:rPr>
          <w:rFonts w:ascii="Garamond" w:hAnsi="Garamond" w:cs="Times New Roman"/>
          <w:b/>
          <w:bCs/>
          <w:color w:val="000000"/>
          <w:sz w:val="24"/>
          <w:szCs w:val="24"/>
        </w:rPr>
      </w:pPr>
    </w:p>
    <w:p w14:paraId="43563966" w14:textId="77777777" w:rsidR="008921A4" w:rsidRPr="00E76B69" w:rsidRDefault="00635FDC" w:rsidP="00D023FD">
      <w:pPr>
        <w:widowControl w:val="0"/>
        <w:autoSpaceDE w:val="0"/>
        <w:autoSpaceDN w:val="0"/>
        <w:adjustRightInd w:val="0"/>
        <w:spacing w:after="0" w:line="240" w:lineRule="auto"/>
        <w:ind w:firstLine="284"/>
        <w:jc w:val="center"/>
        <w:rPr>
          <w:rFonts w:ascii="Garamond" w:hAnsi="Garamond" w:cs="Times New Roman"/>
          <w:b/>
          <w:bCs/>
          <w:smallCaps/>
          <w:color w:val="000000"/>
          <w:sz w:val="24"/>
          <w:szCs w:val="24"/>
        </w:rPr>
      </w:pPr>
      <w:r w:rsidRPr="00E76B69">
        <w:rPr>
          <w:rFonts w:ascii="Garamond" w:hAnsi="Garamond" w:cs="Times New Roman"/>
          <w:b/>
          <w:bCs/>
          <w:smallCaps/>
          <w:color w:val="000000"/>
          <w:sz w:val="24"/>
          <w:szCs w:val="24"/>
        </w:rPr>
        <w:t xml:space="preserve">PËR MIRATIMIN E UDHËZIMIT </w:t>
      </w:r>
    </w:p>
    <w:p w14:paraId="5DE4E23B" w14:textId="1F96617E" w:rsidR="008921A4" w:rsidRPr="00E76B69" w:rsidRDefault="00E76B69" w:rsidP="00D023FD">
      <w:pPr>
        <w:widowControl w:val="0"/>
        <w:autoSpaceDE w:val="0"/>
        <w:autoSpaceDN w:val="0"/>
        <w:adjustRightInd w:val="0"/>
        <w:spacing w:after="0" w:line="240" w:lineRule="auto"/>
        <w:ind w:firstLine="284"/>
        <w:jc w:val="center"/>
        <w:rPr>
          <w:rFonts w:ascii="Garamond" w:hAnsi="Garamond" w:cs="Times New Roman"/>
          <w:b/>
          <w:bCs/>
          <w:smallCaps/>
          <w:color w:val="000000"/>
          <w:sz w:val="24"/>
          <w:szCs w:val="24"/>
        </w:rPr>
      </w:pPr>
      <w:r>
        <w:rPr>
          <w:rFonts w:ascii="Garamond" w:hAnsi="Garamond" w:cs="Times New Roman"/>
          <w:b/>
          <w:bCs/>
          <w:smallCaps/>
          <w:color w:val="000000"/>
          <w:sz w:val="24"/>
          <w:szCs w:val="24"/>
        </w:rPr>
        <w:t>“</w:t>
      </w:r>
      <w:r w:rsidR="00635FDC" w:rsidRPr="00E76B69">
        <w:rPr>
          <w:rFonts w:ascii="Garamond" w:hAnsi="Garamond" w:cs="Times New Roman"/>
          <w:b/>
          <w:bCs/>
          <w:smallCaps/>
          <w:color w:val="000000"/>
          <w:sz w:val="24"/>
          <w:szCs w:val="24"/>
        </w:rPr>
        <w:t>PËR</w:t>
      </w:r>
      <w:r w:rsidR="00BD41B0">
        <w:rPr>
          <w:rFonts w:ascii="Garamond" w:hAnsi="Garamond" w:cs="Times New Roman"/>
          <w:b/>
          <w:bCs/>
          <w:smallCaps/>
          <w:color w:val="000000"/>
          <w:sz w:val="24"/>
          <w:szCs w:val="24"/>
        </w:rPr>
        <w:t xml:space="preserve"> </w:t>
      </w:r>
      <w:r w:rsidR="00635FDC" w:rsidRPr="00E76B69">
        <w:rPr>
          <w:rFonts w:ascii="Garamond" w:hAnsi="Garamond" w:cs="Times New Roman"/>
          <w:b/>
          <w:bCs/>
          <w:smallCaps/>
          <w:color w:val="000000"/>
          <w:sz w:val="24"/>
          <w:szCs w:val="24"/>
        </w:rPr>
        <w:t>RAPORTIMIN E INCIDENTEVE MADHORE</w:t>
      </w:r>
      <w:r>
        <w:rPr>
          <w:rFonts w:ascii="Garamond" w:hAnsi="Garamond" w:cs="Times New Roman"/>
          <w:b/>
          <w:bCs/>
          <w:smallCaps/>
          <w:color w:val="000000"/>
          <w:sz w:val="24"/>
          <w:szCs w:val="24"/>
        </w:rPr>
        <w:t>”</w:t>
      </w:r>
    </w:p>
    <w:p w14:paraId="30C7EC04" w14:textId="77777777" w:rsidR="008921A4" w:rsidRPr="00E76B69" w:rsidRDefault="008921A4" w:rsidP="00D023FD">
      <w:pPr>
        <w:widowControl w:val="0"/>
        <w:autoSpaceDE w:val="0"/>
        <w:autoSpaceDN w:val="0"/>
        <w:adjustRightInd w:val="0"/>
        <w:spacing w:after="0" w:line="240" w:lineRule="auto"/>
        <w:ind w:firstLine="284"/>
        <w:jc w:val="center"/>
        <w:rPr>
          <w:rFonts w:ascii="Garamond" w:hAnsi="Garamond" w:cs="Times New Roman"/>
          <w:b/>
          <w:bCs/>
          <w:color w:val="000000"/>
          <w:sz w:val="24"/>
          <w:szCs w:val="24"/>
        </w:rPr>
      </w:pPr>
    </w:p>
    <w:p w14:paraId="00B63597" w14:textId="06E14225"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color w:val="000000"/>
          <w:sz w:val="24"/>
          <w:szCs w:val="24"/>
        </w:rPr>
      </w:pPr>
      <w:r w:rsidRPr="00E76B69">
        <w:rPr>
          <w:rFonts w:ascii="Garamond" w:hAnsi="Garamond" w:cs="Times New Roman"/>
          <w:color w:val="000000"/>
          <w:sz w:val="24"/>
          <w:szCs w:val="24"/>
        </w:rPr>
        <w:t>Në bazë dhe për zbatim të nenit 1, pika 4, shkronja “b”</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w:t>
      </w:r>
      <w:r w:rsidR="00E76B69" w:rsidRPr="00E76B69">
        <w:rPr>
          <w:rFonts w:ascii="Garamond" w:hAnsi="Garamond" w:cs="Times New Roman"/>
          <w:color w:val="000000"/>
          <w:sz w:val="24"/>
          <w:szCs w:val="24"/>
        </w:rPr>
        <w:t xml:space="preserve">të </w:t>
      </w:r>
      <w:r w:rsidRPr="00E76B69">
        <w:rPr>
          <w:rFonts w:ascii="Garamond" w:hAnsi="Garamond" w:cs="Times New Roman"/>
          <w:color w:val="000000"/>
          <w:sz w:val="24"/>
          <w:szCs w:val="24"/>
        </w:rPr>
        <w:t>nenit 12, shkronja “a” dhe nenit 43, shkronja “c”</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të ligjit nr. 8269, datë 23.12.1997</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“Për Bankën e Shqipërisë”, </w:t>
      </w:r>
      <w:r w:rsidR="00E76B69" w:rsidRPr="00E76B69">
        <w:rPr>
          <w:rFonts w:ascii="Garamond" w:hAnsi="Garamond" w:cs="Times New Roman"/>
          <w:color w:val="000000"/>
          <w:sz w:val="24"/>
          <w:szCs w:val="24"/>
        </w:rPr>
        <w:t>të</w:t>
      </w:r>
      <w:r w:rsidRPr="00E76B69">
        <w:rPr>
          <w:rFonts w:ascii="Garamond" w:hAnsi="Garamond" w:cs="Times New Roman"/>
          <w:color w:val="000000"/>
          <w:sz w:val="24"/>
          <w:szCs w:val="24"/>
        </w:rPr>
        <w:t xml:space="preserve"> ndryshuar; dhe të nenit 89</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të ligjit nr. 55/2020, datë 30.4.2020</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“Për shërbimet e pagesave”; Këshilli Mbikëqyrës i Bankës së Shqipërisë, me propozimin e Departamentit të Mbikëqyrjes,</w:t>
      </w:r>
    </w:p>
    <w:p w14:paraId="6932970D" w14:textId="77777777" w:rsidR="008921A4" w:rsidRPr="00E76B69" w:rsidRDefault="008921A4" w:rsidP="00D023FD">
      <w:pPr>
        <w:widowControl w:val="0"/>
        <w:autoSpaceDE w:val="0"/>
        <w:autoSpaceDN w:val="0"/>
        <w:adjustRightInd w:val="0"/>
        <w:spacing w:after="0" w:line="240" w:lineRule="auto"/>
        <w:ind w:firstLine="284"/>
        <w:jc w:val="center"/>
        <w:rPr>
          <w:rFonts w:ascii="Garamond" w:hAnsi="Garamond" w:cs="Times New Roman"/>
          <w:color w:val="000000"/>
          <w:sz w:val="24"/>
          <w:szCs w:val="24"/>
        </w:rPr>
      </w:pPr>
    </w:p>
    <w:p w14:paraId="54D9CC94" w14:textId="77777777" w:rsidR="008921A4" w:rsidRPr="00E76B69" w:rsidRDefault="008921A4" w:rsidP="00D023FD">
      <w:pPr>
        <w:widowControl w:val="0"/>
        <w:autoSpaceDE w:val="0"/>
        <w:autoSpaceDN w:val="0"/>
        <w:adjustRightInd w:val="0"/>
        <w:spacing w:after="0" w:line="240" w:lineRule="auto"/>
        <w:ind w:firstLine="284"/>
        <w:jc w:val="center"/>
        <w:rPr>
          <w:rFonts w:ascii="Garamond" w:hAnsi="Garamond" w:cs="Times New Roman"/>
          <w:color w:val="000000"/>
          <w:sz w:val="24"/>
          <w:szCs w:val="24"/>
        </w:rPr>
      </w:pPr>
      <w:r w:rsidRPr="00E76B69">
        <w:rPr>
          <w:rFonts w:ascii="Garamond" w:hAnsi="Garamond" w:cs="Times New Roman"/>
          <w:color w:val="000000"/>
          <w:sz w:val="24"/>
          <w:szCs w:val="24"/>
        </w:rPr>
        <w:t>VENDOSI:</w:t>
      </w:r>
    </w:p>
    <w:p w14:paraId="428A1C90" w14:textId="77777777" w:rsidR="008921A4" w:rsidRPr="00E76B69" w:rsidRDefault="008921A4" w:rsidP="00D023FD">
      <w:pPr>
        <w:widowControl w:val="0"/>
        <w:autoSpaceDE w:val="0"/>
        <w:autoSpaceDN w:val="0"/>
        <w:adjustRightInd w:val="0"/>
        <w:spacing w:after="0" w:line="240" w:lineRule="auto"/>
        <w:ind w:firstLine="284"/>
        <w:rPr>
          <w:rFonts w:ascii="Garamond" w:hAnsi="Garamond" w:cs="Times New Roman"/>
          <w:color w:val="000000"/>
          <w:sz w:val="24"/>
          <w:szCs w:val="24"/>
        </w:rPr>
      </w:pPr>
    </w:p>
    <w:p w14:paraId="47768F23"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1.</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Të miratojë udhëzimin “Për raportimin e incidenteve madhore”, sipas tekstit bashkëlidhur këtij vendimi.</w:t>
      </w:r>
    </w:p>
    <w:p w14:paraId="2A5E0EDA"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2.</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Ngarkohen ofruesit e shërbimeve të pagesave për zbatimin e këtij vendimi.</w:t>
      </w:r>
    </w:p>
    <w:p w14:paraId="756C9291"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Ngarkohet Departamenti i Mbikëqyrjes për ndjekjen e zbatimit të këtij vendimi.</w:t>
      </w:r>
    </w:p>
    <w:p w14:paraId="613FA88E"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4.</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Ngarkohen Kabineti i Guvernatorit dhe Departamenti i Kërkimeve me publikimin e këtij vendimi, përkatësisht në Fletoren Zyrtare dhe në Buletinin Zyrtar të Bankës së Shqipërisë.</w:t>
      </w:r>
    </w:p>
    <w:p w14:paraId="6CB61CF1" w14:textId="5FDBE84D" w:rsid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Ky vendim hyn më fuqi më 1 mars 2024 dhe botohet në Fletoren Zyrtare.</w:t>
      </w:r>
    </w:p>
    <w:p w14:paraId="3B6CD412" w14:textId="02CBCF49" w:rsidR="00E76B69" w:rsidRDefault="00E76B69" w:rsidP="00E76B69">
      <w:pPr>
        <w:widowControl w:val="0"/>
        <w:autoSpaceDE w:val="0"/>
        <w:autoSpaceDN w:val="0"/>
        <w:adjustRightInd w:val="0"/>
        <w:spacing w:after="0" w:line="240" w:lineRule="auto"/>
        <w:ind w:firstLine="284"/>
        <w:jc w:val="right"/>
        <w:rPr>
          <w:rFonts w:ascii="Garamond" w:hAnsi="Garamond" w:cs="Times New Roman"/>
          <w:b/>
          <w:bCs/>
          <w:color w:val="000000"/>
          <w:sz w:val="24"/>
          <w:szCs w:val="24"/>
        </w:rPr>
      </w:pPr>
      <w:r w:rsidRPr="00E76B69">
        <w:rPr>
          <w:rFonts w:ascii="Garamond" w:hAnsi="Garamond" w:cs="Times New Roman"/>
          <w:bCs/>
          <w:color w:val="000000"/>
          <w:sz w:val="24"/>
          <w:szCs w:val="24"/>
        </w:rPr>
        <w:t>KRYETAR</w:t>
      </w:r>
    </w:p>
    <w:p w14:paraId="3A29C3BC" w14:textId="6DF3C22B" w:rsidR="008921A4" w:rsidRPr="00E76B69" w:rsidRDefault="00E76B69" w:rsidP="00E76B69">
      <w:pPr>
        <w:widowControl w:val="0"/>
        <w:autoSpaceDE w:val="0"/>
        <w:autoSpaceDN w:val="0"/>
        <w:adjustRightInd w:val="0"/>
        <w:spacing w:after="0" w:line="240" w:lineRule="auto"/>
        <w:ind w:firstLine="284"/>
        <w:jc w:val="right"/>
        <w:rPr>
          <w:rFonts w:ascii="Garamond" w:hAnsi="Garamond" w:cs="Times New Roman"/>
          <w:color w:val="000000"/>
          <w:sz w:val="24"/>
          <w:szCs w:val="24"/>
        </w:rPr>
      </w:pPr>
      <w:r w:rsidRPr="00E76B69">
        <w:rPr>
          <w:rFonts w:ascii="Garamond" w:hAnsi="Garamond" w:cs="Times New Roman"/>
          <w:b/>
          <w:bCs/>
          <w:color w:val="000000"/>
          <w:sz w:val="24"/>
          <w:szCs w:val="24"/>
        </w:rPr>
        <w:t>Gent Sejko</w:t>
      </w:r>
    </w:p>
    <w:p w14:paraId="6F46D93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p>
    <w:p w14:paraId="68BADD1D" w14:textId="77777777" w:rsidR="00E76B69" w:rsidRPr="00E76B69" w:rsidRDefault="00E76B69" w:rsidP="00E76B69">
      <w:pPr>
        <w:widowControl w:val="0"/>
        <w:autoSpaceDE w:val="0"/>
        <w:autoSpaceDN w:val="0"/>
        <w:adjustRightInd w:val="0"/>
        <w:spacing w:after="0" w:line="240" w:lineRule="auto"/>
        <w:ind w:firstLine="284"/>
        <w:jc w:val="center"/>
        <w:rPr>
          <w:rFonts w:ascii="Garamond" w:hAnsi="Garamond" w:cs="Times New Roman"/>
          <w:color w:val="000000"/>
          <w:sz w:val="24"/>
          <w:szCs w:val="24"/>
        </w:rPr>
      </w:pPr>
    </w:p>
    <w:p w14:paraId="55AA1234"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bCs/>
          <w:color w:val="000000"/>
          <w:sz w:val="24"/>
          <w:szCs w:val="24"/>
        </w:rPr>
      </w:pPr>
      <w:r w:rsidRPr="00E76B69">
        <w:rPr>
          <w:rFonts w:ascii="Garamond" w:hAnsi="Garamond" w:cs="Times New Roman"/>
          <w:bCs/>
          <w:color w:val="000000"/>
          <w:sz w:val="24"/>
          <w:szCs w:val="24"/>
        </w:rPr>
        <w:t>1.</w:t>
      </w:r>
      <w:r w:rsidR="00635FDC" w:rsidRPr="00E76B69">
        <w:rPr>
          <w:rFonts w:ascii="Garamond" w:hAnsi="Garamond" w:cs="Times New Roman"/>
          <w:bCs/>
          <w:color w:val="000000"/>
          <w:sz w:val="24"/>
          <w:szCs w:val="24"/>
        </w:rPr>
        <w:t xml:space="preserve"> </w:t>
      </w:r>
      <w:r w:rsidRPr="00E76B69">
        <w:rPr>
          <w:rFonts w:ascii="Garamond" w:hAnsi="Garamond" w:cs="Times New Roman"/>
          <w:bCs/>
          <w:color w:val="000000"/>
          <w:sz w:val="24"/>
          <w:szCs w:val="24"/>
        </w:rPr>
        <w:t>KËRKESA TË PËRGJITHSHME</w:t>
      </w:r>
    </w:p>
    <w:p w14:paraId="788931A6" w14:textId="63C19F57" w:rsidR="008921A4" w:rsidRPr="00E76B69" w:rsidRDefault="008921A4"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b/>
          <w:bCs/>
          <w:color w:val="000000"/>
          <w:sz w:val="24"/>
          <w:szCs w:val="24"/>
        </w:rPr>
      </w:pPr>
      <w:r w:rsidRPr="00E76B69">
        <w:rPr>
          <w:rFonts w:ascii="Garamond" w:hAnsi="Garamond" w:cs="Times New Roman"/>
          <w:b/>
          <w:bCs/>
          <w:color w:val="000000"/>
          <w:sz w:val="24"/>
          <w:szCs w:val="24"/>
        </w:rPr>
        <w:t>1.1</w:t>
      </w:r>
      <w:r w:rsidR="00635FDC" w:rsidRPr="00E76B69">
        <w:rPr>
          <w:rFonts w:ascii="Garamond" w:hAnsi="Garamond" w:cs="Times New Roman"/>
          <w:b/>
          <w:bCs/>
          <w:color w:val="000000"/>
          <w:sz w:val="24"/>
          <w:szCs w:val="24"/>
        </w:rPr>
        <w:t xml:space="preserve"> </w:t>
      </w:r>
      <w:r w:rsidRPr="00E76B69">
        <w:rPr>
          <w:rFonts w:ascii="Garamond" w:hAnsi="Garamond" w:cs="Times New Roman"/>
          <w:b/>
          <w:bCs/>
          <w:color w:val="000000"/>
          <w:sz w:val="24"/>
          <w:szCs w:val="24"/>
        </w:rPr>
        <w:t>Objekti i udhëzimit</w:t>
      </w:r>
    </w:p>
    <w:p w14:paraId="4242A890"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Objekti i këtij udhëzimi është përcaktimi i:</w:t>
      </w:r>
    </w:p>
    <w:p w14:paraId="12496E83" w14:textId="508E05CD"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a)</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kritereve për klasifikimin e incidenteve operacionale ose të sigurisë si incidente madhore, nga ofruesit e shërbimeve të pagesave</w:t>
      </w:r>
      <w:r w:rsidR="00E76B69">
        <w:rPr>
          <w:rFonts w:ascii="Garamond" w:hAnsi="Garamond" w:cs="Times New Roman"/>
          <w:color w:val="000000"/>
          <w:sz w:val="24"/>
          <w:szCs w:val="24"/>
        </w:rPr>
        <w:t>;</w:t>
      </w:r>
    </w:p>
    <w:p w14:paraId="26215508" w14:textId="49131FF9"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b)</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formatit të raportimit dhe procedurave që ofruesit e shërbimeve të pagesave duhet të ndjekin për të njoftuar Bankën e Shqipërisë, në përputhje me pikën 1</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të nenit 89</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të ligjit “Për shërbimet e pagesave”.</w:t>
      </w:r>
    </w:p>
    <w:p w14:paraId="67C7EBA5" w14:textId="7DBE5EE8" w:rsidR="008921A4" w:rsidRPr="00E76B69" w:rsidRDefault="008921A4"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b/>
          <w:bCs/>
          <w:color w:val="000000"/>
          <w:sz w:val="24"/>
          <w:szCs w:val="24"/>
        </w:rPr>
      </w:pPr>
      <w:r w:rsidRPr="00E76B69">
        <w:rPr>
          <w:rFonts w:ascii="Garamond" w:hAnsi="Garamond" w:cs="Times New Roman"/>
          <w:b/>
          <w:bCs/>
          <w:color w:val="000000"/>
          <w:sz w:val="24"/>
          <w:szCs w:val="24"/>
        </w:rPr>
        <w:t>1.2</w:t>
      </w:r>
      <w:r w:rsidR="00635FDC" w:rsidRPr="00E76B69">
        <w:rPr>
          <w:rFonts w:ascii="Garamond" w:hAnsi="Garamond" w:cs="Times New Roman"/>
          <w:b/>
          <w:bCs/>
          <w:color w:val="000000"/>
          <w:sz w:val="24"/>
          <w:szCs w:val="24"/>
        </w:rPr>
        <w:t xml:space="preserve"> </w:t>
      </w:r>
      <w:r w:rsidRPr="00E76B69">
        <w:rPr>
          <w:rFonts w:ascii="Garamond" w:hAnsi="Garamond" w:cs="Times New Roman"/>
          <w:b/>
          <w:bCs/>
          <w:color w:val="000000"/>
          <w:sz w:val="24"/>
          <w:szCs w:val="24"/>
        </w:rPr>
        <w:t>Subjektet e udhëzimit</w:t>
      </w:r>
    </w:p>
    <w:p w14:paraId="7BA80DAD" w14:textId="3CB656E5"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Subjekte të këtij udhëzimi janë ofruesit e shërbimeve të pagesave, siç përcaktohen në nenin 3, pika 2, shkronjat “a”, “b” dhe “c”</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të ligjit nr.</w:t>
      </w:r>
      <w:r w:rsidR="00E76B69">
        <w:rPr>
          <w:rFonts w:ascii="Garamond" w:hAnsi="Garamond" w:cs="Times New Roman"/>
          <w:color w:val="000000"/>
          <w:sz w:val="24"/>
          <w:szCs w:val="24"/>
        </w:rPr>
        <w:t xml:space="preserve"> </w:t>
      </w:r>
      <w:r w:rsidRPr="00E76B69">
        <w:rPr>
          <w:rFonts w:ascii="Garamond" w:hAnsi="Garamond" w:cs="Times New Roman"/>
          <w:color w:val="000000"/>
          <w:sz w:val="24"/>
          <w:szCs w:val="24"/>
        </w:rPr>
        <w:t>55/2020, datë 30.4.2020</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“Për shërbimet e pagesave”, i cili në këtë udhëzim do të quhet ligji “Për shërbimet e pagesave”.</w:t>
      </w:r>
    </w:p>
    <w:p w14:paraId="7921A5E6" w14:textId="3A306AD4" w:rsidR="008921A4" w:rsidRPr="00E76B69" w:rsidRDefault="008921A4"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b/>
          <w:bCs/>
          <w:color w:val="000000"/>
          <w:sz w:val="24"/>
          <w:szCs w:val="24"/>
        </w:rPr>
      </w:pPr>
      <w:r w:rsidRPr="00E76B69">
        <w:rPr>
          <w:rFonts w:ascii="Garamond" w:hAnsi="Garamond" w:cs="Times New Roman"/>
          <w:b/>
          <w:bCs/>
          <w:color w:val="000000"/>
          <w:sz w:val="24"/>
          <w:szCs w:val="24"/>
        </w:rPr>
        <w:t>1.3</w:t>
      </w:r>
      <w:r w:rsidR="00635FDC" w:rsidRPr="00E76B69">
        <w:rPr>
          <w:rFonts w:ascii="Garamond" w:hAnsi="Garamond" w:cs="Times New Roman"/>
          <w:b/>
          <w:bCs/>
          <w:color w:val="000000"/>
          <w:sz w:val="24"/>
          <w:szCs w:val="24"/>
        </w:rPr>
        <w:t xml:space="preserve"> </w:t>
      </w:r>
      <w:r w:rsidRPr="00E76B69">
        <w:rPr>
          <w:rFonts w:ascii="Garamond" w:hAnsi="Garamond" w:cs="Times New Roman"/>
          <w:b/>
          <w:bCs/>
          <w:color w:val="000000"/>
          <w:sz w:val="24"/>
          <w:szCs w:val="24"/>
        </w:rPr>
        <w:t>Fusha e zbatimit të udhëzimit</w:t>
      </w:r>
    </w:p>
    <w:p w14:paraId="1AE652BB" w14:textId="6E7F2679"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1.3.1</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Kërkesat e këtij udhëzimi zbatohen për të gjitha incidentet që përfshihen në përkufizimin e “incidentit madhor operacional ose të sigurisë”, që mbulon ngjarjet e jashtme dhe të brendshme, të cilat mund të jenë me synime keqdashëse ose aksidentale.</w:t>
      </w:r>
    </w:p>
    <w:p w14:paraId="11009240" w14:textId="1EF3D989"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1.3.2</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Ky udhëzim zbatohet edhe në rastet kur incidentet madhore operacionale ose të sigurisë e kanë origjinën nga vende të tjera jashtë Shqipërisë (p.sh. kur një incident e ka origjinën në shoqërinë mëmë, me seli jashtë Republikës së Shqipërisë) dhe ndikojnë në shërbimet e pagesave të ofruara nga ofruesi i shërbimeve të pagesave në Shqipëri, në mënyrë të drejtpërdrejtë (kur një shërbim i lidhur me pagesat kryhet nga subjekti jashtë Shqipërisë) ose në mënyrë të tërthortë (p.sh. kur aftësia e ofruesit të shërbimeve të pagesave për të vazhduar veprimtarinë e shërbimeve të pagesave, rrezikohet në një mënyrë tjetër si pasojë e incidentit).</w:t>
      </w:r>
    </w:p>
    <w:p w14:paraId="5DF74B35"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1.3.3</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Kërkesat e këtij udhëzimi zbatohen edhe për incidentet madhore që ndikojnë funksionet e transferuara te të tretët nga ofruesit e shërbimeve të pagesave.</w:t>
      </w:r>
    </w:p>
    <w:p w14:paraId="730D25AA"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61B72E27" w14:textId="77777777" w:rsidR="0006279A" w:rsidRDefault="0006279A"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b/>
          <w:bCs/>
          <w:color w:val="000000"/>
          <w:sz w:val="24"/>
          <w:szCs w:val="24"/>
        </w:rPr>
      </w:pPr>
    </w:p>
    <w:p w14:paraId="5A6ADCCC" w14:textId="0BED0DB4" w:rsidR="008921A4" w:rsidRPr="00E76B69" w:rsidRDefault="008921A4"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b/>
          <w:bCs/>
          <w:color w:val="000000"/>
          <w:sz w:val="24"/>
          <w:szCs w:val="24"/>
        </w:rPr>
      </w:pPr>
      <w:r w:rsidRPr="00E76B69">
        <w:rPr>
          <w:rFonts w:ascii="Garamond" w:hAnsi="Garamond" w:cs="Times New Roman"/>
          <w:b/>
          <w:bCs/>
          <w:color w:val="000000"/>
          <w:sz w:val="24"/>
          <w:szCs w:val="24"/>
        </w:rPr>
        <w:t>1.4</w:t>
      </w:r>
      <w:r w:rsidR="00635FDC" w:rsidRPr="00E76B69">
        <w:rPr>
          <w:rFonts w:ascii="Garamond" w:hAnsi="Garamond" w:cs="Times New Roman"/>
          <w:b/>
          <w:bCs/>
          <w:color w:val="000000"/>
          <w:sz w:val="24"/>
          <w:szCs w:val="24"/>
        </w:rPr>
        <w:t xml:space="preserve"> </w:t>
      </w:r>
      <w:r w:rsidRPr="00E76B69">
        <w:rPr>
          <w:rFonts w:ascii="Garamond" w:hAnsi="Garamond" w:cs="Times New Roman"/>
          <w:b/>
          <w:bCs/>
          <w:color w:val="000000"/>
          <w:sz w:val="24"/>
          <w:szCs w:val="24"/>
        </w:rPr>
        <w:t xml:space="preserve">Përkufizime </w:t>
      </w:r>
    </w:p>
    <w:p w14:paraId="50A569A1"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1.4.1 Termat e përdorur në këtë udhëzim kanë të njëjtin kuptim me termat e përdorur në ligjin “Për shërbimet e pagesave”.</w:t>
      </w:r>
    </w:p>
    <w:p w14:paraId="74D2386D"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sz w:val="24"/>
          <w:szCs w:val="24"/>
        </w:rPr>
      </w:pPr>
      <w:r w:rsidRPr="00E76B69">
        <w:rPr>
          <w:rFonts w:ascii="Garamond" w:hAnsi="Garamond" w:cs="Times New Roman"/>
          <w:color w:val="000000"/>
          <w:sz w:val="24"/>
          <w:szCs w:val="24"/>
        </w:rPr>
        <w:t>1.4.2 Përveç sa parashikohet në pikën 1.4.1, për qëllime të zbatimit të këtij udhëzimi, termat e mëposhtëm kanë këtë kuptim:</w:t>
      </w:r>
    </w:p>
    <w:p w14:paraId="3FCB9FDD" w14:textId="4883BF1C"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a)</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 xml:space="preserve">“incident operacional ose i sigurisë” </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është një ngjarje e vetme ose një seri ngjarjesh të lidhura, të paplanifikuara nga ofruesi i shërbimeve të pagesave, që ka ose ka të ngjarë të ketë një ndikim negativ në integritetin, disponueshmërinë, konfidencialitetin dhe/ose autenticitetin e shërbimeve të lidhura me pagesat;</w:t>
      </w:r>
    </w:p>
    <w:p w14:paraId="01C0BB47"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b)</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“integritet” – është karakteristika e ruajtjes së saktësisë dhe plotësisë së aktiveve (përfshirë të dhënat);</w:t>
      </w:r>
    </w:p>
    <w:p w14:paraId="59DD4C09"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color w:val="000000"/>
          <w:sz w:val="24"/>
          <w:szCs w:val="24"/>
        </w:rPr>
      </w:pPr>
      <w:r w:rsidRPr="00E76B69">
        <w:rPr>
          <w:rFonts w:ascii="Garamond" w:hAnsi="Garamond" w:cs="Times New Roman"/>
          <w:color w:val="000000"/>
          <w:sz w:val="24"/>
          <w:szCs w:val="24"/>
        </w:rPr>
        <w:t>c)</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“disponueshmëria” – është karakteristika e shërbimeve të lidhura me pagesat, për të qenë plotësisht të aksesueshme dhe të përdorshme nga përdoruesit e shërbimeve të pagesave, sipas niveleve të pranueshme, të paracaktuara nga ofruesi i shërbimeve të pagesave;</w:t>
      </w:r>
    </w:p>
    <w:p w14:paraId="19BAECC9" w14:textId="6CE99B3A"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color w:val="000000"/>
          <w:sz w:val="24"/>
          <w:szCs w:val="24"/>
        </w:rPr>
      </w:pPr>
      <w:r w:rsidRPr="00E76B69">
        <w:rPr>
          <w:rFonts w:ascii="Garamond" w:hAnsi="Garamond" w:cs="Times New Roman"/>
          <w:color w:val="000000"/>
          <w:sz w:val="24"/>
          <w:szCs w:val="24"/>
        </w:rPr>
        <w:t>d)</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 xml:space="preserve">“konfidencialiteti” </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është karakteristika që informacioni të mos iu vihet në dispozicion ose t’iu zbulohet/shpërndahet individëve, subjekteve ose proceseve të paautorizuara;</w:t>
      </w:r>
    </w:p>
    <w:p w14:paraId="331A9AA3"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color w:val="000000"/>
          <w:sz w:val="24"/>
          <w:szCs w:val="24"/>
        </w:rPr>
      </w:pPr>
      <w:r w:rsidRPr="00E76B69">
        <w:rPr>
          <w:rFonts w:ascii="Garamond" w:hAnsi="Garamond" w:cs="Times New Roman"/>
          <w:color w:val="000000"/>
          <w:sz w:val="24"/>
          <w:szCs w:val="24"/>
        </w:rPr>
        <w:t>e)</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“autenticiteti” – është karakteristika e një burimi për të qenë ai që pretendon të jetë;</w:t>
      </w:r>
    </w:p>
    <w:p w14:paraId="1EAB1ADC" w14:textId="48F1AC78"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color w:val="000000"/>
          <w:sz w:val="24"/>
          <w:szCs w:val="24"/>
        </w:rPr>
      </w:pPr>
      <w:r w:rsidRPr="00E76B69">
        <w:rPr>
          <w:rFonts w:ascii="Garamond" w:hAnsi="Garamond" w:cs="Times New Roman"/>
          <w:color w:val="000000"/>
          <w:sz w:val="24"/>
          <w:szCs w:val="24"/>
        </w:rPr>
        <w:t>f)</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“shërbime të lidhura me pagesat” – është çdo veprimtari e përcaktuar në pikën 37</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të nenit 5</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të ligjit “Për shërbimet e pagesave”, dhe të gjitha funksionet e nevojshme mbështetëse teknike për ofrimin e saktë të shërbimeve të pagesave.</w:t>
      </w:r>
    </w:p>
    <w:p w14:paraId="253233E1" w14:textId="103A6F06" w:rsidR="008921A4" w:rsidRPr="00E76B69" w:rsidRDefault="008921A4"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b/>
          <w:bCs/>
          <w:color w:val="000000"/>
          <w:sz w:val="24"/>
          <w:szCs w:val="24"/>
        </w:rPr>
      </w:pPr>
      <w:r w:rsidRPr="00E76B69">
        <w:rPr>
          <w:rFonts w:ascii="Garamond" w:hAnsi="Garamond" w:cs="Times New Roman"/>
          <w:b/>
          <w:bCs/>
          <w:color w:val="000000"/>
          <w:sz w:val="24"/>
          <w:szCs w:val="24"/>
        </w:rPr>
        <w:t>1.5</w:t>
      </w:r>
      <w:r w:rsidR="00635FDC" w:rsidRPr="00E76B69">
        <w:rPr>
          <w:rFonts w:ascii="Garamond" w:hAnsi="Garamond" w:cs="Times New Roman"/>
          <w:b/>
          <w:bCs/>
          <w:color w:val="000000"/>
          <w:sz w:val="24"/>
          <w:szCs w:val="24"/>
        </w:rPr>
        <w:t xml:space="preserve"> </w:t>
      </w:r>
      <w:r w:rsidRPr="00E76B69">
        <w:rPr>
          <w:rFonts w:ascii="Garamond" w:hAnsi="Garamond" w:cs="Times New Roman"/>
          <w:b/>
          <w:bCs/>
          <w:color w:val="000000"/>
          <w:sz w:val="24"/>
          <w:szCs w:val="24"/>
        </w:rPr>
        <w:t>Shkëmbimi i informacioni</w:t>
      </w:r>
      <w:r w:rsidR="00E76B69">
        <w:rPr>
          <w:rFonts w:ascii="Garamond" w:hAnsi="Garamond" w:cs="Times New Roman"/>
          <w:b/>
          <w:bCs/>
          <w:color w:val="000000"/>
          <w:sz w:val="24"/>
          <w:szCs w:val="24"/>
        </w:rPr>
        <w:t>t</w:t>
      </w:r>
      <w:r w:rsidRPr="00E76B69">
        <w:rPr>
          <w:rFonts w:ascii="Garamond" w:hAnsi="Garamond" w:cs="Times New Roman"/>
          <w:b/>
          <w:bCs/>
          <w:color w:val="000000"/>
          <w:sz w:val="24"/>
          <w:szCs w:val="24"/>
        </w:rPr>
        <w:t xml:space="preserve"> me autoritetet e tjera</w:t>
      </w:r>
    </w:p>
    <w:p w14:paraId="11FCFCEF"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1.5.1</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Banka e Shqipërisë mund të shkëmbejë informacione të lidhura me incidentet madhore, me autoritete të tjera vendase, pasi vlerëson rëndësinë dhe relevancën e një incidenti madhor operacional ose të sigurisë për ato autoritete.</w:t>
      </w:r>
    </w:p>
    <w:p w14:paraId="31800729"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bCs/>
          <w:color w:val="000000"/>
          <w:sz w:val="24"/>
          <w:szCs w:val="24"/>
        </w:rPr>
      </w:pPr>
      <w:r w:rsidRPr="00E76B69">
        <w:rPr>
          <w:rFonts w:ascii="Garamond" w:hAnsi="Garamond" w:cs="Times New Roman"/>
          <w:bCs/>
          <w:color w:val="000000"/>
          <w:sz w:val="24"/>
          <w:szCs w:val="24"/>
        </w:rPr>
        <w:t>2.</w:t>
      </w:r>
      <w:r w:rsidR="00635FDC" w:rsidRPr="00E76B69">
        <w:rPr>
          <w:rFonts w:ascii="Garamond" w:hAnsi="Garamond" w:cs="Times New Roman"/>
          <w:bCs/>
          <w:color w:val="000000"/>
          <w:sz w:val="24"/>
          <w:szCs w:val="24"/>
        </w:rPr>
        <w:t xml:space="preserve"> </w:t>
      </w:r>
      <w:r w:rsidRPr="00E76B69">
        <w:rPr>
          <w:rFonts w:ascii="Garamond" w:hAnsi="Garamond" w:cs="Times New Roman"/>
          <w:bCs/>
          <w:color w:val="000000"/>
          <w:sz w:val="24"/>
          <w:szCs w:val="24"/>
        </w:rPr>
        <w:t xml:space="preserve">KRITERET E KLASIFIKIMIT TË INCIDENTIT SI INCIDENT MADHOR </w:t>
      </w:r>
    </w:p>
    <w:p w14:paraId="179F7B6D" w14:textId="2CC1EEE8" w:rsidR="008921A4" w:rsidRPr="00E76B69" w:rsidRDefault="008921A4"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b/>
          <w:bCs/>
          <w:color w:val="000000"/>
          <w:sz w:val="24"/>
          <w:szCs w:val="24"/>
        </w:rPr>
      </w:pPr>
      <w:r w:rsidRPr="00E76B69">
        <w:rPr>
          <w:rFonts w:ascii="Garamond" w:hAnsi="Garamond" w:cs="Times New Roman"/>
          <w:b/>
          <w:bCs/>
          <w:color w:val="000000"/>
          <w:sz w:val="24"/>
          <w:szCs w:val="24"/>
        </w:rPr>
        <w:t>2.1</w:t>
      </w:r>
      <w:r w:rsidR="00635FDC" w:rsidRPr="00E76B69">
        <w:rPr>
          <w:rFonts w:ascii="Garamond" w:hAnsi="Garamond" w:cs="Times New Roman"/>
          <w:b/>
          <w:bCs/>
          <w:color w:val="000000"/>
          <w:sz w:val="24"/>
          <w:szCs w:val="24"/>
        </w:rPr>
        <w:t xml:space="preserve"> </w:t>
      </w:r>
      <w:r w:rsidRPr="00E76B69">
        <w:rPr>
          <w:rFonts w:ascii="Garamond" w:hAnsi="Garamond" w:cs="Times New Roman"/>
          <w:b/>
          <w:bCs/>
          <w:color w:val="000000"/>
          <w:sz w:val="24"/>
          <w:szCs w:val="24"/>
        </w:rPr>
        <w:t xml:space="preserve">Kriteret e klasifikimit të incidentit si incident madhor </w:t>
      </w:r>
    </w:p>
    <w:p w14:paraId="5C4EBBAB" w14:textId="77777777" w:rsidR="008921A4" w:rsidRPr="00E76B69" w:rsidRDefault="008921A4" w:rsidP="00D023FD">
      <w:pPr>
        <w:widowControl w:val="0"/>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2.1.1</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klasifikojnë si incidente madhore, incidentet operacionale ose të sigurisë që plotësojnë:</w:t>
      </w:r>
    </w:p>
    <w:p w14:paraId="53827C5E" w14:textId="6B67CD7F" w:rsidR="008921A4" w:rsidRPr="00E76B69" w:rsidRDefault="008921A4" w:rsidP="00D023FD">
      <w:pPr>
        <w:widowControl w:val="0"/>
        <w:autoSpaceDE w:val="0"/>
        <w:autoSpaceDN w:val="0"/>
        <w:adjustRightInd w:val="0"/>
        <w:spacing w:after="0" w:line="240" w:lineRule="auto"/>
        <w:ind w:firstLine="284"/>
        <w:rPr>
          <w:rFonts w:ascii="Garamond" w:hAnsi="Garamond" w:cs="Times New Roman"/>
          <w:color w:val="000000"/>
          <w:sz w:val="24"/>
          <w:szCs w:val="24"/>
        </w:rPr>
      </w:pPr>
      <w:r w:rsidRPr="00E76B69">
        <w:rPr>
          <w:rFonts w:ascii="Garamond" w:hAnsi="Garamond" w:cs="Times New Roman"/>
          <w:color w:val="000000"/>
          <w:sz w:val="24"/>
          <w:szCs w:val="24"/>
        </w:rPr>
        <w:t>a)</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një ose më shumë nga kriteret në kategorinë “ndikim i lartë”</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ose</w:t>
      </w:r>
    </w:p>
    <w:p w14:paraId="4FE9F58B" w14:textId="77777777" w:rsidR="008921A4" w:rsidRPr="00E76B69" w:rsidRDefault="008921A4" w:rsidP="00D023FD">
      <w:pPr>
        <w:widowControl w:val="0"/>
        <w:autoSpaceDE w:val="0"/>
        <w:autoSpaceDN w:val="0"/>
        <w:adjustRightInd w:val="0"/>
        <w:spacing w:after="0" w:line="240" w:lineRule="auto"/>
        <w:ind w:firstLine="284"/>
        <w:rPr>
          <w:rFonts w:ascii="Garamond" w:hAnsi="Garamond" w:cs="Times New Roman"/>
          <w:color w:val="000000"/>
          <w:sz w:val="24"/>
          <w:szCs w:val="24"/>
        </w:rPr>
      </w:pPr>
      <w:r w:rsidRPr="00E76B69">
        <w:rPr>
          <w:rFonts w:ascii="Garamond" w:hAnsi="Garamond" w:cs="Times New Roman"/>
          <w:color w:val="000000"/>
          <w:sz w:val="24"/>
          <w:szCs w:val="24"/>
        </w:rPr>
        <w:t>b)</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tre ose më shumë nga kriteret në kategorinë “ndikim i ulët”,</w:t>
      </w:r>
    </w:p>
    <w:p w14:paraId="5D7DB5B4"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siç përcaktohet në tabelën 1 të pikës 2.1.4, dhe pas vlerësimit të përcaktuar në këtë udhëzim.</w:t>
      </w:r>
    </w:p>
    <w:p w14:paraId="3AB09CEC" w14:textId="084380F8" w:rsidR="008921A4" w:rsidRPr="00E76B69" w:rsidRDefault="008921A4" w:rsidP="00D023FD">
      <w:pPr>
        <w:widowControl w:val="0"/>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2.1.2</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vlerësojnë një incident operacional ose të sigurisë, duke konsideruar kriteret (elementet) e mëposhtme dhe treguesit e tyre bazë:</w:t>
      </w:r>
    </w:p>
    <w:p w14:paraId="2480DE1B"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i/>
          <w:iCs/>
          <w:color w:val="000000"/>
          <w:sz w:val="24"/>
          <w:szCs w:val="24"/>
        </w:rPr>
        <w:t>a)</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 xml:space="preserve">transaksionet e prekura nga incidenti, </w:t>
      </w:r>
      <w:r w:rsidRPr="00E76B69">
        <w:rPr>
          <w:rFonts w:ascii="Garamond" w:hAnsi="Garamond" w:cs="Times New Roman"/>
          <w:color w:val="000000"/>
          <w:sz w:val="24"/>
          <w:szCs w:val="24"/>
        </w:rPr>
        <w:t>për të cilat ofruesit e shërbimeve të pagesave përcaktojnë vlerën totale të tyre, si dhe numrin e pagesave të kompromentuara, si përqindje ndaj nivelit të rregullt (të zakonshëm) të transaksioneve të pagesave të kryera nëpërmjet shërbimeve të pagesave të prekura nga incidenti;</w:t>
      </w:r>
    </w:p>
    <w:p w14:paraId="7ED57983"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i/>
          <w:iCs/>
          <w:color w:val="000000"/>
          <w:sz w:val="24"/>
          <w:szCs w:val="24"/>
        </w:rPr>
        <w:t>b)</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 xml:space="preserve">përdoruesit e shërbimeve të pagesave të prekur nga incidenti, </w:t>
      </w:r>
      <w:r w:rsidRPr="00E76B69">
        <w:rPr>
          <w:rFonts w:ascii="Garamond" w:hAnsi="Garamond" w:cs="Times New Roman"/>
          <w:color w:val="000000"/>
          <w:sz w:val="24"/>
          <w:szCs w:val="24"/>
        </w:rPr>
        <w:t>për të cilët ofruesit e shërbimeve të pagesave përcaktojnë numrin e tyre (përdoruesve), në vlerë absolute dhe si përqindje ndaj numrit të përgjithshëm të përdoruesve të shërbimeve të pagesave;</w:t>
      </w:r>
    </w:p>
    <w:p w14:paraId="5EA39046"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i/>
          <w:iCs/>
          <w:color w:val="000000"/>
          <w:sz w:val="24"/>
          <w:szCs w:val="24"/>
        </w:rPr>
        <w:t>c)</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 xml:space="preserve">thyerja e sigurisë së rrjetit ose sistemeve të informacionit, </w:t>
      </w:r>
      <w:r w:rsidRPr="00E76B69">
        <w:rPr>
          <w:rFonts w:ascii="Garamond" w:hAnsi="Garamond" w:cs="Times New Roman"/>
          <w:color w:val="000000"/>
          <w:sz w:val="24"/>
          <w:szCs w:val="24"/>
        </w:rPr>
        <w:t>për të cilën ofruesit e shërbimeve të pagesave përcaktojnë nëse ndonjë veprim keqdashës ka kompromentuar sigurinë e rrjetit ose të sistemeve të informacionit që lidhen me ofrimin e shërbimeve të pagesave;</w:t>
      </w:r>
    </w:p>
    <w:p w14:paraId="43E2A6AB" w14:textId="28012626"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i/>
          <w:iCs/>
          <w:color w:val="000000"/>
          <w:sz w:val="24"/>
          <w:szCs w:val="24"/>
        </w:rPr>
        <w:t>d)</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 xml:space="preserve">kohëzgjatja e ndërprerjes së shërbimeve (service downtime), </w:t>
      </w:r>
      <w:r w:rsidRPr="00E76B69">
        <w:rPr>
          <w:rFonts w:ascii="Garamond" w:hAnsi="Garamond" w:cs="Times New Roman"/>
          <w:color w:val="000000"/>
          <w:sz w:val="24"/>
          <w:szCs w:val="24"/>
        </w:rPr>
        <w:t>për të cilën ofruesit e shërbimeve të pagesave përcaktojnë periudhën kohore kur shërbimi ka të ngjarë të mos jetë i disponueshëm për përdoruesin e shërbimeve të pagesave, ose kur urdhërpagesa, në kuptim të nenit 5, pika 49</w:t>
      </w:r>
      <w:r w:rsidR="00E76B69">
        <w:rPr>
          <w:rFonts w:ascii="Garamond" w:hAnsi="Garamond" w:cs="Times New Roman"/>
          <w:color w:val="000000"/>
          <w:sz w:val="24"/>
          <w:szCs w:val="24"/>
        </w:rPr>
        <w:t>,</w:t>
      </w:r>
      <w:r w:rsidRPr="00E76B69">
        <w:rPr>
          <w:rFonts w:ascii="Garamond" w:hAnsi="Garamond" w:cs="Times New Roman"/>
          <w:color w:val="000000"/>
          <w:sz w:val="24"/>
          <w:szCs w:val="24"/>
        </w:rPr>
        <w:t xml:space="preserve"> të ligjit “Për shërbimet e pagesave”, mund të mos</w:t>
      </w:r>
      <w:r w:rsidR="00D2736B">
        <w:rPr>
          <w:rFonts w:ascii="Garamond" w:hAnsi="Garamond" w:cs="Times New Roman"/>
          <w:color w:val="000000"/>
          <w:sz w:val="24"/>
          <w:szCs w:val="24"/>
        </w:rPr>
        <w:t xml:space="preserve"> </w:t>
      </w:r>
      <w:r w:rsidRPr="00E76B69">
        <w:rPr>
          <w:rFonts w:ascii="Garamond" w:hAnsi="Garamond" w:cs="Times New Roman"/>
          <w:color w:val="000000"/>
          <w:sz w:val="24"/>
          <w:szCs w:val="24"/>
        </w:rPr>
        <w:t>realizohet nga ofruesi i shërbimeve të pagesave;</w:t>
      </w:r>
    </w:p>
    <w:p w14:paraId="6920D4C5"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i/>
          <w:iCs/>
          <w:color w:val="000000"/>
          <w:sz w:val="24"/>
          <w:szCs w:val="24"/>
        </w:rPr>
        <w:t>e)</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 xml:space="preserve">ndikimi ekonomik, </w:t>
      </w:r>
      <w:r w:rsidRPr="00E76B69">
        <w:rPr>
          <w:rFonts w:ascii="Garamond" w:hAnsi="Garamond" w:cs="Times New Roman"/>
          <w:color w:val="000000"/>
          <w:sz w:val="24"/>
          <w:szCs w:val="24"/>
        </w:rPr>
        <w:t xml:space="preserve">për të cilin ofruesit e shërbimeve të pagesave përcaktojnë kostot monetare të lidhura me incidentin në mënyrë tërësore dhe marrin parasysh vlerën absolute, dhe kur është e zbatueshme, edhe rëndësinë relative të këtyre kostove, në raport me madhësinë e ofruesit të </w:t>
      </w:r>
      <w:r w:rsidRPr="00E76B69">
        <w:rPr>
          <w:rFonts w:ascii="Garamond" w:hAnsi="Garamond" w:cs="Times New Roman"/>
          <w:color w:val="000000"/>
          <w:sz w:val="24"/>
          <w:szCs w:val="24"/>
        </w:rPr>
        <w:lastRenderedPageBreak/>
        <w:t>shërbimeve të pagesave (p.sh. në raport me kapitalin e nivelit të parë të ofruesit të shërbimeve të pagesave);</w:t>
      </w:r>
    </w:p>
    <w:p w14:paraId="2B8F83E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i/>
          <w:iCs/>
          <w:color w:val="000000"/>
          <w:sz w:val="24"/>
          <w:szCs w:val="24"/>
        </w:rPr>
        <w:t>f)</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 xml:space="preserve">niveli i lartë i përshkallëzimit të brendshëm, </w:t>
      </w:r>
      <w:r w:rsidRPr="00E76B69">
        <w:rPr>
          <w:rFonts w:ascii="Garamond" w:hAnsi="Garamond" w:cs="Times New Roman"/>
          <w:color w:val="000000"/>
          <w:sz w:val="24"/>
          <w:szCs w:val="24"/>
        </w:rPr>
        <w:t>për të cilin ofruesit e shërbimeve të pagesave përcaktojnë nëse incidenti është raportuar ose ka të ngjarë të raportohet tek drejtuesit ekzekutivë të subjektit;</w:t>
      </w:r>
    </w:p>
    <w:p w14:paraId="3BC4E654"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i/>
          <w:iCs/>
          <w:color w:val="000000"/>
          <w:sz w:val="24"/>
          <w:szCs w:val="24"/>
        </w:rPr>
        <w:t>g)</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 xml:space="preserve">ofruesit e tjerë të shërbimeve të pagesave ose infrastrukturat përkatëse që mund të preken nga incidenti, </w:t>
      </w:r>
      <w:r w:rsidRPr="00E76B69">
        <w:rPr>
          <w:rFonts w:ascii="Garamond" w:hAnsi="Garamond" w:cs="Times New Roman"/>
          <w:color w:val="000000"/>
          <w:sz w:val="24"/>
          <w:szCs w:val="24"/>
        </w:rPr>
        <w:t>për të cilët ofruesit e shërbimeve të pagesave përcaktojnë implikimet/ndikimet sistemike që ka të ngjarë të ketë incidenti, d.m.th. mundësia që efekti i incidentit të përhapet përtej ofruesit të shërbimeve të pagesave të prekur fillimisht, tek ofruesit e tjerë të shërbimeve të pagesave, infrastrukturat e tregut financiar dhe/ose skemat e pagesave;</w:t>
      </w:r>
    </w:p>
    <w:p w14:paraId="0BC4E615" w14:textId="77777777" w:rsidR="008921A4" w:rsidRPr="00E76B69" w:rsidRDefault="008921A4" w:rsidP="00D023FD">
      <w:pPr>
        <w:widowControl w:val="0"/>
        <w:tabs>
          <w:tab w:val="left" w:pos="26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i/>
          <w:iCs/>
          <w:color w:val="000000"/>
          <w:sz w:val="24"/>
          <w:szCs w:val="24"/>
        </w:rPr>
        <w:t>h)</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 xml:space="preserve">ndikimi reputacional, </w:t>
      </w:r>
      <w:r w:rsidRPr="00E76B69">
        <w:rPr>
          <w:rFonts w:ascii="Garamond" w:hAnsi="Garamond" w:cs="Times New Roman"/>
          <w:color w:val="000000"/>
          <w:sz w:val="24"/>
          <w:szCs w:val="24"/>
        </w:rPr>
        <w:t>për të cilin ofruesit e shërbimeve të pagesave përcaktojnë se si incidenti mund të cenojë besimin e përdoruesve të shërbimeve të pagesave te vetë ofruesi i shërbimeve të pagesave dhe, në përgjithësi, në shërbimin bazë të ofruar ose në tregun në tërësi.</w:t>
      </w:r>
    </w:p>
    <w:p w14:paraId="1BBB64A2" w14:textId="77777777" w:rsidR="008921A4" w:rsidRPr="00E76B69" w:rsidRDefault="008921A4" w:rsidP="00D023FD">
      <w:pPr>
        <w:widowControl w:val="0"/>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2.1.3</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llogarisin vlerën e treguesve sipas përcaktimeve të mëposhtme:</w:t>
      </w:r>
    </w:p>
    <w:p w14:paraId="7F106CBF" w14:textId="1BC151ED"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i/>
          <w:iCs/>
          <w:color w:val="000000"/>
          <w:sz w:val="24"/>
          <w:szCs w:val="24"/>
        </w:rPr>
        <w:t>a)</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transaksionet e prekura nga incidenti</w:t>
      </w:r>
    </w:p>
    <w:p w14:paraId="3428C9AF" w14:textId="112164B9"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si rregull i përgjithshëm, nënkuptojnë të gjitha transaksionet brenda vendit dhe ndërkufitare që janë ndikuar ose ka të ngjarë të ndikohen në mënyrë të drejtpërdrejtë ose të tërthortë nga incidenti dhe, në veçanti, ato transaksione që nuk mund të iniciohen ose të procesohen, ato transaksione për të cilat është ndryshuar përmbajtja e mesazhit të pagesës dhe ato transaksione që janë urdhëruar</w:t>
      </w:r>
      <w:r w:rsidR="00015DB6">
        <w:rPr>
          <w:rFonts w:ascii="Garamond" w:hAnsi="Garamond" w:cs="Times New Roman"/>
          <w:color w:val="000000"/>
          <w:sz w:val="24"/>
          <w:szCs w:val="24"/>
        </w:rPr>
        <w:t>,</w:t>
      </w:r>
      <w:r w:rsidRPr="00E76B69">
        <w:rPr>
          <w:rFonts w:ascii="Garamond" w:hAnsi="Garamond" w:cs="Times New Roman"/>
          <w:color w:val="000000"/>
          <w:sz w:val="24"/>
          <w:szCs w:val="24"/>
        </w:rPr>
        <w:t xml:space="preserve"> me qëllim mashtrimi (pavarësisht nëse fondet janë rikuperuar apo jo), ose kur ekzekutimi i saktë pengohet në ndonjë mënyrë tjetër nga incidenti.</w:t>
      </w:r>
    </w:p>
    <w:p w14:paraId="1BCE0070" w14:textId="4921CE65"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Për incidentet operacionale që ndikojnë në aftësinë për të iniciuar dhe/ose për të procesuar transaksionet, ofruesit e shërbimeve të pagesave raportojnë vetëm ato incidente me kohëzgjatje më të gjatë se 1 (një) orë. Kohëzgjatja e incidentit matet që nga momenti kur ndodh incidenti, deri në momentin kur aktivitetet normale/operacionet e zakonshme janë rikuperuar në nivelet e shërbimit të ofruara para incidentit.</w:t>
      </w:r>
    </w:p>
    <w:p w14:paraId="48F39590" w14:textId="4E94F338"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122FA3">
        <w:rPr>
          <w:rFonts w:ascii="Garamond" w:hAnsi="Garamond" w:cs="Times New Roman"/>
          <w:color w:val="000000"/>
          <w:sz w:val="24"/>
          <w:szCs w:val="24"/>
        </w:rPr>
        <w:t>Ofruesit e shërbimeve</w:t>
      </w:r>
      <w:r w:rsidRPr="00E76B69">
        <w:rPr>
          <w:rFonts w:ascii="Garamond" w:hAnsi="Garamond" w:cs="Times New Roman"/>
          <w:color w:val="000000"/>
          <w:sz w:val="24"/>
          <w:szCs w:val="24"/>
        </w:rPr>
        <w:t xml:space="preserve"> të pagesave konsiderojnë si nivel të rregullt (të zakonshëm) të transaksioneve të pagesave, mesataren ditore të transaksioneve vjetore të pagesave brenda vendit dhe ato ndërkufitare të kryera nëpërmjet të njëjtëve shërbime pagesash që janë prekur nga incidenti, duke konsideruar vitin e mëparshëm si periudhë referimi për llogaritjet. Në rast se ofruesit e shërbimeve të pagesave nuk e konsiderojnë këtë vlerë si përfaqësuese (p.sh. për shkak të sezonalitetit), ata përdorin një metrikë tjetër, më përfaqësuese, dhe njoftojnë Bankën e Shqipërisë për arsyet e ndjekjes së kësaj qasjeje, nëpërmjet plotësimit të fushës përkatëse të formularit të raportimit në </w:t>
      </w:r>
      <w:r w:rsidR="001836AE">
        <w:rPr>
          <w:rFonts w:ascii="Garamond" w:hAnsi="Garamond" w:cs="Times New Roman"/>
          <w:color w:val="000000"/>
          <w:sz w:val="24"/>
          <w:szCs w:val="24"/>
        </w:rPr>
        <w:t>a</w:t>
      </w:r>
      <w:r w:rsidRPr="00E76B69">
        <w:rPr>
          <w:rFonts w:ascii="Garamond" w:hAnsi="Garamond" w:cs="Times New Roman"/>
          <w:color w:val="000000"/>
          <w:sz w:val="24"/>
          <w:szCs w:val="24"/>
        </w:rPr>
        <w:t>neksin 1 të këtij udhëzimi</w:t>
      </w:r>
      <w:r w:rsidR="001836AE">
        <w:rPr>
          <w:rFonts w:ascii="Garamond" w:hAnsi="Garamond" w:cs="Times New Roman"/>
          <w:color w:val="000000"/>
          <w:sz w:val="24"/>
          <w:szCs w:val="24"/>
        </w:rPr>
        <w:t>;</w:t>
      </w:r>
    </w:p>
    <w:p w14:paraId="43BD9D17" w14:textId="02EB6654"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i/>
          <w:iCs/>
          <w:color w:val="000000"/>
          <w:sz w:val="24"/>
          <w:szCs w:val="24"/>
        </w:rPr>
      </w:pPr>
      <w:r w:rsidRPr="00E76B69">
        <w:rPr>
          <w:rFonts w:ascii="Garamond" w:hAnsi="Garamond" w:cs="Times New Roman"/>
          <w:i/>
          <w:iCs/>
          <w:color w:val="000000"/>
          <w:sz w:val="24"/>
          <w:szCs w:val="24"/>
        </w:rPr>
        <w:t>b)</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përdoruesit e shërbimeve të pagesave të prekur nga incidenti</w:t>
      </w:r>
    </w:p>
    <w:p w14:paraId="5C4044C9"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nënkuptojnë të gjithë klientët (brenda vendit ose nga jashtë, konsumatorë ose shoqëri tregtare) që kanë një kontratë me ofruesin e shërbimeve të pagesave, të prekur nga incidenti, që iu jep atyre akses në shërbimin e pagesës të prekur nga incidenti, dhe që janë ndikuar ose mund të ndikohen nga pasojat e incidentit.</w:t>
      </w:r>
    </w:p>
    <w:p w14:paraId="289BAD29"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Ofruesit e shërbimeve të pagesave përdorin vlerësime të bazuara në aktivitetin e tyre të mëparshëm, për të përcaktuar numrin e përdoruesve të shërbimeve të pagesave që mund të kenë përdorur shërbimin e pagesave gjatë kohëzgjatjes së incidentit.</w:t>
      </w:r>
    </w:p>
    <w:p w14:paraId="774EC513"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Në rastin e grupeve, secili ofrues i shërbimeve të pagesave merr në konsideratë vetëm përdoruesit e tij të shërbimeve të pagesave. Në rastin e një ofruesi të shërbimeve të pagesave që ofron shërbime operacionale për të tjerët, ai ofrues i shërbimit të pagesës merr në konsideratë vetëm përdoruesit e tij të shërbimeve të pagesave (nëse ka), dhe ofruesit e tjerë të shërbimeve të pagesave që marrin këto shërbime operacionale e vlerësojnë incidentin në lidhje me përdoruesit e tyre të shërbimeve të pagesave.</w:t>
      </w:r>
    </w:p>
    <w:p w14:paraId="23EB592C" w14:textId="51A75AFF"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 xml:space="preserve">Për incidentet operacionale që ndikojnë në aftësinë për të iniciuar dhe/ose për të procesuar transaksionet, ofruesit e shërbimeve të pagesave raportojnë vetëm ato incidente që cenojnë përdoruesit e shërbimeve të pagesave për një kohëzgjatje më të gjatë se 1 (një) orë. Kohëzgjatja e </w:t>
      </w:r>
      <w:r w:rsidRPr="00E76B69">
        <w:rPr>
          <w:rFonts w:ascii="Garamond" w:hAnsi="Garamond" w:cs="Times New Roman"/>
          <w:color w:val="000000"/>
          <w:sz w:val="24"/>
          <w:szCs w:val="24"/>
        </w:rPr>
        <w:lastRenderedPageBreak/>
        <w:t>incidentit matet që nga momenti kur ndodh incidenti, deri në momentin kur aktivitetet normale/operacionet e zakonshme janë rikuperuar në nivelet e shërbimit të ofruara para incidentit.</w:t>
      </w:r>
      <w:r w:rsidR="00BD41B0">
        <w:rPr>
          <w:rFonts w:ascii="Garamond" w:hAnsi="Garamond" w:cs="Times New Roman"/>
          <w:color w:val="000000"/>
          <w:sz w:val="24"/>
          <w:szCs w:val="24"/>
        </w:rPr>
        <w:t xml:space="preserve"> </w:t>
      </w:r>
    </w:p>
    <w:p w14:paraId="16C8BCC9" w14:textId="2FFA49F5"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Ofruesit e shërbimeve të pagesave konsiderojnë si numër total të përdoruesve të shërbimeve të pagesave, shumën e agreguar të përdoruesve të shërbimeve të pagesave brenda dhe jashtë vendit, të lidhur në mënyrë kontraktuale me ofruesit e shërbimeve të pagesave në kohën e incidentit (ose në mënyrë alternative mund të përdorin, vlerën më të fundit të disponueshme të numrit të përdoruesve të shërbimeve të pagesave) dhe me akses në shërbimin e pagesave të prekur nga incidenti, pavarësisht nga madhësia e tyre, ose nëse ata konsiderohen përdorues aktivë ose pasivë të shërbimit të pagesës</w:t>
      </w:r>
      <w:r w:rsidR="00C85813">
        <w:rPr>
          <w:rFonts w:ascii="Garamond" w:hAnsi="Garamond" w:cs="Times New Roman"/>
          <w:color w:val="000000"/>
          <w:sz w:val="24"/>
          <w:szCs w:val="24"/>
        </w:rPr>
        <w:t>;</w:t>
      </w:r>
    </w:p>
    <w:p w14:paraId="2DFF2FA8"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i/>
          <w:iCs/>
          <w:color w:val="000000"/>
          <w:sz w:val="24"/>
          <w:szCs w:val="24"/>
        </w:rPr>
      </w:pPr>
      <w:r w:rsidRPr="00E76B69">
        <w:rPr>
          <w:rFonts w:ascii="Garamond" w:hAnsi="Garamond" w:cs="Times New Roman"/>
          <w:i/>
          <w:iCs/>
          <w:color w:val="000000"/>
          <w:sz w:val="24"/>
          <w:szCs w:val="24"/>
        </w:rPr>
        <w:t>c)</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thyerja e sigurisë së rrjetit ose sistemeve të informacionit</w:t>
      </w:r>
    </w:p>
    <w:p w14:paraId="31D40232" w14:textId="44D317BA"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Ofruesit e shërbimeve të pagesave vlerësojnë nëse ndonjë veprim keqdashës ka rrezikuar disponueshmërinë, autenticitetin, integritetin ose konfidencialitetin e rrjetit</w:t>
      </w:r>
      <w:r w:rsidR="00C85813">
        <w:rPr>
          <w:rFonts w:ascii="Garamond" w:hAnsi="Garamond" w:cs="Times New Roman"/>
          <w:color w:val="000000"/>
          <w:sz w:val="24"/>
          <w:szCs w:val="24"/>
        </w:rPr>
        <w:t>,</w:t>
      </w:r>
      <w:r w:rsidRPr="00E76B69">
        <w:rPr>
          <w:rFonts w:ascii="Garamond" w:hAnsi="Garamond" w:cs="Times New Roman"/>
          <w:color w:val="000000"/>
          <w:sz w:val="24"/>
          <w:szCs w:val="24"/>
        </w:rPr>
        <w:t xml:space="preserve"> ose sistemeve të informacionit (përfshirë të dhënat), në lidhje me ofrimin e shërbimeve të pagesave</w:t>
      </w:r>
      <w:r w:rsidR="00C85813">
        <w:rPr>
          <w:rFonts w:ascii="Garamond" w:hAnsi="Garamond" w:cs="Times New Roman"/>
          <w:color w:val="000000"/>
          <w:sz w:val="24"/>
          <w:szCs w:val="24"/>
        </w:rPr>
        <w:t>;</w:t>
      </w:r>
    </w:p>
    <w:p w14:paraId="2D64FA8D" w14:textId="0F778D6C"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i/>
          <w:iCs/>
          <w:color w:val="000000"/>
          <w:sz w:val="24"/>
          <w:szCs w:val="24"/>
        </w:rPr>
      </w:pPr>
      <w:r w:rsidRPr="00E76B69">
        <w:rPr>
          <w:rFonts w:ascii="Garamond" w:hAnsi="Garamond" w:cs="Times New Roman"/>
          <w:i/>
          <w:iCs/>
          <w:color w:val="000000"/>
          <w:sz w:val="24"/>
          <w:szCs w:val="24"/>
        </w:rPr>
        <w:t>d)</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kohëzgjatja e ndërprerjes së shërbimeve (service downtime)</w:t>
      </w:r>
    </w:p>
    <w:p w14:paraId="15ECCA84" w14:textId="67B7AF88"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është periudha kohore kur çdo detyrë, proces ose kanal në lidhje me ofrimin e shërbimeve të pagesave është ndërprerë ose ka të ngjarë të ndërpritet, duke penguar në këtë mënyrë, inicimin dhe/ose ekzekutimin e një shërbimi pagese</w:t>
      </w:r>
      <w:r w:rsidR="00C85813">
        <w:rPr>
          <w:rFonts w:ascii="Garamond" w:hAnsi="Garamond" w:cs="Times New Roman"/>
          <w:color w:val="000000"/>
          <w:sz w:val="24"/>
          <w:szCs w:val="24"/>
        </w:rPr>
        <w:t>,</w:t>
      </w:r>
      <w:r w:rsidRPr="00E76B69">
        <w:rPr>
          <w:rFonts w:ascii="Garamond" w:hAnsi="Garamond" w:cs="Times New Roman"/>
          <w:color w:val="000000"/>
          <w:sz w:val="24"/>
          <w:szCs w:val="24"/>
        </w:rPr>
        <w:t xml:space="preserve"> dhe/ose aksesin në një llogari pagese. Ofruesit e shërbimeve të pagesave llogarisin kohën e ndërprerjes së shërbimit që nga momenti i fillimit të ndërprerjes së shërbimit dhe marrin në konsideratë si intervalet kohore gjatë orarit zyrtar të punës</w:t>
      </w:r>
      <w:r w:rsidR="00C85813">
        <w:rPr>
          <w:rFonts w:ascii="Garamond" w:hAnsi="Garamond" w:cs="Times New Roman"/>
          <w:color w:val="000000"/>
          <w:sz w:val="24"/>
          <w:szCs w:val="24"/>
        </w:rPr>
        <w:t>m</w:t>
      </w:r>
      <w:r w:rsidRPr="00E76B69">
        <w:rPr>
          <w:rFonts w:ascii="Garamond" w:hAnsi="Garamond" w:cs="Times New Roman"/>
          <w:color w:val="000000"/>
          <w:sz w:val="24"/>
          <w:szCs w:val="24"/>
        </w:rPr>
        <w:t xml:space="preserve"> siç kërkohet për kryerjen/ekzekutimin e shërbimeve të pagesave, ashtu edhe orët jashtë orarit zyrtar të punës dhe periudhat e mirëmbajtjes, kur është e përshtatshme dhe e zbatueshme. Nëse ofruesit e shërbimeve të pagesave nuk janë në gjendje të përcaktojnë se kur filloi ndërprerja e shërbimit, në mënyrë përjashtimore ata llogarisin ndërprerjen e shërbimit që nga momenti kur zbulohet ndërprerja e shërbimit</w:t>
      </w:r>
      <w:r w:rsidR="00C85813">
        <w:rPr>
          <w:rFonts w:ascii="Garamond" w:hAnsi="Garamond" w:cs="Times New Roman"/>
          <w:color w:val="000000"/>
          <w:sz w:val="24"/>
          <w:szCs w:val="24"/>
        </w:rPr>
        <w:t>;</w:t>
      </w:r>
    </w:p>
    <w:p w14:paraId="3821F4E2" w14:textId="2879D21E"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i/>
          <w:iCs/>
          <w:color w:val="000000"/>
          <w:sz w:val="24"/>
          <w:szCs w:val="24"/>
        </w:rPr>
        <w:t>e)</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ndikimi ekonomik</w:t>
      </w:r>
    </w:p>
    <w:p w14:paraId="09BC4E28" w14:textId="42AD24F6"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përfaqëson kostot që mund të lidhen drejtpërdrejt me incidentin, si dhe kostot që lidhen në mënyrë të tërthortë me të. Ofruesit e shërbimeve të pagesave, për qëllime të matjes/përllogaritjes së ndikimit ekonomik, konsiderojnë fondet ose pasuritë e përvetësuara (</w:t>
      </w:r>
      <w:r w:rsidRPr="00E76B69">
        <w:rPr>
          <w:rFonts w:ascii="Garamond" w:hAnsi="Garamond" w:cs="Times New Roman"/>
          <w:i/>
          <w:iCs/>
          <w:color w:val="000000"/>
          <w:sz w:val="24"/>
          <w:szCs w:val="24"/>
        </w:rPr>
        <w:t>expropriated</w:t>
      </w:r>
      <w:r w:rsidRPr="00E76B69">
        <w:rPr>
          <w:rFonts w:ascii="Garamond" w:hAnsi="Garamond" w:cs="Times New Roman"/>
          <w:color w:val="000000"/>
          <w:sz w:val="24"/>
          <w:szCs w:val="24"/>
        </w:rPr>
        <w:t>), kostot e zëvendësimit të pajisjeve (</w:t>
      </w:r>
      <w:r w:rsidRPr="00E76B69">
        <w:rPr>
          <w:rFonts w:ascii="Garamond" w:hAnsi="Garamond" w:cs="Times New Roman"/>
          <w:i/>
          <w:iCs/>
          <w:color w:val="000000"/>
          <w:sz w:val="24"/>
          <w:szCs w:val="24"/>
        </w:rPr>
        <w:t>hardware</w:t>
      </w:r>
      <w:r w:rsidRPr="00E76B69">
        <w:rPr>
          <w:rFonts w:ascii="Garamond" w:hAnsi="Garamond" w:cs="Times New Roman"/>
          <w:color w:val="000000"/>
          <w:sz w:val="24"/>
          <w:szCs w:val="24"/>
        </w:rPr>
        <w:t>) ose programeve kompjuterike (</w:t>
      </w:r>
      <w:r w:rsidRPr="00E76B69">
        <w:rPr>
          <w:rFonts w:ascii="Garamond" w:hAnsi="Garamond" w:cs="Times New Roman"/>
          <w:i/>
          <w:iCs/>
          <w:color w:val="000000"/>
          <w:sz w:val="24"/>
          <w:szCs w:val="24"/>
        </w:rPr>
        <w:t>software</w:t>
      </w:r>
      <w:r w:rsidRPr="00E76B69">
        <w:rPr>
          <w:rFonts w:ascii="Garamond" w:hAnsi="Garamond" w:cs="Times New Roman"/>
          <w:color w:val="000000"/>
          <w:sz w:val="24"/>
          <w:szCs w:val="24"/>
        </w:rPr>
        <w:t>), kosto të tjera ligjore ose për rikthimin në gjendjen e mëparshme (riparimin), tarifat për mosrespektimin e detyrimeve kontraktuale, sanksionet, detyrimet e jashtme dhe të ardhurat e munguara. Ofruesit e shërbimeve të pagesave, për kostot që lidhen në mënyrë të tërthortë me incidentin, marrin në konsideratë vetëm ato kosto që njihen tashmë ose që ka shumë të ngjarë të materializohen.</w:t>
      </w:r>
    </w:p>
    <w:p w14:paraId="180F1605"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i/>
          <w:iCs/>
          <w:color w:val="000000"/>
          <w:sz w:val="24"/>
          <w:szCs w:val="24"/>
        </w:rPr>
      </w:pPr>
      <w:r w:rsidRPr="00E76B69">
        <w:rPr>
          <w:rFonts w:ascii="Garamond" w:hAnsi="Garamond" w:cs="Times New Roman"/>
          <w:i/>
          <w:iCs/>
          <w:color w:val="000000"/>
          <w:sz w:val="24"/>
          <w:szCs w:val="24"/>
        </w:rPr>
        <w:t>f)</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niveli i lartë i përshkallëzimit të brendshëm</w:t>
      </w:r>
    </w:p>
    <w:p w14:paraId="15CC8E38" w14:textId="358BAB04"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Ofruesit e shërbimeve të pagesave marrin në konsideratë nëse, si rezultat i ndikimit në shërbimet e lidhura me pagesat, organet drejtuese janë informuar ose ka të ngjarë të informohen për incidentin, jashtë çdo njoftimi periodik (</w:t>
      </w:r>
      <w:r w:rsidRPr="00E76B69">
        <w:rPr>
          <w:rFonts w:ascii="Garamond" w:hAnsi="Garamond" w:cs="Times New Roman"/>
          <w:i/>
          <w:iCs/>
          <w:color w:val="000000"/>
          <w:sz w:val="24"/>
          <w:szCs w:val="24"/>
        </w:rPr>
        <w:t>ad-hoc</w:t>
      </w:r>
      <w:r w:rsidRPr="00E76B69">
        <w:rPr>
          <w:rFonts w:ascii="Garamond" w:hAnsi="Garamond" w:cs="Times New Roman"/>
          <w:color w:val="000000"/>
          <w:sz w:val="24"/>
          <w:szCs w:val="24"/>
        </w:rPr>
        <w:t xml:space="preserve">) dhe në mënyrë të vazhdueshme gjatë </w:t>
      </w:r>
      <w:r w:rsidR="00C85813" w:rsidRPr="00E76B69">
        <w:rPr>
          <w:rFonts w:ascii="Garamond" w:hAnsi="Garamond" w:cs="Times New Roman"/>
          <w:color w:val="000000"/>
          <w:sz w:val="24"/>
          <w:szCs w:val="24"/>
        </w:rPr>
        <w:t xml:space="preserve">të </w:t>
      </w:r>
      <w:r w:rsidRPr="00E76B69">
        <w:rPr>
          <w:rFonts w:ascii="Garamond" w:hAnsi="Garamond" w:cs="Times New Roman"/>
          <w:color w:val="000000"/>
          <w:sz w:val="24"/>
          <w:szCs w:val="24"/>
        </w:rPr>
        <w:t>gjithë kohëzgjatjes së incidentit. Ofruesit e shërbimeve të pagesave duhet të marrin gjithashtu në konsideratë nëse, si rezultat i ndikimit të incidentit në shërbimet e lidhura me pagesat, është shkaktuar ose ka të ngjarë të shkaktohet një gjendje krize</w:t>
      </w:r>
      <w:r w:rsidR="00C85813">
        <w:rPr>
          <w:rFonts w:ascii="Garamond" w:hAnsi="Garamond" w:cs="Times New Roman"/>
          <w:color w:val="000000"/>
          <w:sz w:val="24"/>
          <w:szCs w:val="24"/>
        </w:rPr>
        <w:t>;</w:t>
      </w:r>
    </w:p>
    <w:p w14:paraId="6378A9FF"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i/>
          <w:iCs/>
          <w:color w:val="000000"/>
          <w:sz w:val="24"/>
          <w:szCs w:val="24"/>
        </w:rPr>
      </w:pPr>
      <w:r w:rsidRPr="00E76B69">
        <w:rPr>
          <w:rFonts w:ascii="Garamond" w:hAnsi="Garamond" w:cs="Times New Roman"/>
          <w:i/>
          <w:iCs/>
          <w:color w:val="000000"/>
          <w:sz w:val="24"/>
          <w:szCs w:val="24"/>
        </w:rPr>
        <w:t>g)</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ofruesit e tjerë të shërbimeve të pagesave ose infrastrukturat përkatëse që mund të preken nga incidenti</w:t>
      </w:r>
    </w:p>
    <w:p w14:paraId="271E898F" w14:textId="2A87DDD5"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Ofruesit e shërbimeve të pagesave vlerësojnë ndikimin e incidentit në tregun financiar, që nënkupton infrastrukturën e tregut financiar dhe/ose skemat e pagesave që e mbështesin atë dhe ofruesit e tjerë të shërbimeve të pagesave. Në veçanti, ofruesit e shërbimeve të pagesave duhet të vlerësojnë nëse incidenti ka ndodhur ose ka të ngjarë të ndodhë/të përsëritet edhe te ofruesit e tjerë të shërbimeve të pagesave, nëse ai ka ndikuar ose ka të ngjarë të ndikojë në funksionimin normal të infrastrukturave të tregut financiar dhe nëse ka kompromentuar ose ka të ngjarë të kompromentojë funksionimin e shëndoshë të sistemit financiar në tërësi. Ofruesit e shërbimeve të pagesave marrin në konsideratë dimensione të ndryshme, të tilla si: nëse komponenti/programi kompjuterik (</w:t>
      </w:r>
      <w:r w:rsidRPr="00E76B69">
        <w:rPr>
          <w:rFonts w:ascii="Garamond" w:hAnsi="Garamond" w:cs="Times New Roman"/>
          <w:i/>
          <w:iCs/>
          <w:color w:val="000000"/>
          <w:sz w:val="24"/>
          <w:szCs w:val="24"/>
        </w:rPr>
        <w:t>software</w:t>
      </w:r>
      <w:r w:rsidRPr="00E76B69">
        <w:rPr>
          <w:rFonts w:ascii="Garamond" w:hAnsi="Garamond" w:cs="Times New Roman"/>
          <w:color w:val="000000"/>
          <w:sz w:val="24"/>
          <w:szCs w:val="24"/>
        </w:rPr>
        <w:t>) i prekur është plotësisht në pronësi ose i ndarë me anëtarë të tjerë, nëse rrjeti i kompromentuar është i brendshëm ose i jashtëm dhe nëse ofruesi i shërbimit të pagesave ka ndërprerë ose ka të ngjarë të ndërpresë përmbushjen e detyrimeve të tij në infrastrukturat e tregut financiar në të cilat është anëtar (pjesëmarrës)</w:t>
      </w:r>
      <w:r w:rsidR="00C85813">
        <w:rPr>
          <w:rFonts w:ascii="Garamond" w:hAnsi="Garamond" w:cs="Times New Roman"/>
          <w:color w:val="000000"/>
          <w:sz w:val="24"/>
          <w:szCs w:val="24"/>
        </w:rPr>
        <w:t>;</w:t>
      </w:r>
    </w:p>
    <w:p w14:paraId="598FF855"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i/>
          <w:iCs/>
          <w:color w:val="000000"/>
          <w:sz w:val="24"/>
          <w:szCs w:val="24"/>
        </w:rPr>
      </w:pPr>
      <w:r w:rsidRPr="00E76B69">
        <w:rPr>
          <w:rFonts w:ascii="Garamond" w:hAnsi="Garamond" w:cs="Times New Roman"/>
          <w:i/>
          <w:iCs/>
          <w:color w:val="000000"/>
          <w:sz w:val="24"/>
          <w:szCs w:val="24"/>
        </w:rPr>
        <w:t>h)</w:t>
      </w:r>
      <w:r w:rsidR="00635FDC" w:rsidRPr="00E76B69">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 xml:space="preserve">ndikimi reputacional </w:t>
      </w:r>
    </w:p>
    <w:p w14:paraId="0336B65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Ofruesit e shërbimeve të pagesave marrin në konsideratë nivelin e shikueshmërisë që incidenti ka fituar ose ka të ngjarë të fitojë në treg, sipas njohurive më të mira të tyre. Në veçanti, ofruesit e shërbimeve të pagesave marrin në konsideratë mundësinë që incidenti të shkaktojë dëm në shoqëri, si një tregues i mirë i mundësisë për të ndikuar reputacionin e tyre. Ofruesit e shërbimeve të pagesave marrin parasysh nëse:</w:t>
      </w:r>
    </w:p>
    <w:p w14:paraId="64FECD53"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i.</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përdoruesit e shërbimeve të pagesave dhe/ose ofruesit e tjerë të shërbimeve të pagesave janë ankuar mbi ndikimin negativ të incidentit;</w:t>
      </w:r>
    </w:p>
    <w:p w14:paraId="1E17C432" w14:textId="1893F2E9"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ii.</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incidenti ka ndikuar në një proces të dallueshëm/të dukshëm</w:t>
      </w:r>
      <w:r w:rsidR="00C85813">
        <w:rPr>
          <w:rFonts w:ascii="Garamond" w:hAnsi="Garamond" w:cs="Times New Roman"/>
          <w:color w:val="000000"/>
          <w:sz w:val="24"/>
          <w:szCs w:val="24"/>
        </w:rPr>
        <w:t>,</w:t>
      </w:r>
      <w:r w:rsidRPr="00E76B69">
        <w:rPr>
          <w:rFonts w:ascii="Garamond" w:hAnsi="Garamond" w:cs="Times New Roman"/>
          <w:color w:val="000000"/>
          <w:sz w:val="24"/>
          <w:szCs w:val="24"/>
        </w:rPr>
        <w:t xml:space="preserve"> të lidhur me shërbimet e pagesave dhe për këtë arsye ka të ngjarë të marrë ose ka marrë tashmë mbulim mediatik (duke marrë parasysh jo vetëm mediat tradicionale, të tilla si gazetat, por edhe bloget, rrjetet sociale, etj.); </w:t>
      </w:r>
    </w:p>
    <w:p w14:paraId="10CE70E2" w14:textId="7EDA89FD"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iii.</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detyrimet kontraktuale nuk janë respektuar ose ka të ngjarë të mos respektohen, që do të çonte në masa ligjore kundrejt ofruesit të shërbimeve të pagesave;</w:t>
      </w:r>
    </w:p>
    <w:p w14:paraId="5ACD42DA"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iv.</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 xml:space="preserve">kërkesat rregullative nuk janë plotësuar, çka do të rezultojë në vendosjen e masave mbikëqyrëse ose sanksioneve, të cilat janë publikuar ose ka të ngjarë të publikohen; dhe </w:t>
      </w:r>
    </w:p>
    <w:p w14:paraId="0F8A7A3E"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v.</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i njëjti lloj incidenti ka ndodhur edhe më parë.</w:t>
      </w:r>
    </w:p>
    <w:p w14:paraId="4E805638" w14:textId="34E9A78E" w:rsidR="008921A4" w:rsidRPr="00E76B69" w:rsidRDefault="008921A4" w:rsidP="00D023FD">
      <w:pPr>
        <w:widowControl w:val="0"/>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2.1.4</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 xml:space="preserve">Ofruesit e shërbimeve të pagesave vlerësojnë një incident duke përcaktuar, për secilin kriter individual, nëse kufijtë përkatës në </w:t>
      </w:r>
      <w:r w:rsidR="00C85813">
        <w:rPr>
          <w:rFonts w:ascii="Garamond" w:hAnsi="Garamond" w:cs="Times New Roman"/>
          <w:color w:val="000000"/>
          <w:sz w:val="24"/>
          <w:szCs w:val="24"/>
        </w:rPr>
        <w:t>t</w:t>
      </w:r>
      <w:r w:rsidRPr="00E76B69">
        <w:rPr>
          <w:rFonts w:ascii="Garamond" w:hAnsi="Garamond" w:cs="Times New Roman"/>
          <w:color w:val="000000"/>
          <w:sz w:val="24"/>
          <w:szCs w:val="24"/>
        </w:rPr>
        <w:t>abelën 1 janë arritur ose ka të ngjarë të arrihen, para se të zgjidhet incidenti.</w:t>
      </w:r>
    </w:p>
    <w:p w14:paraId="2C7876F0"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p>
    <w:p w14:paraId="2477B1CD" w14:textId="77777777" w:rsidR="00635FDC" w:rsidRPr="00C85813" w:rsidRDefault="008921A4" w:rsidP="00D023FD">
      <w:pPr>
        <w:widowControl w:val="0"/>
        <w:autoSpaceDE w:val="0"/>
        <w:autoSpaceDN w:val="0"/>
        <w:adjustRightInd w:val="0"/>
        <w:spacing w:after="0" w:line="240" w:lineRule="auto"/>
        <w:ind w:firstLine="284"/>
        <w:jc w:val="both"/>
        <w:rPr>
          <w:rFonts w:ascii="Garamond" w:hAnsi="Garamond" w:cs="Times New Roman"/>
          <w:b/>
          <w:color w:val="000000"/>
          <w:sz w:val="24"/>
          <w:szCs w:val="24"/>
        </w:rPr>
      </w:pPr>
      <w:r w:rsidRPr="00C85813">
        <w:rPr>
          <w:rFonts w:ascii="Garamond" w:hAnsi="Garamond" w:cs="Times New Roman"/>
          <w:b/>
          <w:color w:val="000000"/>
          <w:sz w:val="24"/>
          <w:szCs w:val="24"/>
        </w:rPr>
        <w:t>Tabela 1</w:t>
      </w:r>
    </w:p>
    <w:tbl>
      <w:tblPr>
        <w:tblpPr w:leftFromText="180" w:rightFromText="180" w:vertAnchor="text" w:horzAnchor="margin" w:tblpXSpec="center" w:tblpY="68"/>
        <w:tblW w:w="5000" w:type="pct"/>
        <w:tblBorders>
          <w:top w:val="nil"/>
          <w:left w:val="nil"/>
          <w:bottom w:val="nil"/>
          <w:right w:val="nil"/>
        </w:tblBorders>
        <w:tblLook w:val="0000" w:firstRow="0" w:lastRow="0" w:firstColumn="0" w:lastColumn="0" w:noHBand="0" w:noVBand="0"/>
      </w:tblPr>
      <w:tblGrid>
        <w:gridCol w:w="2123"/>
        <w:gridCol w:w="3469"/>
        <w:gridCol w:w="3469"/>
      </w:tblGrid>
      <w:tr w:rsidR="00635FDC" w:rsidRPr="00E76B69" w14:paraId="0F152525" w14:textId="77777777" w:rsidTr="00635FDC">
        <w:trPr>
          <w:trHeight w:val="20"/>
        </w:trPr>
        <w:tc>
          <w:tcPr>
            <w:tcW w:w="1172" w:type="pct"/>
            <w:tcBorders>
              <w:top w:val="single" w:sz="4" w:space="0" w:color="auto"/>
              <w:left w:val="single" w:sz="4" w:space="0" w:color="auto"/>
              <w:bottom w:val="single" w:sz="4" w:space="0" w:color="auto"/>
              <w:right w:val="single" w:sz="4" w:space="0" w:color="auto"/>
            </w:tcBorders>
          </w:tcPr>
          <w:p w14:paraId="1EECCC6F" w14:textId="2CDD5B20" w:rsidR="00635FDC" w:rsidRPr="00E76B69" w:rsidRDefault="00635FDC" w:rsidP="00D023FD">
            <w:pPr>
              <w:widowControl w:val="0"/>
              <w:autoSpaceDE w:val="0"/>
              <w:autoSpaceDN w:val="0"/>
              <w:adjustRightInd w:val="0"/>
              <w:spacing w:after="0" w:line="240" w:lineRule="auto"/>
              <w:jc w:val="center"/>
              <w:rPr>
                <w:rFonts w:ascii="Garamond" w:hAnsi="Garamond" w:cs="Times New Roman"/>
                <w:color w:val="000000"/>
                <w:sz w:val="20"/>
                <w:szCs w:val="20"/>
              </w:rPr>
            </w:pPr>
            <w:r w:rsidRPr="00E76B69">
              <w:rPr>
                <w:rFonts w:ascii="Garamond" w:hAnsi="Garamond" w:cs="Times New Roman"/>
                <w:b/>
                <w:bCs/>
                <w:color w:val="000000"/>
                <w:sz w:val="20"/>
                <w:szCs w:val="20"/>
              </w:rPr>
              <w:t>Kriteret (</w:t>
            </w:r>
            <w:r w:rsidR="00C85813">
              <w:rPr>
                <w:rFonts w:ascii="Garamond" w:hAnsi="Garamond" w:cs="Times New Roman"/>
                <w:b/>
                <w:bCs/>
                <w:color w:val="000000"/>
                <w:sz w:val="20"/>
                <w:szCs w:val="20"/>
              </w:rPr>
              <w:t>e</w:t>
            </w:r>
            <w:r w:rsidRPr="00E76B69">
              <w:rPr>
                <w:rFonts w:ascii="Garamond" w:hAnsi="Garamond" w:cs="Times New Roman"/>
                <w:b/>
                <w:bCs/>
                <w:color w:val="000000"/>
                <w:sz w:val="20"/>
                <w:szCs w:val="20"/>
              </w:rPr>
              <w:t>lementet)</w:t>
            </w:r>
          </w:p>
        </w:tc>
        <w:tc>
          <w:tcPr>
            <w:tcW w:w="1914" w:type="pct"/>
            <w:tcBorders>
              <w:top w:val="single" w:sz="4" w:space="0" w:color="auto"/>
              <w:left w:val="single" w:sz="4" w:space="0" w:color="auto"/>
              <w:bottom w:val="single" w:sz="4" w:space="0" w:color="auto"/>
              <w:right w:val="single" w:sz="4" w:space="0" w:color="auto"/>
            </w:tcBorders>
          </w:tcPr>
          <w:p w14:paraId="7D6B7252" w14:textId="77777777" w:rsidR="00635FDC" w:rsidRPr="00E76B69" w:rsidRDefault="00635FDC" w:rsidP="00D023FD">
            <w:pPr>
              <w:widowControl w:val="0"/>
              <w:autoSpaceDE w:val="0"/>
              <w:autoSpaceDN w:val="0"/>
              <w:adjustRightInd w:val="0"/>
              <w:spacing w:after="0" w:line="240" w:lineRule="auto"/>
              <w:jc w:val="center"/>
              <w:rPr>
                <w:rFonts w:ascii="Garamond" w:hAnsi="Garamond" w:cs="Times New Roman"/>
                <w:color w:val="000000"/>
                <w:sz w:val="20"/>
                <w:szCs w:val="20"/>
              </w:rPr>
            </w:pPr>
            <w:r w:rsidRPr="00E76B69">
              <w:rPr>
                <w:rFonts w:ascii="Garamond" w:hAnsi="Garamond" w:cs="Times New Roman"/>
                <w:b/>
                <w:bCs/>
                <w:color w:val="000000"/>
                <w:sz w:val="20"/>
                <w:szCs w:val="20"/>
              </w:rPr>
              <w:t>Ndikim i ulët</w:t>
            </w:r>
          </w:p>
        </w:tc>
        <w:tc>
          <w:tcPr>
            <w:tcW w:w="1914" w:type="pct"/>
            <w:tcBorders>
              <w:top w:val="single" w:sz="4" w:space="0" w:color="auto"/>
              <w:left w:val="single" w:sz="4" w:space="0" w:color="auto"/>
              <w:bottom w:val="single" w:sz="4" w:space="0" w:color="auto"/>
              <w:right w:val="single" w:sz="4" w:space="0" w:color="auto"/>
            </w:tcBorders>
          </w:tcPr>
          <w:p w14:paraId="1E0DB63E" w14:textId="77777777" w:rsidR="00635FDC" w:rsidRPr="00E76B69" w:rsidRDefault="00635FDC" w:rsidP="00D023FD">
            <w:pPr>
              <w:widowControl w:val="0"/>
              <w:autoSpaceDE w:val="0"/>
              <w:autoSpaceDN w:val="0"/>
              <w:adjustRightInd w:val="0"/>
              <w:spacing w:after="0" w:line="240" w:lineRule="auto"/>
              <w:jc w:val="center"/>
              <w:rPr>
                <w:rFonts w:ascii="Garamond" w:hAnsi="Garamond" w:cs="Times New Roman"/>
                <w:color w:val="000000"/>
                <w:sz w:val="20"/>
                <w:szCs w:val="20"/>
              </w:rPr>
            </w:pPr>
            <w:r w:rsidRPr="00E76B69">
              <w:rPr>
                <w:rFonts w:ascii="Garamond" w:hAnsi="Garamond" w:cs="Times New Roman"/>
                <w:b/>
                <w:bCs/>
                <w:color w:val="000000"/>
                <w:sz w:val="20"/>
                <w:szCs w:val="20"/>
              </w:rPr>
              <w:t xml:space="preserve">Ndikim i lartë </w:t>
            </w:r>
          </w:p>
        </w:tc>
      </w:tr>
      <w:tr w:rsidR="00635FDC" w:rsidRPr="00E76B69" w14:paraId="36E35C7D" w14:textId="77777777" w:rsidTr="00635FDC">
        <w:trPr>
          <w:trHeight w:val="20"/>
        </w:trPr>
        <w:tc>
          <w:tcPr>
            <w:tcW w:w="1172" w:type="pct"/>
            <w:tcBorders>
              <w:top w:val="single" w:sz="4" w:space="0" w:color="auto"/>
              <w:left w:val="single" w:sz="4" w:space="0" w:color="auto"/>
              <w:bottom w:val="single" w:sz="4" w:space="0" w:color="auto"/>
              <w:right w:val="single" w:sz="4" w:space="0" w:color="auto"/>
            </w:tcBorders>
          </w:tcPr>
          <w:p w14:paraId="393EADE5"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Transaksionet e prekura nga incidenti</w:t>
            </w:r>
          </w:p>
        </w:tc>
        <w:tc>
          <w:tcPr>
            <w:tcW w:w="1914" w:type="pct"/>
            <w:tcBorders>
              <w:top w:val="single" w:sz="4" w:space="0" w:color="auto"/>
              <w:left w:val="single" w:sz="4" w:space="0" w:color="auto"/>
              <w:bottom w:val="single" w:sz="4" w:space="0" w:color="auto"/>
              <w:right w:val="single" w:sz="4" w:space="0" w:color="auto"/>
            </w:tcBorders>
          </w:tcPr>
          <w:p w14:paraId="34A1FF89" w14:textId="15863582"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&gt; 10% e nivelit të rregullt të transaksioneve të ofruesit të shërbimeve të pagesave (për sa i përket numrit të transaksioneve)</w:t>
            </w:r>
          </w:p>
          <w:p w14:paraId="45D50056" w14:textId="2D0575C9" w:rsidR="00635FDC" w:rsidRPr="00E76B69" w:rsidRDefault="00BD41B0" w:rsidP="00D023FD">
            <w:pPr>
              <w:widowControl w:val="0"/>
              <w:autoSpaceDE w:val="0"/>
              <w:autoSpaceDN w:val="0"/>
              <w:adjustRightInd w:val="0"/>
              <w:spacing w:after="0" w:line="240" w:lineRule="auto"/>
              <w:jc w:val="both"/>
              <w:rPr>
                <w:rFonts w:ascii="Garamond" w:hAnsi="Garamond" w:cs="Times New Roman"/>
                <w:b/>
                <w:bCs/>
                <w:color w:val="000000"/>
                <w:sz w:val="20"/>
                <w:szCs w:val="20"/>
              </w:rPr>
            </w:pPr>
            <w:r>
              <w:rPr>
                <w:rFonts w:ascii="Garamond" w:hAnsi="Garamond" w:cs="Times New Roman"/>
                <w:b/>
                <w:bCs/>
                <w:color w:val="000000"/>
                <w:sz w:val="20"/>
                <w:szCs w:val="20"/>
              </w:rPr>
              <w:t xml:space="preserve"> </w:t>
            </w:r>
            <w:r w:rsidR="00635FDC" w:rsidRPr="00E76B69">
              <w:rPr>
                <w:rFonts w:ascii="Garamond" w:hAnsi="Garamond" w:cs="Times New Roman"/>
                <w:b/>
                <w:bCs/>
                <w:color w:val="000000"/>
                <w:sz w:val="20"/>
                <w:szCs w:val="20"/>
              </w:rPr>
              <w:t xml:space="preserve">dhe </w:t>
            </w:r>
          </w:p>
          <w:p w14:paraId="177ACDB8"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bCs/>
                <w:color w:val="000000"/>
                <w:sz w:val="20"/>
                <w:szCs w:val="20"/>
              </w:rPr>
            </w:pPr>
            <w:r w:rsidRPr="00E76B69">
              <w:rPr>
                <w:rFonts w:ascii="Garamond" w:hAnsi="Garamond" w:cs="Times New Roman"/>
                <w:bCs/>
                <w:color w:val="000000"/>
                <w:sz w:val="20"/>
                <w:szCs w:val="20"/>
              </w:rPr>
              <w:t>kohëzgjatja e incidentit &gt; 1 orë</w:t>
            </w:r>
            <w:r w:rsidRPr="00E76B69">
              <w:rPr>
                <w:rFonts w:ascii="Garamond" w:hAnsi="Garamond" w:cs="Times New Roman"/>
                <w:bCs/>
                <w:color w:val="000000"/>
                <w:sz w:val="20"/>
                <w:szCs w:val="20"/>
                <w:vertAlign w:val="superscript"/>
              </w:rPr>
              <w:t>1</w:t>
            </w:r>
            <w:r w:rsidRPr="00E76B69">
              <w:rPr>
                <w:rFonts w:ascii="Garamond" w:hAnsi="Garamond" w:cs="Times New Roman"/>
                <w:bCs/>
                <w:color w:val="000000"/>
                <w:sz w:val="20"/>
                <w:szCs w:val="20"/>
              </w:rPr>
              <w:t xml:space="preserve"> </w:t>
            </w:r>
          </w:p>
          <w:p w14:paraId="5D32C397"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b/>
                <w:bCs/>
                <w:color w:val="000000"/>
                <w:sz w:val="20"/>
                <w:szCs w:val="20"/>
              </w:rPr>
            </w:pPr>
            <w:r w:rsidRPr="00E76B69">
              <w:rPr>
                <w:rFonts w:ascii="Garamond" w:hAnsi="Garamond" w:cs="Times New Roman"/>
                <w:b/>
                <w:bCs/>
                <w:color w:val="000000"/>
                <w:sz w:val="20"/>
                <w:szCs w:val="20"/>
              </w:rPr>
              <w:t xml:space="preserve">ose </w:t>
            </w:r>
          </w:p>
          <w:p w14:paraId="7F865716" w14:textId="4FC260FC"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&gt;</w:t>
            </w:r>
            <w:r w:rsidR="00BD41B0">
              <w:rPr>
                <w:rFonts w:ascii="Garamond" w:hAnsi="Garamond" w:cs="Times New Roman"/>
                <w:color w:val="000000"/>
                <w:sz w:val="20"/>
                <w:szCs w:val="20"/>
              </w:rPr>
              <w:t xml:space="preserve"> </w:t>
            </w:r>
            <w:r w:rsidRPr="00E76B69">
              <w:rPr>
                <w:rFonts w:ascii="Garamond" w:hAnsi="Garamond" w:cs="Times New Roman"/>
                <w:color w:val="000000"/>
                <w:sz w:val="20"/>
                <w:szCs w:val="20"/>
              </w:rPr>
              <w:t xml:space="preserve">vlera ekuivalente në lekë e shumës 500,000 euro </w:t>
            </w:r>
          </w:p>
          <w:p w14:paraId="5FC7E206" w14:textId="0671D388" w:rsidR="00635FDC" w:rsidRPr="00E76B69" w:rsidRDefault="00BD41B0" w:rsidP="00D023FD">
            <w:pPr>
              <w:widowControl w:val="0"/>
              <w:autoSpaceDE w:val="0"/>
              <w:autoSpaceDN w:val="0"/>
              <w:adjustRightInd w:val="0"/>
              <w:spacing w:after="0" w:line="240" w:lineRule="auto"/>
              <w:jc w:val="both"/>
              <w:rPr>
                <w:rFonts w:ascii="Garamond" w:hAnsi="Garamond" w:cs="Times New Roman"/>
                <w:b/>
                <w:bCs/>
                <w:color w:val="000000"/>
                <w:sz w:val="20"/>
                <w:szCs w:val="20"/>
              </w:rPr>
            </w:pPr>
            <w:r>
              <w:rPr>
                <w:rFonts w:ascii="Garamond" w:hAnsi="Garamond" w:cs="Times New Roman"/>
                <w:b/>
                <w:bCs/>
                <w:color w:val="000000"/>
                <w:sz w:val="20"/>
                <w:szCs w:val="20"/>
              </w:rPr>
              <w:t xml:space="preserve"> </w:t>
            </w:r>
            <w:r w:rsidR="00635FDC" w:rsidRPr="00E76B69">
              <w:rPr>
                <w:rFonts w:ascii="Garamond" w:hAnsi="Garamond" w:cs="Times New Roman"/>
                <w:b/>
                <w:bCs/>
                <w:color w:val="000000"/>
                <w:sz w:val="20"/>
                <w:szCs w:val="20"/>
              </w:rPr>
              <w:t xml:space="preserve">dhe </w:t>
            </w:r>
          </w:p>
          <w:p w14:paraId="1236E3EA"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bCs/>
                <w:color w:val="000000"/>
                <w:sz w:val="20"/>
                <w:szCs w:val="20"/>
              </w:rPr>
            </w:pPr>
            <w:r w:rsidRPr="00E76B69">
              <w:rPr>
                <w:rFonts w:ascii="Garamond" w:hAnsi="Garamond" w:cs="Times New Roman"/>
                <w:bCs/>
                <w:color w:val="000000"/>
                <w:sz w:val="20"/>
                <w:szCs w:val="20"/>
              </w:rPr>
              <w:t>kohëzgjatja e incidentit &gt; 1 orë</w:t>
            </w:r>
            <w:r w:rsidRPr="00E76B69">
              <w:rPr>
                <w:rFonts w:ascii="Garamond" w:hAnsi="Garamond" w:cs="Times New Roman"/>
                <w:bCs/>
                <w:color w:val="000000"/>
                <w:sz w:val="20"/>
                <w:szCs w:val="20"/>
                <w:vertAlign w:val="superscript"/>
              </w:rPr>
              <w:t>1</w:t>
            </w:r>
            <w:r w:rsidRPr="00E76B69">
              <w:rPr>
                <w:rFonts w:ascii="Garamond" w:hAnsi="Garamond" w:cs="Times New Roman"/>
                <w:bCs/>
                <w:color w:val="000000"/>
                <w:sz w:val="20"/>
                <w:szCs w:val="20"/>
              </w:rPr>
              <w:t xml:space="preserve"> </w:t>
            </w:r>
          </w:p>
        </w:tc>
        <w:tc>
          <w:tcPr>
            <w:tcW w:w="1914" w:type="pct"/>
            <w:tcBorders>
              <w:top w:val="single" w:sz="4" w:space="0" w:color="auto"/>
              <w:left w:val="single" w:sz="4" w:space="0" w:color="auto"/>
              <w:bottom w:val="single" w:sz="4" w:space="0" w:color="auto"/>
              <w:right w:val="single" w:sz="4" w:space="0" w:color="auto"/>
            </w:tcBorders>
          </w:tcPr>
          <w:p w14:paraId="5ED2326A"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&gt; 25% e nivelit të rregullt të transaksioneve të ofruesit të shërbimeve të pagesave (për sa i përket numrit të transaksioneve)</w:t>
            </w:r>
          </w:p>
          <w:p w14:paraId="40E5055E"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b/>
                <w:bCs/>
                <w:color w:val="000000"/>
                <w:sz w:val="20"/>
                <w:szCs w:val="20"/>
              </w:rPr>
              <w:t>ose</w:t>
            </w:r>
          </w:p>
          <w:p w14:paraId="2D0BC077"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&gt; vlera ekuivalente në lekë e shumës 15 milionë euro</w:t>
            </w:r>
          </w:p>
        </w:tc>
      </w:tr>
      <w:tr w:rsidR="00635FDC" w:rsidRPr="00E76B69" w14:paraId="6E7A535D" w14:textId="77777777" w:rsidTr="00635FDC">
        <w:trPr>
          <w:trHeight w:val="20"/>
        </w:trPr>
        <w:tc>
          <w:tcPr>
            <w:tcW w:w="1172" w:type="pct"/>
            <w:tcBorders>
              <w:top w:val="single" w:sz="4" w:space="0" w:color="auto"/>
              <w:left w:val="single" w:sz="4" w:space="0" w:color="auto"/>
              <w:bottom w:val="single" w:sz="4" w:space="0" w:color="auto"/>
              <w:right w:val="single" w:sz="4" w:space="0" w:color="auto"/>
            </w:tcBorders>
          </w:tcPr>
          <w:p w14:paraId="4B5FF749"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Përdoruesit e shërbimeve të pagesave të prekur nga incidenti</w:t>
            </w:r>
          </w:p>
        </w:tc>
        <w:tc>
          <w:tcPr>
            <w:tcW w:w="1914" w:type="pct"/>
            <w:tcBorders>
              <w:top w:val="single" w:sz="4" w:space="0" w:color="auto"/>
              <w:left w:val="single" w:sz="4" w:space="0" w:color="auto"/>
              <w:bottom w:val="single" w:sz="4" w:space="0" w:color="auto"/>
              <w:right w:val="single" w:sz="4" w:space="0" w:color="auto"/>
            </w:tcBorders>
          </w:tcPr>
          <w:p w14:paraId="3B9E771F"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&gt; 5,000 përdorues</w:t>
            </w:r>
          </w:p>
          <w:p w14:paraId="494CC4AA" w14:textId="64817C93" w:rsidR="00635FDC" w:rsidRPr="00E76B69" w:rsidRDefault="00BD41B0" w:rsidP="00D023FD">
            <w:pPr>
              <w:widowControl w:val="0"/>
              <w:autoSpaceDE w:val="0"/>
              <w:autoSpaceDN w:val="0"/>
              <w:adjustRightInd w:val="0"/>
              <w:spacing w:after="0" w:line="240" w:lineRule="auto"/>
              <w:jc w:val="both"/>
              <w:rPr>
                <w:rFonts w:ascii="Garamond" w:hAnsi="Garamond" w:cs="Times New Roman"/>
                <w:b/>
                <w:bCs/>
                <w:color w:val="000000"/>
                <w:sz w:val="20"/>
                <w:szCs w:val="20"/>
              </w:rPr>
            </w:pPr>
            <w:r>
              <w:rPr>
                <w:rFonts w:ascii="Garamond" w:hAnsi="Garamond" w:cs="Times New Roman"/>
                <w:b/>
                <w:bCs/>
                <w:color w:val="000000"/>
                <w:sz w:val="20"/>
                <w:szCs w:val="20"/>
              </w:rPr>
              <w:t xml:space="preserve"> </w:t>
            </w:r>
            <w:r w:rsidR="00635FDC" w:rsidRPr="00E76B69">
              <w:rPr>
                <w:rFonts w:ascii="Garamond" w:hAnsi="Garamond" w:cs="Times New Roman"/>
                <w:b/>
                <w:bCs/>
                <w:color w:val="000000"/>
                <w:sz w:val="20"/>
                <w:szCs w:val="20"/>
              </w:rPr>
              <w:t xml:space="preserve">dhe </w:t>
            </w:r>
          </w:p>
          <w:p w14:paraId="212196E2"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bCs/>
                <w:color w:val="000000"/>
                <w:sz w:val="20"/>
                <w:szCs w:val="20"/>
              </w:rPr>
            </w:pPr>
            <w:r w:rsidRPr="00E76B69">
              <w:rPr>
                <w:rFonts w:ascii="Garamond" w:hAnsi="Garamond" w:cs="Times New Roman"/>
                <w:bCs/>
                <w:color w:val="000000"/>
                <w:sz w:val="20"/>
                <w:szCs w:val="20"/>
              </w:rPr>
              <w:t>kohëzgjatja e incidentit &gt; 1 orë</w:t>
            </w:r>
            <w:r w:rsidRPr="00E76B69">
              <w:rPr>
                <w:rStyle w:val="FootnoteReference"/>
                <w:rFonts w:ascii="Garamond" w:hAnsi="Garamond" w:cs="Times New Roman"/>
                <w:bCs/>
                <w:color w:val="000000"/>
                <w:sz w:val="20"/>
                <w:szCs w:val="20"/>
              </w:rPr>
              <w:footnoteReference w:id="2"/>
            </w:r>
            <w:r w:rsidRPr="00E76B69">
              <w:rPr>
                <w:rFonts w:ascii="Garamond" w:hAnsi="Garamond" w:cs="Times New Roman"/>
                <w:bCs/>
                <w:color w:val="000000"/>
                <w:sz w:val="20"/>
                <w:szCs w:val="20"/>
              </w:rPr>
              <w:t xml:space="preserve"> </w:t>
            </w:r>
          </w:p>
          <w:p w14:paraId="20A62FE0"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b/>
                <w:bCs/>
                <w:color w:val="000000"/>
                <w:sz w:val="20"/>
                <w:szCs w:val="20"/>
              </w:rPr>
            </w:pPr>
            <w:r w:rsidRPr="00E76B69">
              <w:rPr>
                <w:rFonts w:ascii="Garamond" w:hAnsi="Garamond" w:cs="Times New Roman"/>
                <w:b/>
                <w:bCs/>
                <w:color w:val="000000"/>
                <w:sz w:val="20"/>
                <w:szCs w:val="20"/>
              </w:rPr>
              <w:t xml:space="preserve">ose </w:t>
            </w:r>
          </w:p>
          <w:p w14:paraId="22875AB3"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&gt; 10% e përdoruesve të shërbimeve të pagesave të ofruesit të shërbimeve të pagesave</w:t>
            </w:r>
          </w:p>
          <w:p w14:paraId="3DAF52F4" w14:textId="2B4CCA76" w:rsidR="00635FDC" w:rsidRPr="00E76B69" w:rsidRDefault="00BD41B0" w:rsidP="00D023FD">
            <w:pPr>
              <w:widowControl w:val="0"/>
              <w:autoSpaceDE w:val="0"/>
              <w:autoSpaceDN w:val="0"/>
              <w:adjustRightInd w:val="0"/>
              <w:spacing w:after="0" w:line="240" w:lineRule="auto"/>
              <w:jc w:val="both"/>
              <w:rPr>
                <w:rFonts w:ascii="Garamond" w:hAnsi="Garamond" w:cs="Times New Roman"/>
                <w:b/>
                <w:bCs/>
                <w:color w:val="000000"/>
                <w:sz w:val="20"/>
                <w:szCs w:val="20"/>
              </w:rPr>
            </w:pPr>
            <w:r>
              <w:rPr>
                <w:rFonts w:ascii="Garamond" w:hAnsi="Garamond" w:cs="Times New Roman"/>
                <w:b/>
                <w:bCs/>
                <w:color w:val="000000"/>
                <w:sz w:val="20"/>
                <w:szCs w:val="20"/>
              </w:rPr>
              <w:t xml:space="preserve"> </w:t>
            </w:r>
            <w:r w:rsidR="00635FDC" w:rsidRPr="00E76B69">
              <w:rPr>
                <w:rFonts w:ascii="Garamond" w:hAnsi="Garamond" w:cs="Times New Roman"/>
                <w:b/>
                <w:bCs/>
                <w:color w:val="000000"/>
                <w:sz w:val="20"/>
                <w:szCs w:val="20"/>
              </w:rPr>
              <w:t xml:space="preserve">dhe </w:t>
            </w:r>
          </w:p>
          <w:p w14:paraId="0A0E30E3"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bCs/>
                <w:color w:val="000000"/>
                <w:sz w:val="20"/>
                <w:szCs w:val="20"/>
              </w:rPr>
            </w:pPr>
            <w:r w:rsidRPr="00E76B69">
              <w:rPr>
                <w:rFonts w:ascii="Garamond" w:hAnsi="Garamond" w:cs="Times New Roman"/>
                <w:bCs/>
                <w:color w:val="000000"/>
                <w:sz w:val="20"/>
                <w:szCs w:val="20"/>
              </w:rPr>
              <w:t>kohëzgjatja e incidentit &gt; 1 orë</w:t>
            </w:r>
            <w:r w:rsidRPr="00E76B69">
              <w:rPr>
                <w:rFonts w:ascii="Garamond" w:hAnsi="Garamond" w:cs="Times New Roman"/>
                <w:bCs/>
                <w:color w:val="000000"/>
                <w:sz w:val="20"/>
                <w:szCs w:val="20"/>
                <w:vertAlign w:val="superscript"/>
              </w:rPr>
              <w:t>1</w:t>
            </w:r>
            <w:r w:rsidRPr="00E76B69">
              <w:rPr>
                <w:rFonts w:ascii="Garamond" w:hAnsi="Garamond" w:cs="Times New Roman"/>
                <w:bCs/>
                <w:color w:val="000000"/>
                <w:sz w:val="20"/>
                <w:szCs w:val="20"/>
              </w:rPr>
              <w:t xml:space="preserve"> </w:t>
            </w:r>
          </w:p>
        </w:tc>
        <w:tc>
          <w:tcPr>
            <w:tcW w:w="1914" w:type="pct"/>
            <w:tcBorders>
              <w:top w:val="single" w:sz="4" w:space="0" w:color="auto"/>
              <w:left w:val="single" w:sz="4" w:space="0" w:color="auto"/>
              <w:bottom w:val="single" w:sz="4" w:space="0" w:color="auto"/>
              <w:right w:val="single" w:sz="4" w:space="0" w:color="auto"/>
            </w:tcBorders>
          </w:tcPr>
          <w:p w14:paraId="5D762A90"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&gt; 50,000 përdorues</w:t>
            </w:r>
          </w:p>
          <w:p w14:paraId="194BB5B3"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b/>
                <w:bCs/>
                <w:color w:val="000000"/>
                <w:sz w:val="20"/>
                <w:szCs w:val="20"/>
              </w:rPr>
              <w:t xml:space="preserve">ose </w:t>
            </w:r>
          </w:p>
          <w:p w14:paraId="08865046"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&gt; 25% e përdoruesve të shërbimeve të pagesave të ofruesit të shërbimeve të pagesave</w:t>
            </w:r>
          </w:p>
          <w:p w14:paraId="23C24268"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p>
        </w:tc>
      </w:tr>
      <w:tr w:rsidR="00635FDC" w:rsidRPr="00E76B69" w14:paraId="37FB3232" w14:textId="77777777" w:rsidTr="00635FDC">
        <w:trPr>
          <w:trHeight w:val="20"/>
        </w:trPr>
        <w:tc>
          <w:tcPr>
            <w:tcW w:w="1172" w:type="pct"/>
            <w:tcBorders>
              <w:top w:val="single" w:sz="4" w:space="0" w:color="auto"/>
              <w:left w:val="single" w:sz="4" w:space="0" w:color="auto"/>
              <w:bottom w:val="single" w:sz="4" w:space="0" w:color="auto"/>
              <w:right w:val="single" w:sz="4" w:space="0" w:color="auto"/>
            </w:tcBorders>
          </w:tcPr>
          <w:p w14:paraId="65DD10D7" w14:textId="77777777" w:rsidR="00635FDC" w:rsidRPr="00E76B69" w:rsidRDefault="00635FDC" w:rsidP="00D023FD">
            <w:pPr>
              <w:widowControl w:val="0"/>
              <w:autoSpaceDE w:val="0"/>
              <w:autoSpaceDN w:val="0"/>
              <w:adjustRightInd w:val="0"/>
              <w:spacing w:after="0" w:line="240" w:lineRule="auto"/>
              <w:rPr>
                <w:rFonts w:ascii="Garamond" w:hAnsi="Garamond" w:cs="Times New Roman"/>
                <w:color w:val="000000"/>
                <w:sz w:val="20"/>
                <w:szCs w:val="20"/>
              </w:rPr>
            </w:pPr>
            <w:r w:rsidRPr="00E76B69">
              <w:rPr>
                <w:rFonts w:ascii="Garamond" w:hAnsi="Garamond" w:cs="Times New Roman"/>
                <w:color w:val="000000"/>
                <w:sz w:val="20"/>
                <w:szCs w:val="20"/>
              </w:rPr>
              <w:t xml:space="preserve">Kohëzgjatja e ndërprerjes së shërbimeve </w:t>
            </w:r>
          </w:p>
          <w:p w14:paraId="6CDC0442" w14:textId="77777777" w:rsidR="00635FDC" w:rsidRPr="00E76B69" w:rsidRDefault="00635FDC" w:rsidP="00D023FD">
            <w:pPr>
              <w:widowControl w:val="0"/>
              <w:autoSpaceDE w:val="0"/>
              <w:autoSpaceDN w:val="0"/>
              <w:adjustRightInd w:val="0"/>
              <w:spacing w:after="0" w:line="240" w:lineRule="auto"/>
              <w:rPr>
                <w:rFonts w:ascii="Garamond" w:hAnsi="Garamond" w:cs="Times New Roman"/>
                <w:color w:val="000000"/>
                <w:sz w:val="20"/>
                <w:szCs w:val="20"/>
              </w:rPr>
            </w:pPr>
          </w:p>
        </w:tc>
        <w:tc>
          <w:tcPr>
            <w:tcW w:w="1914" w:type="pct"/>
            <w:tcBorders>
              <w:top w:val="single" w:sz="4" w:space="0" w:color="auto"/>
              <w:left w:val="single" w:sz="4" w:space="0" w:color="auto"/>
              <w:bottom w:val="single" w:sz="4" w:space="0" w:color="auto"/>
              <w:right w:val="single" w:sz="4" w:space="0" w:color="auto"/>
            </w:tcBorders>
          </w:tcPr>
          <w:p w14:paraId="4F9C575B" w14:textId="58BF873B" w:rsidR="00635FDC" w:rsidRPr="00E76B69" w:rsidRDefault="00635FDC" w:rsidP="00D023FD">
            <w:pPr>
              <w:widowControl w:val="0"/>
              <w:autoSpaceDE w:val="0"/>
              <w:autoSpaceDN w:val="0"/>
              <w:adjustRightInd w:val="0"/>
              <w:spacing w:after="0" w:line="240" w:lineRule="auto"/>
              <w:rPr>
                <w:rFonts w:ascii="Garamond" w:hAnsi="Garamond" w:cs="Times New Roman"/>
                <w:color w:val="000000"/>
                <w:sz w:val="20"/>
                <w:szCs w:val="20"/>
              </w:rPr>
            </w:pPr>
            <w:r w:rsidRPr="00E76B69">
              <w:rPr>
                <w:rFonts w:ascii="Garamond" w:hAnsi="Garamond" w:cs="Times New Roman"/>
                <w:color w:val="000000"/>
                <w:sz w:val="20"/>
                <w:szCs w:val="20"/>
              </w:rPr>
              <w:t>&gt; 2 orë</w:t>
            </w:r>
          </w:p>
        </w:tc>
        <w:tc>
          <w:tcPr>
            <w:tcW w:w="1914" w:type="pct"/>
            <w:tcBorders>
              <w:top w:val="single" w:sz="4" w:space="0" w:color="auto"/>
              <w:left w:val="single" w:sz="4" w:space="0" w:color="auto"/>
              <w:bottom w:val="single" w:sz="4" w:space="0" w:color="auto"/>
              <w:right w:val="single" w:sz="4" w:space="0" w:color="auto"/>
            </w:tcBorders>
          </w:tcPr>
          <w:p w14:paraId="3BD00FCE" w14:textId="77777777" w:rsidR="00635FDC" w:rsidRPr="00E76B69" w:rsidRDefault="00635FDC" w:rsidP="00D023FD">
            <w:pPr>
              <w:widowControl w:val="0"/>
              <w:autoSpaceDE w:val="0"/>
              <w:autoSpaceDN w:val="0"/>
              <w:adjustRightInd w:val="0"/>
              <w:spacing w:after="0" w:line="240" w:lineRule="auto"/>
              <w:rPr>
                <w:rFonts w:ascii="Garamond" w:hAnsi="Garamond" w:cs="Times New Roman"/>
                <w:color w:val="000000"/>
                <w:sz w:val="20"/>
                <w:szCs w:val="20"/>
              </w:rPr>
            </w:pPr>
            <w:r w:rsidRPr="00E76B69">
              <w:rPr>
                <w:rFonts w:ascii="Garamond" w:hAnsi="Garamond" w:cs="Times New Roman"/>
                <w:color w:val="000000"/>
                <w:sz w:val="20"/>
                <w:szCs w:val="20"/>
              </w:rPr>
              <w:t xml:space="preserve">Nuk aplikohet (N/A) </w:t>
            </w:r>
          </w:p>
        </w:tc>
      </w:tr>
      <w:tr w:rsidR="00635FDC" w:rsidRPr="00E76B69" w14:paraId="5C4D2D06" w14:textId="77777777" w:rsidTr="00635FDC">
        <w:trPr>
          <w:trHeight w:val="20"/>
        </w:trPr>
        <w:tc>
          <w:tcPr>
            <w:tcW w:w="1172" w:type="pct"/>
            <w:tcBorders>
              <w:top w:val="single" w:sz="4" w:space="0" w:color="auto"/>
              <w:left w:val="single" w:sz="4" w:space="0" w:color="auto"/>
              <w:bottom w:val="single" w:sz="4" w:space="0" w:color="auto"/>
              <w:right w:val="single" w:sz="4" w:space="0" w:color="auto"/>
            </w:tcBorders>
          </w:tcPr>
          <w:p w14:paraId="3AC17245"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Thyerja e sigurisë së rrjetit ose sistemeve të informacionit</w:t>
            </w:r>
          </w:p>
          <w:p w14:paraId="2A498D32"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p>
        </w:tc>
        <w:tc>
          <w:tcPr>
            <w:tcW w:w="1914" w:type="pct"/>
            <w:tcBorders>
              <w:top w:val="single" w:sz="4" w:space="0" w:color="auto"/>
              <w:left w:val="single" w:sz="4" w:space="0" w:color="auto"/>
              <w:bottom w:val="single" w:sz="4" w:space="0" w:color="auto"/>
              <w:right w:val="single" w:sz="4" w:space="0" w:color="auto"/>
            </w:tcBorders>
          </w:tcPr>
          <w:p w14:paraId="62BA7F9E" w14:textId="6C5816AA" w:rsidR="00635FDC" w:rsidRPr="00E76B69" w:rsidRDefault="00C85813" w:rsidP="00D023FD">
            <w:pPr>
              <w:widowControl w:val="0"/>
              <w:autoSpaceDE w:val="0"/>
              <w:autoSpaceDN w:val="0"/>
              <w:adjustRightInd w:val="0"/>
              <w:spacing w:after="0" w:line="240" w:lineRule="auto"/>
              <w:rPr>
                <w:rFonts w:ascii="Garamond" w:hAnsi="Garamond" w:cs="Times New Roman"/>
                <w:color w:val="000000"/>
                <w:sz w:val="20"/>
                <w:szCs w:val="20"/>
              </w:rPr>
            </w:pPr>
            <w:r w:rsidRPr="00E76B69">
              <w:rPr>
                <w:rFonts w:ascii="Garamond" w:hAnsi="Garamond" w:cs="Times New Roman"/>
                <w:color w:val="000000"/>
                <w:sz w:val="20"/>
                <w:szCs w:val="20"/>
              </w:rPr>
              <w:t>Po</w:t>
            </w:r>
          </w:p>
        </w:tc>
        <w:tc>
          <w:tcPr>
            <w:tcW w:w="1914" w:type="pct"/>
            <w:tcBorders>
              <w:top w:val="single" w:sz="4" w:space="0" w:color="auto"/>
              <w:left w:val="single" w:sz="4" w:space="0" w:color="auto"/>
              <w:bottom w:val="single" w:sz="4" w:space="0" w:color="auto"/>
              <w:right w:val="single" w:sz="4" w:space="0" w:color="auto"/>
            </w:tcBorders>
          </w:tcPr>
          <w:p w14:paraId="27BEC30A" w14:textId="77777777" w:rsidR="00635FDC" w:rsidRPr="00E76B69" w:rsidRDefault="00635FDC" w:rsidP="00D023FD">
            <w:pPr>
              <w:widowControl w:val="0"/>
              <w:autoSpaceDE w:val="0"/>
              <w:autoSpaceDN w:val="0"/>
              <w:adjustRightInd w:val="0"/>
              <w:spacing w:after="0" w:line="240" w:lineRule="auto"/>
              <w:rPr>
                <w:rFonts w:ascii="Garamond" w:hAnsi="Garamond" w:cs="Times New Roman"/>
                <w:color w:val="000000"/>
                <w:sz w:val="20"/>
                <w:szCs w:val="20"/>
              </w:rPr>
            </w:pPr>
            <w:r w:rsidRPr="00E76B69">
              <w:rPr>
                <w:rFonts w:ascii="Garamond" w:hAnsi="Garamond" w:cs="Times New Roman"/>
                <w:color w:val="000000"/>
                <w:sz w:val="20"/>
                <w:szCs w:val="20"/>
              </w:rPr>
              <w:t>Nuk aplikohet (N/A)</w:t>
            </w:r>
          </w:p>
        </w:tc>
      </w:tr>
      <w:tr w:rsidR="00635FDC" w:rsidRPr="00E76B69" w14:paraId="67540554" w14:textId="77777777" w:rsidTr="00635FDC">
        <w:trPr>
          <w:trHeight w:val="20"/>
        </w:trPr>
        <w:tc>
          <w:tcPr>
            <w:tcW w:w="1172" w:type="pct"/>
            <w:tcBorders>
              <w:top w:val="single" w:sz="4" w:space="0" w:color="auto"/>
              <w:left w:val="single" w:sz="4" w:space="0" w:color="auto"/>
              <w:bottom w:val="single" w:sz="4" w:space="0" w:color="auto"/>
              <w:right w:val="single" w:sz="4" w:space="0" w:color="auto"/>
            </w:tcBorders>
          </w:tcPr>
          <w:p w14:paraId="17C52995"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 xml:space="preserve">Ndikimi ekonomik </w:t>
            </w:r>
          </w:p>
        </w:tc>
        <w:tc>
          <w:tcPr>
            <w:tcW w:w="1914" w:type="pct"/>
            <w:tcBorders>
              <w:top w:val="single" w:sz="4" w:space="0" w:color="auto"/>
              <w:left w:val="single" w:sz="4" w:space="0" w:color="auto"/>
              <w:bottom w:val="single" w:sz="4" w:space="0" w:color="auto"/>
              <w:right w:val="single" w:sz="4" w:space="0" w:color="auto"/>
            </w:tcBorders>
          </w:tcPr>
          <w:p w14:paraId="01D8E9E9" w14:textId="77777777" w:rsidR="00635FDC" w:rsidRPr="00E76B69" w:rsidRDefault="00635FDC" w:rsidP="00D023FD">
            <w:pPr>
              <w:widowControl w:val="0"/>
              <w:autoSpaceDE w:val="0"/>
              <w:autoSpaceDN w:val="0"/>
              <w:adjustRightInd w:val="0"/>
              <w:spacing w:after="0" w:line="240" w:lineRule="auto"/>
              <w:rPr>
                <w:rFonts w:ascii="Garamond" w:hAnsi="Garamond" w:cs="Times New Roman"/>
                <w:color w:val="000000"/>
                <w:sz w:val="20"/>
                <w:szCs w:val="20"/>
              </w:rPr>
            </w:pPr>
            <w:r w:rsidRPr="00E76B69">
              <w:rPr>
                <w:rFonts w:ascii="Garamond" w:hAnsi="Garamond" w:cs="Times New Roman"/>
                <w:color w:val="000000"/>
                <w:sz w:val="20"/>
                <w:szCs w:val="20"/>
              </w:rPr>
              <w:t>Nuk aplikohet (N/A)</w:t>
            </w:r>
          </w:p>
        </w:tc>
        <w:tc>
          <w:tcPr>
            <w:tcW w:w="1914" w:type="pct"/>
            <w:tcBorders>
              <w:top w:val="single" w:sz="4" w:space="0" w:color="auto"/>
              <w:left w:val="single" w:sz="4" w:space="0" w:color="auto"/>
              <w:bottom w:val="single" w:sz="4" w:space="0" w:color="auto"/>
              <w:right w:val="single" w:sz="4" w:space="0" w:color="auto"/>
            </w:tcBorders>
          </w:tcPr>
          <w:p w14:paraId="79924CA2"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&gt; Max (0.1% e kapitalit të nivelit 1</w:t>
            </w:r>
            <w:r w:rsidRPr="00E76B69">
              <w:rPr>
                <w:rStyle w:val="FootnoteReference"/>
                <w:rFonts w:ascii="Garamond" w:hAnsi="Garamond" w:cs="Times New Roman"/>
                <w:color w:val="000000"/>
                <w:sz w:val="20"/>
                <w:szCs w:val="20"/>
              </w:rPr>
              <w:footnoteReference w:id="3"/>
            </w:r>
            <w:r w:rsidRPr="00E76B69">
              <w:rPr>
                <w:rFonts w:ascii="Garamond" w:hAnsi="Garamond" w:cs="Times New Roman"/>
                <w:color w:val="000000"/>
                <w:sz w:val="20"/>
                <w:szCs w:val="20"/>
              </w:rPr>
              <w:t xml:space="preserve"> ; vlerës ekuivalente në lekë të shumës 200,000 euro) </w:t>
            </w:r>
          </w:p>
          <w:p w14:paraId="7C92DD82" w14:textId="77777777" w:rsidR="00635FDC" w:rsidRPr="00E76B69" w:rsidRDefault="00635FDC" w:rsidP="00D023FD">
            <w:pPr>
              <w:widowControl w:val="0"/>
              <w:autoSpaceDE w:val="0"/>
              <w:autoSpaceDN w:val="0"/>
              <w:adjustRightInd w:val="0"/>
              <w:spacing w:after="0" w:line="240" w:lineRule="auto"/>
              <w:rPr>
                <w:rFonts w:ascii="Garamond" w:hAnsi="Garamond" w:cs="Times New Roman"/>
                <w:color w:val="000000"/>
                <w:sz w:val="20"/>
                <w:szCs w:val="20"/>
              </w:rPr>
            </w:pPr>
            <w:r w:rsidRPr="00E76B69">
              <w:rPr>
                <w:rFonts w:ascii="Garamond" w:hAnsi="Garamond" w:cs="Times New Roman"/>
                <w:b/>
                <w:bCs/>
                <w:color w:val="000000"/>
                <w:sz w:val="20"/>
                <w:szCs w:val="20"/>
              </w:rPr>
              <w:t>ose</w:t>
            </w:r>
          </w:p>
          <w:p w14:paraId="2948C255" w14:textId="2429987D"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&gt;</w:t>
            </w:r>
            <w:r w:rsidR="00BD41B0">
              <w:rPr>
                <w:rFonts w:ascii="Garamond" w:hAnsi="Garamond" w:cs="Times New Roman"/>
                <w:color w:val="000000"/>
                <w:sz w:val="20"/>
                <w:szCs w:val="20"/>
              </w:rPr>
              <w:t xml:space="preserve"> </w:t>
            </w:r>
            <w:r w:rsidRPr="00E76B69">
              <w:rPr>
                <w:rFonts w:ascii="Garamond" w:hAnsi="Garamond" w:cs="Times New Roman"/>
                <w:color w:val="000000"/>
                <w:sz w:val="20"/>
                <w:szCs w:val="20"/>
              </w:rPr>
              <w:t>vlera ekuivalente në lekë e shumës 5 milionë euro</w:t>
            </w:r>
          </w:p>
        </w:tc>
      </w:tr>
      <w:tr w:rsidR="00635FDC" w:rsidRPr="00E76B69" w14:paraId="12301CD5" w14:textId="77777777" w:rsidTr="00635FDC">
        <w:trPr>
          <w:trHeight w:val="20"/>
        </w:trPr>
        <w:tc>
          <w:tcPr>
            <w:tcW w:w="1172" w:type="pct"/>
            <w:tcBorders>
              <w:top w:val="single" w:sz="4" w:space="0" w:color="auto"/>
              <w:left w:val="single" w:sz="4" w:space="0" w:color="auto"/>
              <w:bottom w:val="single" w:sz="4" w:space="0" w:color="auto"/>
              <w:right w:val="single" w:sz="4" w:space="0" w:color="auto"/>
            </w:tcBorders>
          </w:tcPr>
          <w:p w14:paraId="1D5D482D"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Niveli i lartë i përshkallëzimit të brendshëm</w:t>
            </w:r>
          </w:p>
        </w:tc>
        <w:tc>
          <w:tcPr>
            <w:tcW w:w="1914" w:type="pct"/>
            <w:tcBorders>
              <w:top w:val="single" w:sz="4" w:space="0" w:color="auto"/>
              <w:left w:val="single" w:sz="4" w:space="0" w:color="auto"/>
              <w:bottom w:val="single" w:sz="4" w:space="0" w:color="auto"/>
              <w:right w:val="single" w:sz="4" w:space="0" w:color="auto"/>
            </w:tcBorders>
          </w:tcPr>
          <w:p w14:paraId="1EA6A5F7" w14:textId="365B41F5" w:rsidR="00635FDC" w:rsidRPr="00E76B69" w:rsidRDefault="00760441" w:rsidP="00D023FD">
            <w:pPr>
              <w:widowControl w:val="0"/>
              <w:autoSpaceDE w:val="0"/>
              <w:autoSpaceDN w:val="0"/>
              <w:adjustRightInd w:val="0"/>
              <w:spacing w:after="0" w:line="240" w:lineRule="auto"/>
              <w:rPr>
                <w:rFonts w:ascii="Garamond" w:hAnsi="Garamond" w:cs="Times New Roman"/>
                <w:color w:val="000000"/>
                <w:sz w:val="20"/>
                <w:szCs w:val="20"/>
              </w:rPr>
            </w:pPr>
            <w:r w:rsidRPr="00E76B69">
              <w:rPr>
                <w:rFonts w:ascii="Garamond" w:hAnsi="Garamond" w:cs="Times New Roman"/>
                <w:color w:val="000000"/>
                <w:sz w:val="20"/>
                <w:szCs w:val="20"/>
              </w:rPr>
              <w:t>Po</w:t>
            </w:r>
          </w:p>
        </w:tc>
        <w:tc>
          <w:tcPr>
            <w:tcW w:w="1914" w:type="pct"/>
            <w:tcBorders>
              <w:top w:val="single" w:sz="4" w:space="0" w:color="auto"/>
              <w:left w:val="single" w:sz="4" w:space="0" w:color="auto"/>
              <w:bottom w:val="single" w:sz="4" w:space="0" w:color="auto"/>
              <w:right w:val="single" w:sz="4" w:space="0" w:color="auto"/>
            </w:tcBorders>
          </w:tcPr>
          <w:p w14:paraId="7A39B05F" w14:textId="3D7937B6" w:rsidR="00635FDC" w:rsidRPr="00E76B69" w:rsidRDefault="00760441"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Po</w:t>
            </w:r>
            <w:r w:rsidR="00635FDC" w:rsidRPr="00E76B69">
              <w:rPr>
                <w:rFonts w:ascii="Garamond" w:hAnsi="Garamond" w:cs="Times New Roman"/>
                <w:color w:val="000000"/>
                <w:sz w:val="20"/>
                <w:szCs w:val="20"/>
              </w:rPr>
              <w:t>, dhe një gjendje krize (ose ekuivalente) ka të ngjarë të aktivizohet (</w:t>
            </w:r>
            <w:r w:rsidR="00635FDC" w:rsidRPr="00E76B69">
              <w:rPr>
                <w:rFonts w:ascii="Garamond" w:hAnsi="Garamond" w:cs="Times New Roman"/>
                <w:i/>
                <w:color w:val="000000"/>
                <w:sz w:val="20"/>
                <w:szCs w:val="20"/>
              </w:rPr>
              <w:t>triggered</w:t>
            </w:r>
            <w:r w:rsidR="00635FDC" w:rsidRPr="00E76B69">
              <w:rPr>
                <w:rFonts w:ascii="Garamond" w:hAnsi="Garamond" w:cs="Times New Roman"/>
                <w:color w:val="000000"/>
                <w:sz w:val="20"/>
                <w:szCs w:val="20"/>
              </w:rPr>
              <w:t>)</w:t>
            </w:r>
          </w:p>
        </w:tc>
      </w:tr>
      <w:tr w:rsidR="00635FDC" w:rsidRPr="00E76B69" w14:paraId="7C206713" w14:textId="77777777" w:rsidTr="00635FDC">
        <w:trPr>
          <w:trHeight w:val="20"/>
        </w:trPr>
        <w:tc>
          <w:tcPr>
            <w:tcW w:w="1172" w:type="pct"/>
            <w:tcBorders>
              <w:top w:val="single" w:sz="4" w:space="0" w:color="auto"/>
              <w:left w:val="single" w:sz="4" w:space="0" w:color="auto"/>
              <w:bottom w:val="single" w:sz="4" w:space="0" w:color="auto"/>
              <w:right w:val="single" w:sz="4" w:space="0" w:color="auto"/>
            </w:tcBorders>
          </w:tcPr>
          <w:p w14:paraId="5ACED5A5" w14:textId="77777777" w:rsidR="00635FDC" w:rsidRPr="00E76B69" w:rsidRDefault="00635FDC" w:rsidP="00D023FD">
            <w:pPr>
              <w:widowControl w:val="0"/>
              <w:autoSpaceDE w:val="0"/>
              <w:autoSpaceDN w:val="0"/>
              <w:adjustRightInd w:val="0"/>
              <w:spacing w:after="0" w:line="240" w:lineRule="auto"/>
              <w:jc w:val="both"/>
              <w:rPr>
                <w:rFonts w:ascii="Garamond" w:hAnsi="Garamond" w:cs="Times New Roman"/>
                <w:color w:val="000000"/>
                <w:sz w:val="20"/>
                <w:szCs w:val="20"/>
              </w:rPr>
            </w:pPr>
            <w:r w:rsidRPr="00E76B69">
              <w:rPr>
                <w:rFonts w:ascii="Garamond" w:hAnsi="Garamond" w:cs="Times New Roman"/>
                <w:color w:val="000000"/>
                <w:sz w:val="20"/>
                <w:szCs w:val="20"/>
              </w:rPr>
              <w:t>Ofruesit e tjerë të shërbimeve të pagesave ose infrastrukturat përkatëse që mund të preken nga incidenti</w:t>
            </w:r>
          </w:p>
        </w:tc>
        <w:tc>
          <w:tcPr>
            <w:tcW w:w="1914" w:type="pct"/>
            <w:tcBorders>
              <w:top w:val="single" w:sz="4" w:space="0" w:color="auto"/>
              <w:left w:val="single" w:sz="4" w:space="0" w:color="auto"/>
              <w:bottom w:val="single" w:sz="4" w:space="0" w:color="auto"/>
              <w:right w:val="single" w:sz="4" w:space="0" w:color="auto"/>
            </w:tcBorders>
          </w:tcPr>
          <w:p w14:paraId="4BE6F29B" w14:textId="1A47F1D7" w:rsidR="00635FDC" w:rsidRPr="00E76B69" w:rsidRDefault="00760441" w:rsidP="00D023FD">
            <w:pPr>
              <w:widowControl w:val="0"/>
              <w:autoSpaceDE w:val="0"/>
              <w:autoSpaceDN w:val="0"/>
              <w:adjustRightInd w:val="0"/>
              <w:spacing w:after="0" w:line="240" w:lineRule="auto"/>
              <w:rPr>
                <w:rFonts w:ascii="Garamond" w:hAnsi="Garamond" w:cs="Times New Roman"/>
                <w:color w:val="000000"/>
                <w:sz w:val="20"/>
                <w:szCs w:val="20"/>
              </w:rPr>
            </w:pPr>
            <w:r w:rsidRPr="00E76B69">
              <w:rPr>
                <w:rFonts w:ascii="Garamond" w:hAnsi="Garamond" w:cs="Times New Roman"/>
                <w:color w:val="000000"/>
                <w:sz w:val="20"/>
                <w:szCs w:val="20"/>
              </w:rPr>
              <w:t>Po</w:t>
            </w:r>
          </w:p>
        </w:tc>
        <w:tc>
          <w:tcPr>
            <w:tcW w:w="1914" w:type="pct"/>
            <w:tcBorders>
              <w:top w:val="single" w:sz="4" w:space="0" w:color="auto"/>
              <w:left w:val="single" w:sz="4" w:space="0" w:color="auto"/>
              <w:bottom w:val="single" w:sz="4" w:space="0" w:color="auto"/>
              <w:right w:val="single" w:sz="4" w:space="0" w:color="auto"/>
            </w:tcBorders>
          </w:tcPr>
          <w:p w14:paraId="75F61213" w14:textId="77777777" w:rsidR="00635FDC" w:rsidRPr="00E76B69" w:rsidRDefault="00635FDC" w:rsidP="00D023FD">
            <w:pPr>
              <w:widowControl w:val="0"/>
              <w:autoSpaceDE w:val="0"/>
              <w:autoSpaceDN w:val="0"/>
              <w:adjustRightInd w:val="0"/>
              <w:spacing w:after="0" w:line="240" w:lineRule="auto"/>
              <w:rPr>
                <w:rFonts w:ascii="Garamond" w:hAnsi="Garamond" w:cs="Times New Roman"/>
                <w:color w:val="000000"/>
                <w:sz w:val="20"/>
                <w:szCs w:val="20"/>
              </w:rPr>
            </w:pPr>
            <w:r w:rsidRPr="00E76B69">
              <w:rPr>
                <w:rFonts w:ascii="Garamond" w:hAnsi="Garamond" w:cs="Times New Roman"/>
                <w:color w:val="000000"/>
                <w:sz w:val="20"/>
                <w:szCs w:val="20"/>
              </w:rPr>
              <w:t xml:space="preserve">Nuk aplikohet (N/A) </w:t>
            </w:r>
          </w:p>
        </w:tc>
      </w:tr>
      <w:tr w:rsidR="00635FDC" w:rsidRPr="00E76B69" w14:paraId="45182C2F" w14:textId="77777777" w:rsidTr="00635FDC">
        <w:trPr>
          <w:trHeight w:val="20"/>
        </w:trPr>
        <w:tc>
          <w:tcPr>
            <w:tcW w:w="1172" w:type="pct"/>
            <w:tcBorders>
              <w:top w:val="single" w:sz="4" w:space="0" w:color="auto"/>
              <w:left w:val="single" w:sz="4" w:space="0" w:color="auto"/>
              <w:bottom w:val="single" w:sz="4" w:space="0" w:color="auto"/>
              <w:right w:val="single" w:sz="4" w:space="0" w:color="auto"/>
            </w:tcBorders>
          </w:tcPr>
          <w:p w14:paraId="021F2DA1" w14:textId="26E4498E" w:rsidR="00635FDC" w:rsidRPr="00E76B69" w:rsidRDefault="00635FDC" w:rsidP="00D023FD">
            <w:pPr>
              <w:widowControl w:val="0"/>
              <w:autoSpaceDE w:val="0"/>
              <w:autoSpaceDN w:val="0"/>
              <w:adjustRightInd w:val="0"/>
              <w:spacing w:after="0" w:line="240" w:lineRule="auto"/>
              <w:rPr>
                <w:rFonts w:ascii="Garamond" w:hAnsi="Garamond" w:cs="Times New Roman"/>
                <w:color w:val="000000"/>
                <w:sz w:val="20"/>
                <w:szCs w:val="20"/>
              </w:rPr>
            </w:pPr>
            <w:r w:rsidRPr="00E76B69">
              <w:rPr>
                <w:rFonts w:ascii="Garamond" w:hAnsi="Garamond" w:cs="Times New Roman"/>
                <w:color w:val="000000"/>
                <w:sz w:val="20"/>
                <w:szCs w:val="20"/>
              </w:rPr>
              <w:t>Ndikimi reputacional</w:t>
            </w:r>
            <w:r w:rsidR="00BD41B0">
              <w:rPr>
                <w:rFonts w:ascii="Garamond" w:hAnsi="Garamond" w:cs="Times New Roman"/>
                <w:color w:val="000000"/>
                <w:sz w:val="20"/>
                <w:szCs w:val="20"/>
              </w:rPr>
              <w:t xml:space="preserve"> </w:t>
            </w:r>
          </w:p>
        </w:tc>
        <w:tc>
          <w:tcPr>
            <w:tcW w:w="1914" w:type="pct"/>
            <w:tcBorders>
              <w:top w:val="single" w:sz="4" w:space="0" w:color="auto"/>
              <w:left w:val="single" w:sz="4" w:space="0" w:color="auto"/>
              <w:bottom w:val="single" w:sz="4" w:space="0" w:color="auto"/>
              <w:right w:val="single" w:sz="4" w:space="0" w:color="auto"/>
            </w:tcBorders>
          </w:tcPr>
          <w:p w14:paraId="0126385B" w14:textId="4FF11064" w:rsidR="00635FDC" w:rsidRPr="00E76B69" w:rsidRDefault="00760441" w:rsidP="00D023FD">
            <w:pPr>
              <w:widowControl w:val="0"/>
              <w:autoSpaceDE w:val="0"/>
              <w:autoSpaceDN w:val="0"/>
              <w:adjustRightInd w:val="0"/>
              <w:spacing w:after="0" w:line="240" w:lineRule="auto"/>
              <w:rPr>
                <w:rFonts w:ascii="Garamond" w:hAnsi="Garamond" w:cs="Times New Roman"/>
                <w:color w:val="000000"/>
                <w:sz w:val="20"/>
                <w:szCs w:val="20"/>
              </w:rPr>
            </w:pPr>
            <w:r w:rsidRPr="00E76B69">
              <w:rPr>
                <w:rFonts w:ascii="Garamond" w:hAnsi="Garamond" w:cs="Times New Roman"/>
                <w:color w:val="000000"/>
                <w:sz w:val="20"/>
                <w:szCs w:val="20"/>
              </w:rPr>
              <w:t>Po</w:t>
            </w:r>
          </w:p>
        </w:tc>
        <w:tc>
          <w:tcPr>
            <w:tcW w:w="1914" w:type="pct"/>
            <w:tcBorders>
              <w:top w:val="single" w:sz="4" w:space="0" w:color="auto"/>
              <w:left w:val="single" w:sz="4" w:space="0" w:color="auto"/>
              <w:bottom w:val="single" w:sz="4" w:space="0" w:color="auto"/>
              <w:right w:val="single" w:sz="4" w:space="0" w:color="auto"/>
            </w:tcBorders>
          </w:tcPr>
          <w:p w14:paraId="324CBDC0" w14:textId="77777777" w:rsidR="00635FDC" w:rsidRPr="00E76B69" w:rsidRDefault="00635FDC" w:rsidP="00D023FD">
            <w:pPr>
              <w:widowControl w:val="0"/>
              <w:autoSpaceDE w:val="0"/>
              <w:autoSpaceDN w:val="0"/>
              <w:adjustRightInd w:val="0"/>
              <w:spacing w:after="0" w:line="240" w:lineRule="auto"/>
              <w:rPr>
                <w:rFonts w:ascii="Garamond" w:hAnsi="Garamond" w:cs="Times New Roman"/>
                <w:color w:val="000000"/>
                <w:sz w:val="20"/>
                <w:szCs w:val="20"/>
              </w:rPr>
            </w:pPr>
            <w:r w:rsidRPr="00E76B69">
              <w:rPr>
                <w:rFonts w:ascii="Garamond" w:hAnsi="Garamond" w:cs="Times New Roman"/>
                <w:color w:val="000000"/>
                <w:sz w:val="20"/>
                <w:szCs w:val="20"/>
              </w:rPr>
              <w:t>Nuk aplikohet (N/A)</w:t>
            </w:r>
          </w:p>
        </w:tc>
      </w:tr>
    </w:tbl>
    <w:p w14:paraId="4B63F209" w14:textId="77777777" w:rsidR="00635FDC" w:rsidRPr="00E76B69" w:rsidRDefault="00635FDC"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p>
    <w:p w14:paraId="54491517"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2.1.5</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përdorin vlerësimet e tyre, nëse nuk kanë të dhëna reale për të mbështetur gjykimet e tyre, nëse një kufi i caktuar është arritur ose ka të ngjarë të arrihet, para se të zgjidhet incidenti (p.sh. kjo mund të ndodhë gjatë fazës fillestare të hetimit (investigimit) të incidentit).</w:t>
      </w:r>
    </w:p>
    <w:p w14:paraId="12BAFAAF" w14:textId="4A222D94" w:rsidR="008921A4" w:rsidRPr="00E76B69" w:rsidRDefault="008921A4" w:rsidP="00D023FD">
      <w:pPr>
        <w:widowControl w:val="0"/>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2.1.6</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 xml:space="preserve">Ofruesit e shërbimeve të pagesave e kryejnë këtë vlerësim në mënyrë të vazhdueshme gjatë </w:t>
      </w:r>
      <w:r w:rsidR="00760441">
        <w:rPr>
          <w:rFonts w:ascii="Garamond" w:hAnsi="Garamond" w:cs="Times New Roman"/>
          <w:color w:val="000000"/>
          <w:sz w:val="24"/>
          <w:szCs w:val="24"/>
        </w:rPr>
        <w:t xml:space="preserve">të </w:t>
      </w:r>
      <w:r w:rsidRPr="00E76B69">
        <w:rPr>
          <w:rFonts w:ascii="Garamond" w:hAnsi="Garamond" w:cs="Times New Roman"/>
          <w:color w:val="000000"/>
          <w:sz w:val="24"/>
          <w:szCs w:val="24"/>
        </w:rPr>
        <w:t>gjithë kohëzgjatjes së incidentit, për të identifikuar çdo ndryshim të mundshëm të statusit, në kahun rritës (duke u riklasifikuar nga incident jomadhor në madhor) ose në kahun zbritës (duke u riklasifikuar nga incident madhor në jomadhor). Çdo riklasifikim i një incidenti nga madhor në jomadhor, i komunikohet Bankës së Shqipërisë sipas kërkesave të pikës 3.4.5 të këtij udhëzimi dhe pa vonesa të pajustifikuara.</w:t>
      </w:r>
    </w:p>
    <w:p w14:paraId="2A2FD18F" w14:textId="77777777" w:rsidR="008921A4" w:rsidRPr="00FE595C"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bCs/>
          <w:color w:val="000000"/>
          <w:sz w:val="24"/>
          <w:szCs w:val="24"/>
        </w:rPr>
      </w:pPr>
      <w:r w:rsidRPr="00FE595C">
        <w:rPr>
          <w:rFonts w:ascii="Garamond" w:hAnsi="Garamond" w:cs="Times New Roman"/>
          <w:bCs/>
          <w:color w:val="000000"/>
          <w:sz w:val="24"/>
          <w:szCs w:val="24"/>
        </w:rPr>
        <w:t>3.</w:t>
      </w:r>
      <w:r w:rsidR="00635FDC" w:rsidRPr="00FE595C">
        <w:rPr>
          <w:rFonts w:ascii="Garamond" w:hAnsi="Garamond" w:cs="Times New Roman"/>
          <w:bCs/>
          <w:color w:val="000000"/>
          <w:sz w:val="24"/>
          <w:szCs w:val="24"/>
        </w:rPr>
        <w:t xml:space="preserve"> </w:t>
      </w:r>
      <w:r w:rsidRPr="00FE595C">
        <w:rPr>
          <w:rFonts w:ascii="Garamond" w:hAnsi="Garamond" w:cs="Times New Roman"/>
          <w:bCs/>
          <w:color w:val="000000"/>
          <w:sz w:val="24"/>
          <w:szCs w:val="24"/>
        </w:rPr>
        <w:t>PROCESI I NJOFTIMIT NË BANKËN E SHQIPËRISË</w:t>
      </w:r>
    </w:p>
    <w:p w14:paraId="07872774" w14:textId="58D920CC" w:rsidR="008921A4" w:rsidRPr="00E76B69" w:rsidRDefault="008921A4"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b/>
          <w:bCs/>
          <w:color w:val="000000"/>
          <w:sz w:val="24"/>
          <w:szCs w:val="24"/>
        </w:rPr>
      </w:pPr>
      <w:r w:rsidRPr="00E76B69">
        <w:rPr>
          <w:rFonts w:ascii="Garamond" w:hAnsi="Garamond" w:cs="Times New Roman"/>
          <w:b/>
          <w:bCs/>
          <w:color w:val="000000"/>
          <w:sz w:val="24"/>
          <w:szCs w:val="24"/>
        </w:rPr>
        <w:t>3.1</w:t>
      </w:r>
      <w:r w:rsidR="00635FDC" w:rsidRPr="00E76B69">
        <w:rPr>
          <w:rFonts w:ascii="Garamond" w:hAnsi="Garamond" w:cs="Times New Roman"/>
          <w:b/>
          <w:bCs/>
          <w:color w:val="000000"/>
          <w:sz w:val="24"/>
          <w:szCs w:val="24"/>
        </w:rPr>
        <w:t xml:space="preserve"> </w:t>
      </w:r>
      <w:r w:rsidRPr="00E76B69">
        <w:rPr>
          <w:rFonts w:ascii="Garamond" w:hAnsi="Garamond" w:cs="Times New Roman"/>
          <w:b/>
          <w:bCs/>
          <w:color w:val="000000"/>
          <w:sz w:val="24"/>
          <w:szCs w:val="24"/>
        </w:rPr>
        <w:t>Procesi i njoftimit në Bankën e Shqipërisë</w:t>
      </w:r>
    </w:p>
    <w:p w14:paraId="67015213" w14:textId="2F03E131"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3.1.1</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 xml:space="preserve">Ofruesit e shërbimeve të pagesave mbledhin të gjithë informacionin përkatës, përgatitin raportin e incidentit, duke plotësuar formularin e parashikuar në </w:t>
      </w:r>
      <w:r w:rsidR="00FE595C">
        <w:rPr>
          <w:rFonts w:ascii="Garamond" w:hAnsi="Garamond" w:cs="Times New Roman"/>
          <w:color w:val="000000"/>
          <w:sz w:val="24"/>
          <w:szCs w:val="24"/>
        </w:rPr>
        <w:t>a</w:t>
      </w:r>
      <w:r w:rsidRPr="00E76B69">
        <w:rPr>
          <w:rFonts w:ascii="Garamond" w:hAnsi="Garamond" w:cs="Times New Roman"/>
          <w:color w:val="000000"/>
          <w:sz w:val="24"/>
          <w:szCs w:val="24"/>
        </w:rPr>
        <w:t xml:space="preserve">neksin 1 të këtij udhëzimi dhe ia paraqesin atë Bankës së Shqipërisë. Ofruesit e shërbimeve të pagesave plotësojnë çdo fushë të formularit, duke ndjekur udhëzimet e dhëna në </w:t>
      </w:r>
      <w:r w:rsidR="00FE595C">
        <w:rPr>
          <w:rFonts w:ascii="Garamond" w:hAnsi="Garamond" w:cs="Times New Roman"/>
          <w:color w:val="000000"/>
          <w:sz w:val="24"/>
          <w:szCs w:val="24"/>
        </w:rPr>
        <w:t>a</w:t>
      </w:r>
      <w:r w:rsidRPr="00E76B69">
        <w:rPr>
          <w:rFonts w:ascii="Garamond" w:hAnsi="Garamond" w:cs="Times New Roman"/>
          <w:color w:val="000000"/>
          <w:sz w:val="24"/>
          <w:szCs w:val="24"/>
        </w:rPr>
        <w:t>neksin 1 të këtij udhëzimi.</w:t>
      </w:r>
    </w:p>
    <w:p w14:paraId="38B680F0"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3.1.2</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përdorin të njëjtin formular, për t’i paraqitur Bankës së Shqipërisë raportin fillestar, të ndërmjetëm dhe përfundimtar, për të njëjtin incident. Ofruesit e shërbimeve të pagesave plotësojnë një formular të vetëm, në mënyrë rritëse (duke shtuar informacion), dhe përditësojnë, kur është e mundur, informacionin e paraqitur në raportet e mëparshme.</w:t>
      </w:r>
    </w:p>
    <w:p w14:paraId="4C7D4F74" w14:textId="145A78BD"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3.1.3</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paraqesin pranë Bankës së Shqipërisë, nëse është e aplikueshme, edhe një kopje të informacionit të vënë në dispozicion të përdoruesve të tyre të shërbimeve të pagesave, siç parashikohet në pikën 2</w:t>
      </w:r>
      <w:r w:rsidR="00FE595C">
        <w:rPr>
          <w:rFonts w:ascii="Garamond" w:hAnsi="Garamond" w:cs="Times New Roman"/>
          <w:color w:val="000000"/>
          <w:sz w:val="24"/>
          <w:szCs w:val="24"/>
        </w:rPr>
        <w:t>,</w:t>
      </w:r>
      <w:r w:rsidRPr="00E76B69">
        <w:rPr>
          <w:rFonts w:ascii="Garamond" w:hAnsi="Garamond" w:cs="Times New Roman"/>
          <w:color w:val="000000"/>
          <w:sz w:val="24"/>
          <w:szCs w:val="24"/>
        </w:rPr>
        <w:t xml:space="preserve"> të nenit 89</w:t>
      </w:r>
      <w:r w:rsidR="00FE595C">
        <w:rPr>
          <w:rFonts w:ascii="Garamond" w:hAnsi="Garamond" w:cs="Times New Roman"/>
          <w:color w:val="000000"/>
          <w:sz w:val="24"/>
          <w:szCs w:val="24"/>
        </w:rPr>
        <w:t>,</w:t>
      </w:r>
      <w:r w:rsidRPr="00E76B69">
        <w:rPr>
          <w:rFonts w:ascii="Garamond" w:hAnsi="Garamond" w:cs="Times New Roman"/>
          <w:color w:val="000000"/>
          <w:sz w:val="24"/>
          <w:szCs w:val="24"/>
        </w:rPr>
        <w:t xml:space="preserve"> të ligjit “Për shërbimet e pagesave”, sapo ky informacion bëhet i disponueshëm.</w:t>
      </w:r>
    </w:p>
    <w:p w14:paraId="7E5DEDE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3.1.4</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me kërkesë të Bankës së Shqipërisë, vënë në dispozicion të saj, çdo dokumentacion shtesë që plotëson informacionin e paraqitur në formularin standard. Ofruesit e shërbimeve të pagesave plotësojnë çdo kërkesë të Bankës së Shqipërisë, për të siguruar informacion shtesë ose sqarime në lidhje me dokumentacionin e paraqitur.</w:t>
      </w:r>
    </w:p>
    <w:p w14:paraId="747DA6AA" w14:textId="60409692"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3.1.5</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 xml:space="preserve">Çdo informacion shtesë që përmbahet në dokumentet e vëna në dispozicion të Bankës së Shqipërisë nga ofruesit e shërbimeve të pagesave, me iniciativën e ofruesit të shërbimeve të pagesave ose me kërkesë të Bankës së Shqipërisë, në përputhje me pikën 3.1.4, reflektohet nga ofruesi i shërbimeve të pagesave në formularin e parashikuar në </w:t>
      </w:r>
      <w:r w:rsidR="00FE595C">
        <w:rPr>
          <w:rFonts w:ascii="Garamond" w:hAnsi="Garamond" w:cs="Times New Roman"/>
          <w:color w:val="000000"/>
          <w:sz w:val="24"/>
          <w:szCs w:val="24"/>
        </w:rPr>
        <w:t>a</w:t>
      </w:r>
      <w:r w:rsidRPr="00E76B69">
        <w:rPr>
          <w:rFonts w:ascii="Garamond" w:hAnsi="Garamond" w:cs="Times New Roman"/>
          <w:color w:val="000000"/>
          <w:sz w:val="24"/>
          <w:szCs w:val="24"/>
        </w:rPr>
        <w:t>neksin 1 të këtij udhëzimi.</w:t>
      </w:r>
    </w:p>
    <w:p w14:paraId="136FB47B"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3.1.6</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ruajnë në çdo kohë konfidencialitetin dhe integritetin e informacionit të shkëmbyer dhe autentifikimin e tyre kundrejt Bankës së Shqipërisë.</w:t>
      </w:r>
    </w:p>
    <w:p w14:paraId="3F6B9BBD" w14:textId="229A730C" w:rsidR="008921A4" w:rsidRPr="00E76B69" w:rsidRDefault="008921A4"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b/>
          <w:bCs/>
          <w:color w:val="000000"/>
          <w:sz w:val="24"/>
          <w:szCs w:val="24"/>
        </w:rPr>
      </w:pPr>
      <w:r w:rsidRPr="00E76B69">
        <w:rPr>
          <w:rFonts w:ascii="Garamond" w:hAnsi="Garamond" w:cs="Times New Roman"/>
          <w:b/>
          <w:bCs/>
          <w:color w:val="000000"/>
          <w:sz w:val="24"/>
          <w:szCs w:val="24"/>
        </w:rPr>
        <w:t>3.2</w:t>
      </w:r>
      <w:r w:rsidR="00635FDC" w:rsidRPr="00E76B69">
        <w:rPr>
          <w:rFonts w:ascii="Garamond" w:hAnsi="Garamond" w:cs="Times New Roman"/>
          <w:b/>
          <w:bCs/>
          <w:color w:val="000000"/>
          <w:sz w:val="24"/>
          <w:szCs w:val="24"/>
        </w:rPr>
        <w:t xml:space="preserve"> </w:t>
      </w:r>
      <w:r w:rsidRPr="00E76B69">
        <w:rPr>
          <w:rFonts w:ascii="Garamond" w:hAnsi="Garamond" w:cs="Times New Roman"/>
          <w:b/>
          <w:bCs/>
          <w:color w:val="000000"/>
          <w:sz w:val="24"/>
          <w:szCs w:val="24"/>
        </w:rPr>
        <w:t>Raporti fillestar</w:t>
      </w:r>
    </w:p>
    <w:p w14:paraId="1E427F53" w14:textId="1A3C5A65"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3.2.1</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i paraqesin Bankës së Shqipërisë një raport fillestar, kur një incident operacional ose i sigurisë është klasifikuar si incident madhor.</w:t>
      </w:r>
    </w:p>
    <w:p w14:paraId="781B4893"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3.2.2</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paraqesin raportin fillestar tek Banka e Shqipërisë, brenda 4 orësh nga momenti i klasifikimit të incidentit operacional ose të sigurisë, si incident madhor. Nëse dihet që kanalet e raportimit të Bankës së Shqipërisë nuk janë të disponueshme ose funksionale në atë kohë, ofruesit e shërbimeve të pagesave do të raportojnë menjëherë sapo kanalet e raportimit të bëhen përsëri të disponueshme/funksionale.</w:t>
      </w:r>
    </w:p>
    <w:p w14:paraId="49BC1CCC"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3.2.3</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e klasifikojnë incidentin në përputhje me pikat 2.1.1 dhe 2.1.4 të këtij udhëzimi, brenda një kohe të përshtatshme pasi incidenti është zbuluar, por jo më vonë se 24 orë pas zbulimit të incidentit, dhe pa vonesa të panevojshme, pasi informacioni i kërkuar për klasifikimin e incidentit disponohet nga ofruesi i shërbimeve të pagesave. Nëse nevojitet një kohë më e gjatë për të klasifikuar incidentin, ofruesit e shërbimeve të pagesave shpjegojnë arsyet përkatëse në raportin fillestar që paraqesin në Bankën e Shqipërisë.</w:t>
      </w:r>
    </w:p>
    <w:p w14:paraId="50A99F71"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3.2.4</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gjithashtu paraqesin një raport fillestar pranë Bankës së Shqipërisë, kur një incident i mëparshëm jomadhor, riklasifikohet si një incident madhor. Në këtë rast të veçantë, ofruesit e shërbimeve të pagesave dërgojnë raportin fillestar pranë Bankës së Shqipërisë, menjëherë, pasi të jetë identifikuar ndryshimi i statusit, ose nëse kanalet e raportimit të Bankës së Shqipërisë dihet që nuk janë të disponueshme ose funksionale në atë kohë, menjëherë sapo kanalet e raportimit të bëhen përsëri të disponueshme/funksionale.</w:t>
      </w:r>
    </w:p>
    <w:p w14:paraId="16568A05" w14:textId="18648FAA"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3.2.5</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përfshijnë informacione të përgjithshme (seksioni A i formularit) në raportin e tyre fillestar, duke paraqitur disa karakteristika kryesore të incidentit dhe pasojat e pritshme të tij, bazuar në informacionin e disponueshëm, menjëherë pas klasifikimit të incidentit si madhor. Ofruesit e shërbimeve të pagesave duhet të përdorin vlerësimet e tyre, kur të dhënat reale nuk janë të disponueshme.</w:t>
      </w:r>
    </w:p>
    <w:p w14:paraId="10F99EBC" w14:textId="64E81E5C" w:rsidR="008921A4" w:rsidRPr="00E76B69" w:rsidRDefault="008921A4"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b/>
          <w:bCs/>
          <w:color w:val="000000"/>
          <w:sz w:val="24"/>
          <w:szCs w:val="24"/>
        </w:rPr>
      </w:pPr>
      <w:r w:rsidRPr="00E76B69">
        <w:rPr>
          <w:rFonts w:ascii="Garamond" w:hAnsi="Garamond" w:cs="Times New Roman"/>
          <w:b/>
          <w:bCs/>
          <w:color w:val="000000"/>
          <w:sz w:val="24"/>
          <w:szCs w:val="24"/>
        </w:rPr>
        <w:t>3.3</w:t>
      </w:r>
      <w:r w:rsidR="00635FDC" w:rsidRPr="00E76B69">
        <w:rPr>
          <w:rFonts w:ascii="Garamond" w:hAnsi="Garamond" w:cs="Times New Roman"/>
          <w:b/>
          <w:bCs/>
          <w:color w:val="000000"/>
          <w:sz w:val="24"/>
          <w:szCs w:val="24"/>
        </w:rPr>
        <w:t xml:space="preserve"> </w:t>
      </w:r>
      <w:r w:rsidRPr="00E76B69">
        <w:rPr>
          <w:rFonts w:ascii="Garamond" w:hAnsi="Garamond" w:cs="Times New Roman"/>
          <w:b/>
          <w:bCs/>
          <w:color w:val="000000"/>
          <w:sz w:val="24"/>
          <w:szCs w:val="24"/>
        </w:rPr>
        <w:t>Raporti i ndërmjetëm</w:t>
      </w:r>
    </w:p>
    <w:p w14:paraId="534B5F9F" w14:textId="63C5D0B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3.3.1</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i paraqesin Bankës së Shqipërisë raportin e ndërmjetëm, kur veprimtaria e tyre e rregullt (e zakonshme) është rikuperuar dhe biznesi është kthyer në normalitet, duke njoftuar Bankën e Shqipërisë për këtë rrethanë. Ofruesit e shërbimeve të pagesave konsiderojnë se biznesi i tyre është kthyer në normalitet, kur aktivitetet/operacionet e tyre rikthehen në të njëjtin nivel shërbimi/të njëjtat kushte, siç përcaktohen nga ofruesi i shërbimeve të pagesave ose të përcaktuara nga jashtë</w:t>
      </w:r>
      <w:r w:rsidR="00FE595C">
        <w:rPr>
          <w:rFonts w:ascii="Garamond" w:hAnsi="Garamond" w:cs="Times New Roman"/>
          <w:color w:val="000000"/>
          <w:sz w:val="24"/>
          <w:szCs w:val="24"/>
        </w:rPr>
        <w:t>,</w:t>
      </w:r>
      <w:r w:rsidRPr="00E76B69">
        <w:rPr>
          <w:rFonts w:ascii="Garamond" w:hAnsi="Garamond" w:cs="Times New Roman"/>
          <w:color w:val="000000"/>
          <w:sz w:val="24"/>
          <w:szCs w:val="24"/>
        </w:rPr>
        <w:t xml:space="preserve"> nga një marrëveshje e nivelit të shërbimit (koha e përpunimit, kapaciteti, kërkesat e sigurisë, etj.) dhe kur masat e emergjencës nuk janë më në fuqi. Raporti i ndërmjetëm duhet të përmbajë një përshkrim më të detajuar të incidentit dhe pasojave të tij (seksioni B i formularit).</w:t>
      </w:r>
    </w:p>
    <w:p w14:paraId="0DA041FD" w14:textId="36E4E7B4"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3.3.2</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Në rastin kur veprimtaria e rregullt (e zakonshme) nuk është rikuperuar, ofruesit e shërbimeve të pagesave i paraqesin Bankës së Shqipërisë një raport të ndërmjetëm, brenda 3 ditësh pune nga data e paraqitjes së raportit fillestar.</w:t>
      </w:r>
    </w:p>
    <w:p w14:paraId="5810379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3.3.3</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përditësojnë informacionin e dhënë më parë në seksionet A dhe B të formularit, kur ata informohen për ndryshime të rëndësishme që nga paraqitja e raportit të mëparshëm (p.sh. nëse incidenti është përshkallëzuar apo reduktuar, nëse janë identifikuar shkaqe të reja ose nëse janë ndërmarrë veprime për të rregulluar problemin). Këtu përfshihet edhe rasti kur incidenti nuk është zgjidhur brenda 3 ditësh pune, kohë kur ofruesit e shërbimeve të pagesave duhet t’i paraqesin Bankës së Shqipërisë një raport tjetër të ndërmjetëm. Në çdo rast, ofruesit e shërbimeve të pagesave hartojnë një raport të ndërmjetëm, me kërkesë të Bankës së Shqipërisë.</w:t>
      </w:r>
    </w:p>
    <w:p w14:paraId="01325E6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3.3.4</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ashtu si në rastin e raporteve fillestare, kur të dhënat reale nuk janë të disponueshme, përdorin vlerësimet e tyre.</w:t>
      </w:r>
    </w:p>
    <w:p w14:paraId="045D2DA7" w14:textId="52B953E4"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3.3.5</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nëse biznesi do të kthehet në normalitet përpara se të kenë kaluar 4 orë që nga klasifikimi i incidentit si madhor, duhet të synojnë të paraqesin njëkohësisht si raportin fillestar, ashtu edhe raportin e ndërmjetëm (duke plotësuar njëkohësisht seksionet A dhe B të formularit), brenda afatit kohor prej 4</w:t>
      </w:r>
      <w:r w:rsidR="00FE595C">
        <w:rPr>
          <w:rFonts w:ascii="Garamond" w:hAnsi="Garamond" w:cs="Times New Roman"/>
          <w:color w:val="000000"/>
          <w:sz w:val="24"/>
          <w:szCs w:val="24"/>
        </w:rPr>
        <w:t>-</w:t>
      </w:r>
      <w:r w:rsidRPr="00E76B69">
        <w:rPr>
          <w:rFonts w:ascii="Garamond" w:hAnsi="Garamond" w:cs="Times New Roman"/>
          <w:color w:val="000000"/>
          <w:sz w:val="24"/>
          <w:szCs w:val="24"/>
        </w:rPr>
        <w:t>orësh.</w:t>
      </w:r>
    </w:p>
    <w:p w14:paraId="05AD2009" w14:textId="2AD42A3F" w:rsidR="008921A4" w:rsidRPr="00E76B69" w:rsidRDefault="008921A4"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b/>
          <w:bCs/>
          <w:color w:val="000000"/>
          <w:sz w:val="24"/>
          <w:szCs w:val="24"/>
        </w:rPr>
      </w:pPr>
      <w:r w:rsidRPr="00E76B69">
        <w:rPr>
          <w:rFonts w:ascii="Garamond" w:hAnsi="Garamond" w:cs="Times New Roman"/>
          <w:b/>
          <w:bCs/>
          <w:color w:val="000000"/>
          <w:sz w:val="24"/>
          <w:szCs w:val="24"/>
        </w:rPr>
        <w:t>3.4</w:t>
      </w:r>
      <w:r w:rsidR="00635FDC" w:rsidRPr="00E76B69">
        <w:rPr>
          <w:rFonts w:ascii="Garamond" w:hAnsi="Garamond" w:cs="Times New Roman"/>
          <w:b/>
          <w:bCs/>
          <w:color w:val="000000"/>
          <w:sz w:val="24"/>
          <w:szCs w:val="24"/>
        </w:rPr>
        <w:t xml:space="preserve"> </w:t>
      </w:r>
      <w:r w:rsidRPr="00E76B69">
        <w:rPr>
          <w:rFonts w:ascii="Garamond" w:hAnsi="Garamond" w:cs="Times New Roman"/>
          <w:b/>
          <w:bCs/>
          <w:color w:val="000000"/>
          <w:sz w:val="24"/>
          <w:szCs w:val="24"/>
        </w:rPr>
        <w:t xml:space="preserve">Raporti përfundimtar </w:t>
      </w:r>
    </w:p>
    <w:p w14:paraId="5DB2B95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3.4.1</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i paraqesin Bankës së Shqipërisë një raport përfundimtar, pasi të jetë kryer analiza e shkakut bazë të incidentit (pavarësisht nëse masat zbutëse janë zbatuar ose jo, ose nëse është identifikuar ose jo shkaku përfundimtar bazë) dhe kur ka shifra reale në dispozicion për të zëvendësuar çdo vlerësim të kryer nga ofruesi i shërbimeve të pagesave.</w:t>
      </w:r>
    </w:p>
    <w:p w14:paraId="2C7E1947"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3.4.2</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paraqesin raportin përfundimtar në Bankën e Shqipërisë, brenda një periudhe kohe maksimale prej 20 ditësh pune, pasi biznesi të konsiderohet si i rikthyer në normalitet. Ofruesit e shërbimeve të pagesave që kanë nevojë për një zgjatje të këtij afati (p.sh. nëse nuk ka shifra reale të disponueshme mbi ndikimin, ose nëse shkaqet bazë të incidentit nuk janë identifikuar ende), kontaktojnë Bankën e Shqipërisë para se të skadojë afati kohor i mësipërm dhe paraqesin një arsyetim të përshtatshëm për vonesën, si dhe një datë të re të parashikuar për paraqitjen e raportit përfundimtar.</w:t>
      </w:r>
    </w:p>
    <w:p w14:paraId="7C9C7DCC" w14:textId="31B6BA1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3.4.3</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Nëse ofruesit e shërbimeve të pagesave janë në gjendje të sigurojnë të gjithë informacionin e kërkuar në raportin përfundimtar (në seksionin C të formularit) brenda intervalit prej 4</w:t>
      </w:r>
      <w:r w:rsidR="00FE595C">
        <w:rPr>
          <w:rFonts w:ascii="Garamond" w:hAnsi="Garamond" w:cs="Times New Roman"/>
          <w:color w:val="000000"/>
          <w:sz w:val="24"/>
          <w:szCs w:val="24"/>
        </w:rPr>
        <w:t>-</w:t>
      </w:r>
      <w:r w:rsidRPr="00E76B69">
        <w:rPr>
          <w:rFonts w:ascii="Garamond" w:hAnsi="Garamond" w:cs="Times New Roman"/>
          <w:color w:val="000000"/>
          <w:sz w:val="24"/>
          <w:szCs w:val="24"/>
        </w:rPr>
        <w:t>orësh që nga klasifikimi i incidentit si madhor, ata duhet të synojnë të paraqesin njëkohësisht informacionin lidhur me raportin fillestar, të ndërmjetëm dhe përfundimtar.</w:t>
      </w:r>
    </w:p>
    <w:p w14:paraId="1A93067B"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3.4.4</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përfshijnë në raportin përfundimtar, informacion të plotë mbi:</w:t>
      </w:r>
    </w:p>
    <w:p w14:paraId="156C4A78" w14:textId="4A0DC64B"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a)</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shifrat reale mbi ndikimin e incidentit, në vend të vlerësimeve të tyre (si dhe çdo përditësim tjetër të nevojshëm në seksionet A dhe B të formularit); dhe</w:t>
      </w:r>
    </w:p>
    <w:p w14:paraId="76719064"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b)</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seksionin C të formularit, i cili përfshin informacion mbi shkakun bazë, nëse dihet, dhe një përmbledhje të masave të zbatuara ose të planifikuara të zbatohen, për të mënjanuar problemin dhe për të parandaluar përsëritjen (ndodhjen) e tij në të ardhmen.</w:t>
      </w:r>
    </w:p>
    <w:p w14:paraId="7DBD525F"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3.4.5</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paraqesin gjithashtu një raport përfundimtar kur, si rezultat i vlerësimit të vazhdueshëm të incidentit, identifikojnë se një incident i raportuar më parë, tashmë nuk përmbush më kriteret për t’u konsideruar si incident madhor dhe nuk pritet t’i përmbushë kriteret para se të zgjidhet incidenti. Në këtë rast, ofruesit e shërbimeve të pagesave paraqesin raportin përfundimtar sapo të zbulohet kjo rrethanë dhe, në çdo rast, deri në datën e parashikuar për paraqitjen e raportit tjetër. Në këtë situatë të veçantë, në vend që të plotësojnë seksionin C të formularit, ofruesit e shërbimeve të pagesave duhet të shënojnë kutinë “</w:t>
      </w:r>
      <w:r w:rsidRPr="00E76B69">
        <w:rPr>
          <w:rFonts w:ascii="Garamond" w:hAnsi="Garamond" w:cs="Times New Roman"/>
          <w:i/>
          <w:iCs/>
          <w:color w:val="000000"/>
          <w:sz w:val="24"/>
          <w:szCs w:val="24"/>
        </w:rPr>
        <w:t>incident i riklasifikuar si jomadhor</w:t>
      </w:r>
      <w:r w:rsidRPr="00E76B69">
        <w:rPr>
          <w:rFonts w:ascii="Garamond" w:hAnsi="Garamond" w:cs="Times New Roman"/>
          <w:color w:val="000000"/>
          <w:sz w:val="24"/>
          <w:szCs w:val="24"/>
        </w:rPr>
        <w:t xml:space="preserve">” dhe të shpjegojnë arsyet për këtë riklasifikim. </w:t>
      </w:r>
    </w:p>
    <w:p w14:paraId="630E0510" w14:textId="0F52F903" w:rsidR="008921A4" w:rsidRPr="00E76B69" w:rsidRDefault="008921A4"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b/>
          <w:bCs/>
          <w:color w:val="000000"/>
          <w:sz w:val="24"/>
          <w:szCs w:val="24"/>
        </w:rPr>
      </w:pPr>
      <w:r w:rsidRPr="00E76B69">
        <w:rPr>
          <w:rFonts w:ascii="Garamond" w:hAnsi="Garamond" w:cs="Times New Roman"/>
          <w:b/>
          <w:bCs/>
          <w:color w:val="000000"/>
          <w:sz w:val="24"/>
          <w:szCs w:val="24"/>
        </w:rPr>
        <w:t>3.5</w:t>
      </w:r>
      <w:r w:rsidR="00635FDC" w:rsidRPr="00E76B69">
        <w:rPr>
          <w:rFonts w:ascii="Garamond" w:hAnsi="Garamond" w:cs="Times New Roman"/>
          <w:b/>
          <w:bCs/>
          <w:color w:val="000000"/>
          <w:sz w:val="24"/>
          <w:szCs w:val="24"/>
        </w:rPr>
        <w:t xml:space="preserve"> </w:t>
      </w:r>
      <w:r w:rsidRPr="00E76B69">
        <w:rPr>
          <w:rFonts w:ascii="Garamond" w:hAnsi="Garamond" w:cs="Times New Roman"/>
          <w:b/>
          <w:bCs/>
          <w:color w:val="000000"/>
          <w:sz w:val="24"/>
          <w:szCs w:val="24"/>
        </w:rPr>
        <w:t>Raportimi nëpërmjet të tretëve dhe raportimi i konsoliduar</w:t>
      </w:r>
    </w:p>
    <w:p w14:paraId="2BE52F13"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3.5.1</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mund të lidhin marrëveshje me të tretët për raportimin e incidenteve madhore, për të cilat ofruesit e shërbimeve të pagesave informojnë Bankën e Shqipërisë dhe sigurojnë përmbushjen e kushteve të mëposhtme:</w:t>
      </w:r>
    </w:p>
    <w:p w14:paraId="124BB3D6" w14:textId="7D27B1E4" w:rsidR="008921A4" w:rsidRPr="00E76B69" w:rsidRDefault="008921A4" w:rsidP="00D023FD">
      <w:pPr>
        <w:widowControl w:val="0"/>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a)</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kontrata ose, kur është e zbatueshme, marrëveshjet e brendshme ekzistuese brenda një grupi (ndërmjet subjekteve të grupit), që mbështetin raportimin nëpërmjet të tretëve, përcaktojnë qartë shpërndarjen e përgjegjësive për të gjitha palët. Në veçanti, në kontratë/marrëveshje duhet të shprehet qartë se, pavarësisht, nga transferimi i mundshëm i detyrimeve për raportim, ofruesi i prekur i shërbimeve të pagesave mbetet plotësisht përgjegjës për përmbushjen e kërkesave të përcaktuara në nenin 89</w:t>
      </w:r>
      <w:r w:rsidR="00FE595C">
        <w:rPr>
          <w:rFonts w:ascii="Garamond" w:hAnsi="Garamond" w:cs="Times New Roman"/>
          <w:color w:val="000000"/>
          <w:sz w:val="24"/>
          <w:szCs w:val="24"/>
        </w:rPr>
        <w:t>,</w:t>
      </w:r>
      <w:r w:rsidRPr="00E76B69">
        <w:rPr>
          <w:rFonts w:ascii="Garamond" w:hAnsi="Garamond" w:cs="Times New Roman"/>
          <w:color w:val="000000"/>
          <w:sz w:val="24"/>
          <w:szCs w:val="24"/>
        </w:rPr>
        <w:t xml:space="preserve"> të ligjit “Për shërbimet e pagesave” dhe për përmbajtjen e informacionit të paraqitur në Bankën e Shqipërisë;</w:t>
      </w:r>
    </w:p>
    <w:p w14:paraId="7D3EDA9A" w14:textId="3F91D1C1" w:rsidR="008921A4" w:rsidRPr="00E76B69" w:rsidRDefault="008921A4" w:rsidP="00D023FD">
      <w:pPr>
        <w:widowControl w:val="0"/>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b)</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raportimi nëpërmjet të tretëve është në përputhje me kërkesat për transferimin e funksioneve të rëndësishme operacionale tek palë të treta, siç përcaktohet në nenin 21</w:t>
      </w:r>
      <w:r w:rsidR="00FE595C">
        <w:rPr>
          <w:rFonts w:ascii="Garamond" w:hAnsi="Garamond" w:cs="Times New Roman"/>
          <w:color w:val="000000"/>
          <w:sz w:val="24"/>
          <w:szCs w:val="24"/>
        </w:rPr>
        <w:t>,</w:t>
      </w:r>
      <w:r w:rsidRPr="00E76B69">
        <w:rPr>
          <w:rFonts w:ascii="Garamond" w:hAnsi="Garamond" w:cs="Times New Roman"/>
          <w:color w:val="000000"/>
          <w:sz w:val="24"/>
          <w:szCs w:val="24"/>
        </w:rPr>
        <w:t xml:space="preserve"> të ligjit “Për shërbimet e pagesave”</w:t>
      </w:r>
      <w:r w:rsidR="00FE595C">
        <w:rPr>
          <w:rFonts w:ascii="Garamond" w:hAnsi="Garamond" w:cs="Times New Roman"/>
          <w:color w:val="000000"/>
          <w:sz w:val="24"/>
          <w:szCs w:val="24"/>
        </w:rPr>
        <w:t>,</w:t>
      </w:r>
      <w:r w:rsidRPr="00E76B69">
        <w:rPr>
          <w:rFonts w:ascii="Garamond" w:hAnsi="Garamond" w:cs="Times New Roman"/>
          <w:color w:val="000000"/>
          <w:sz w:val="24"/>
          <w:szCs w:val="24"/>
        </w:rPr>
        <w:t xml:space="preserve"> për institucionet e pagesave dhe në nenin 49</w:t>
      </w:r>
      <w:r w:rsidR="00FE595C">
        <w:rPr>
          <w:rFonts w:ascii="Garamond" w:hAnsi="Garamond" w:cs="Times New Roman"/>
          <w:color w:val="000000"/>
          <w:sz w:val="24"/>
          <w:szCs w:val="24"/>
        </w:rPr>
        <w:t>,</w:t>
      </w:r>
      <w:r w:rsidRPr="00E76B69">
        <w:rPr>
          <w:rFonts w:ascii="Garamond" w:hAnsi="Garamond" w:cs="Times New Roman"/>
          <w:color w:val="000000"/>
          <w:sz w:val="24"/>
          <w:szCs w:val="24"/>
        </w:rPr>
        <w:t xml:space="preserve"> të rregullores “Për licencimin e institucioneve të pagesave dhe institucioneve të parasë elektronike, si dhe për regjistrimin e ofruesve të shërbimeve të pagesave”</w:t>
      </w:r>
      <w:r w:rsidR="00FE595C">
        <w:rPr>
          <w:rFonts w:ascii="Garamond" w:hAnsi="Garamond" w:cs="Times New Roman"/>
          <w:color w:val="000000"/>
          <w:sz w:val="24"/>
          <w:szCs w:val="24"/>
        </w:rPr>
        <w:t>,</w:t>
      </w:r>
      <w:r w:rsidRPr="00E76B69">
        <w:rPr>
          <w:rFonts w:ascii="Garamond" w:hAnsi="Garamond" w:cs="Times New Roman"/>
          <w:color w:val="000000"/>
          <w:sz w:val="24"/>
          <w:szCs w:val="24"/>
        </w:rPr>
        <w:t xml:space="preserve"> për institucionet e parasë elektronike, si dhe me kërkesat e </w:t>
      </w:r>
      <w:r w:rsidR="00FE595C">
        <w:rPr>
          <w:rFonts w:ascii="Garamond" w:hAnsi="Garamond" w:cs="Times New Roman"/>
          <w:color w:val="000000"/>
          <w:sz w:val="24"/>
          <w:szCs w:val="24"/>
        </w:rPr>
        <w:t>k</w:t>
      </w:r>
      <w:r w:rsidRPr="00E76B69">
        <w:rPr>
          <w:rFonts w:ascii="Garamond" w:hAnsi="Garamond" w:cs="Times New Roman"/>
          <w:color w:val="000000"/>
          <w:sz w:val="24"/>
          <w:szCs w:val="24"/>
        </w:rPr>
        <w:t>reut V</w:t>
      </w:r>
      <w:r w:rsidR="00FE595C">
        <w:rPr>
          <w:rFonts w:ascii="Garamond" w:hAnsi="Garamond" w:cs="Times New Roman"/>
          <w:color w:val="000000"/>
          <w:sz w:val="24"/>
          <w:szCs w:val="24"/>
        </w:rPr>
        <w:t>,</w:t>
      </w:r>
      <w:r w:rsidRPr="00E76B69">
        <w:rPr>
          <w:rFonts w:ascii="Garamond" w:hAnsi="Garamond" w:cs="Times New Roman"/>
          <w:color w:val="000000"/>
          <w:sz w:val="24"/>
          <w:szCs w:val="24"/>
        </w:rPr>
        <w:t xml:space="preserve"> të rregullores “Mbi parimet bazë të drejtimit të bankave dhe degëve të bankave të huaja dhe kriteret për miratimin e administratorëve të tyre” për bankat;</w:t>
      </w:r>
    </w:p>
    <w:p w14:paraId="6F55392F" w14:textId="77777777" w:rsidR="008921A4" w:rsidRPr="00E76B69" w:rsidRDefault="008921A4" w:rsidP="00D023FD">
      <w:pPr>
        <w:widowControl w:val="0"/>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c)</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konfidencialiteti i të dhënave sensitive dhe cilësia, qëndrueshmëria, integriteti dhe besueshmëria e informacionit që do t’i paraqitet Bankës së Shqipërisë nga pala e tretë, është siguruar në mënyrën e duhur.</w:t>
      </w:r>
    </w:p>
    <w:p w14:paraId="337FA800"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3.5.2</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që dëshirojnë të lejojnë palën e tretë të caktuar për raportim, të përmbushë detyrimet për raportim në mënyrë të konsoliduar (duke paraqitur një raport të vetëm referuar disa ofruesve të shërbimeve të pagesave të prekur nga i njëjti incident madhor operacional ose i sigurisë), informojnë Bankën e Shqipërisë për raportimin nëpërmjet të tretëve, paraqesin informacionin e kontaktit të përfshirë në zërin “Ofruesi i shërbimeve të pagesave i prekur nga incidenti” në formular dhe sigurojnë plotësimin e kushteve të mëposhtme:</w:t>
      </w:r>
    </w:p>
    <w:p w14:paraId="435CDF71"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a)</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 i shërbimeve të pagesave përfshin këtë dispozitë në kontratën që mbështet raportimin nëpërmjet të tretëve;</w:t>
      </w:r>
    </w:p>
    <w:p w14:paraId="5CF4CAEA"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b)</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 i shërbimeve të pagesave bën raportimin e konsoliduar, të kushtëzuar nga incidenti i shkaktuar nga ndërprerja në shërbimet e ofruara nga pala e tretë;</w:t>
      </w:r>
    </w:p>
    <w:p w14:paraId="36195D2F"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c)</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 i shërbimeve të pagesave kufizon raportimin e konsoliduar vetëm për ofruesit e shërbimeve të pagesave të vendosur në Shqipëri;</w:t>
      </w:r>
    </w:p>
    <w:p w14:paraId="06189651"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d)</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 i shërbimeve të pagesave paraqet një listë të të gjithë ofruesve të shërbimeve të pagesave të prekur nga incidenti;</w:t>
      </w:r>
    </w:p>
    <w:p w14:paraId="784B446A"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e)</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 i shërbimeve të pagesave sigurohet që pala e tretë e vlerëson rëndësinë e incidentit për secilin ofrues të prekur të shërbimeve të pagesave dhe përfshin në raportin e konsoliduar vetëm ata ofrues të shërbimeve të pagesave për të cilët incidenti është klasifikuar si incident madhor, si dhe sigurohet që, në rast dyshimi nëse një incident klasifikohet si incident madhor për një ofrues të shërbimeve të pagesave, ky ofrues të përfshihet në raportin e konsoliduar për sa kohë që nuk ka prova që provojnë se incidenti nuk klasifikohet si incident madhor për këtë ofrues;</w:t>
      </w:r>
    </w:p>
    <w:p w14:paraId="7A8C900A"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f)</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 i shërbimeve të pagesave sigurohet që, kur ka fusha të formularit ku nuk është e mundur një përgjigje e përbashkët (p.sh. seksioni B2, B4 ose C3), pala e tretë i plotëson përgjigjet individualisht për secilin ofrues të prekur të shërbimeve të pagesës, duke specifikuar më tej identitetin e secilit ofrues të shërbimit të pagesës me të cilin lidhet informacioni ose përdor vlerat kumulative reale ose të vlerësuara për ofruesit e ndryshëm të shërbimeve të pagesave;</w:t>
      </w:r>
    </w:p>
    <w:p w14:paraId="7D7EC172"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g)</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 i shërbimeve të pagesave sigurohet që pala e tretë e informon në çdo kohë për të gjitha informacionet përkatëse në lidhje me incidentin dhe të gjitha ndërveprimet që pala e tretë mund të ketë me Bankën e Shqipërisë dhe përmbajtjen e tyre, por vetëm për aq sa është e nevojshme, duke shmangur çdo shkelje të konfidencialitetit për informacionin që lidhet me ofruesit e tjerë të shërbimeve të pagesave.</w:t>
      </w:r>
    </w:p>
    <w:p w14:paraId="02D02F53" w14:textId="0ECD006D"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3.5.3</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nuk transferojnë te të tretët detyrimet e tyre për të raportuar, përpara se të njoftojnë Bankën e Shqipërisë ose pasi të jenë njoftuar nga Banka e Shqipërisë se marrëveshja me të tretët nuk plotëson kërkesat e parashikuara në shkronjën “b”</w:t>
      </w:r>
      <w:r w:rsidR="00F13A70">
        <w:rPr>
          <w:rFonts w:ascii="Garamond" w:hAnsi="Garamond" w:cs="Times New Roman"/>
          <w:color w:val="000000"/>
          <w:sz w:val="24"/>
          <w:szCs w:val="24"/>
        </w:rPr>
        <w:t>,</w:t>
      </w:r>
      <w:r w:rsidRPr="00E76B69">
        <w:rPr>
          <w:rFonts w:ascii="Garamond" w:hAnsi="Garamond" w:cs="Times New Roman"/>
          <w:color w:val="000000"/>
          <w:sz w:val="24"/>
          <w:szCs w:val="24"/>
        </w:rPr>
        <w:t xml:space="preserve"> të pikës 3.5.1</w:t>
      </w:r>
      <w:r w:rsidR="00F13A70">
        <w:rPr>
          <w:rFonts w:ascii="Garamond" w:hAnsi="Garamond" w:cs="Times New Roman"/>
          <w:color w:val="000000"/>
          <w:sz w:val="24"/>
          <w:szCs w:val="24"/>
        </w:rPr>
        <w:t>,</w:t>
      </w:r>
      <w:r w:rsidRPr="00E76B69">
        <w:rPr>
          <w:rFonts w:ascii="Garamond" w:hAnsi="Garamond" w:cs="Times New Roman"/>
          <w:color w:val="000000"/>
          <w:sz w:val="24"/>
          <w:szCs w:val="24"/>
        </w:rPr>
        <w:t xml:space="preserve"> të këtij udhëzimi.</w:t>
      </w:r>
    </w:p>
    <w:p w14:paraId="07B42ED7"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3.5.4</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që dëshirojnë të anulojnë transferimin e raportimit te pala e tretë, ia komunikojnë menjëherë këtë vendim Bankës së Shqipërisë. Ofruesit e shërbimeve të pagesave njoftojnë Bankën e Shqipërisë për çdo zhvillim të rëndësishëm që prek palën e tretë të caktuar për raportimin dhe aftësinë e saj për të përmbushur detyrimet për raportim.</w:t>
      </w:r>
    </w:p>
    <w:p w14:paraId="26759D9D" w14:textId="69961EF3"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3.5.5</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përmbushin detyrimet e tyre të raportimit pa ndonjë mbështetje nga asistenca të jashtme, në rastet kur pala e tretë e caktuar për raportimin nuk arrin të informojë Bankën e Shqipërisë për një incident madhor operacional ose të sigurisë, në përputhje me nenin 89</w:t>
      </w:r>
      <w:r w:rsidR="00F13A70">
        <w:rPr>
          <w:rFonts w:ascii="Garamond" w:hAnsi="Garamond" w:cs="Times New Roman"/>
          <w:color w:val="000000"/>
          <w:sz w:val="24"/>
          <w:szCs w:val="24"/>
        </w:rPr>
        <w:t>,</w:t>
      </w:r>
      <w:r w:rsidRPr="00E76B69">
        <w:rPr>
          <w:rFonts w:ascii="Garamond" w:hAnsi="Garamond" w:cs="Times New Roman"/>
          <w:color w:val="000000"/>
          <w:sz w:val="24"/>
          <w:szCs w:val="24"/>
        </w:rPr>
        <w:t xml:space="preserve"> të ligjit “Për shërbimet e pagesave” dhe me këtë udhëzim. Ofruesit e shërbimeve të pagesave sigurohen që një incident të mos raportohet dy herë, nga vetë ofruesi i shërbimeve të pagesave në fjalë dhe përsëri nga pala e tretë e caktuar për raportimin.</w:t>
      </w:r>
    </w:p>
    <w:p w14:paraId="092C60A7"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3.5.6</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sigurojnë që, në situatën kur një incident është shkaktuar nga një ndërprerje në shërbimet e ofruara nga një ofrues i shërbimit teknik (ose një infrastrukturë) që prek disa ofrues të shërbimeve të pagesave, raportimi nëpërmjet të tretëve i referohet të dhënave individuale të ofruesit të shërbimeve të pagesave (përveç rastit të raportimit të konsoliduar).</w:t>
      </w:r>
    </w:p>
    <w:p w14:paraId="2860BBF2" w14:textId="77777777" w:rsidR="008921A4" w:rsidRPr="00F13A70"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bCs/>
          <w:color w:val="000000"/>
          <w:sz w:val="24"/>
          <w:szCs w:val="24"/>
        </w:rPr>
      </w:pPr>
      <w:r w:rsidRPr="00F13A70">
        <w:rPr>
          <w:rFonts w:ascii="Garamond" w:hAnsi="Garamond" w:cs="Times New Roman"/>
          <w:bCs/>
          <w:color w:val="000000"/>
          <w:sz w:val="24"/>
          <w:szCs w:val="24"/>
        </w:rPr>
        <w:t>4.</w:t>
      </w:r>
      <w:r w:rsidR="00635FDC" w:rsidRPr="00F13A70">
        <w:rPr>
          <w:rFonts w:ascii="Garamond" w:hAnsi="Garamond" w:cs="Times New Roman"/>
          <w:bCs/>
          <w:color w:val="000000"/>
          <w:sz w:val="24"/>
          <w:szCs w:val="24"/>
        </w:rPr>
        <w:t xml:space="preserve"> </w:t>
      </w:r>
      <w:r w:rsidRPr="00F13A70">
        <w:rPr>
          <w:rFonts w:ascii="Garamond" w:hAnsi="Garamond" w:cs="Times New Roman"/>
          <w:bCs/>
          <w:color w:val="000000"/>
          <w:sz w:val="24"/>
          <w:szCs w:val="24"/>
        </w:rPr>
        <w:t>KUADRI I BRENDSHËM RREGULLATIV I SUBJEKTEVE</w:t>
      </w:r>
    </w:p>
    <w:p w14:paraId="2217073F" w14:textId="3F2E49D0" w:rsidR="008921A4" w:rsidRPr="00E76B69" w:rsidRDefault="008921A4" w:rsidP="00D023FD">
      <w:pPr>
        <w:widowControl w:val="0"/>
        <w:tabs>
          <w:tab w:val="center" w:pos="4680"/>
          <w:tab w:val="left" w:pos="5440"/>
        </w:tabs>
        <w:autoSpaceDE w:val="0"/>
        <w:autoSpaceDN w:val="0"/>
        <w:adjustRightInd w:val="0"/>
        <w:spacing w:after="0" w:line="240" w:lineRule="auto"/>
        <w:ind w:firstLine="284"/>
        <w:rPr>
          <w:rFonts w:ascii="Garamond" w:hAnsi="Garamond" w:cs="Times New Roman"/>
          <w:color w:val="000000"/>
          <w:sz w:val="24"/>
          <w:szCs w:val="24"/>
        </w:rPr>
      </w:pPr>
      <w:r w:rsidRPr="00E76B69">
        <w:rPr>
          <w:rFonts w:ascii="Garamond" w:hAnsi="Garamond" w:cs="Times New Roman"/>
          <w:b/>
          <w:bCs/>
          <w:color w:val="000000"/>
          <w:sz w:val="24"/>
          <w:szCs w:val="24"/>
        </w:rPr>
        <w:t>4.1</w:t>
      </w:r>
      <w:r w:rsidR="00635FDC" w:rsidRPr="00E76B69">
        <w:rPr>
          <w:rFonts w:ascii="Garamond" w:hAnsi="Garamond" w:cs="Times New Roman"/>
          <w:b/>
          <w:bCs/>
          <w:color w:val="000000"/>
          <w:sz w:val="24"/>
          <w:szCs w:val="24"/>
        </w:rPr>
        <w:t xml:space="preserve"> </w:t>
      </w:r>
      <w:r w:rsidRPr="00E76B69">
        <w:rPr>
          <w:rFonts w:ascii="Garamond" w:hAnsi="Garamond" w:cs="Times New Roman"/>
          <w:b/>
          <w:bCs/>
          <w:color w:val="000000"/>
          <w:sz w:val="24"/>
          <w:szCs w:val="24"/>
        </w:rPr>
        <w:t>Kuadri i brendshëm rregullativ i subjekteve</w:t>
      </w:r>
    </w:p>
    <w:p w14:paraId="687DD34A" w14:textId="6DD27BDD"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4.1.1</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krijojnë kuadrin e brendshëm rregullativ, që parashikon procedurat e administrimit të incidenteve, si dhe procedurat për zbulimin dhe klasifikimin e incidenteve madhore operacionale dhe të sigurisë.</w:t>
      </w:r>
    </w:p>
    <w:p w14:paraId="3E1FA672" w14:textId="3EE6BC2E"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4.1.2</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Ofruesit e shërbimeve të pagesave përcaktojnë qartë</w:t>
      </w:r>
      <w:r w:rsidR="00F13A70">
        <w:rPr>
          <w:rFonts w:ascii="Garamond" w:hAnsi="Garamond" w:cs="Times New Roman"/>
          <w:color w:val="000000"/>
          <w:sz w:val="24"/>
          <w:szCs w:val="24"/>
        </w:rPr>
        <w:t>,</w:t>
      </w:r>
      <w:r w:rsidRPr="00E76B69">
        <w:rPr>
          <w:rFonts w:ascii="Garamond" w:hAnsi="Garamond" w:cs="Times New Roman"/>
          <w:color w:val="000000"/>
          <w:sz w:val="24"/>
          <w:szCs w:val="24"/>
        </w:rPr>
        <w:t xml:space="preserve"> në kuadrin e tyre të brendshëm rregullativ, të gjitha përgjegjësitë për raportimin e incidenteve, siç parashikohet në ligjin “Për shërbimet e pagesave”, si dhe procedurat për përmbushjen e kërkesave të këtij udhëzimi.</w:t>
      </w:r>
    </w:p>
    <w:p w14:paraId="5F413C6D"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p>
    <w:p w14:paraId="64B819B5" w14:textId="34CE03F5" w:rsidR="008921A4" w:rsidRPr="00E76B69" w:rsidRDefault="008921A4" w:rsidP="00D023FD">
      <w:pPr>
        <w:widowControl w:val="0"/>
        <w:autoSpaceDE w:val="0"/>
        <w:autoSpaceDN w:val="0"/>
        <w:adjustRightInd w:val="0"/>
        <w:spacing w:after="0" w:line="240" w:lineRule="auto"/>
        <w:ind w:firstLine="284"/>
        <w:jc w:val="right"/>
        <w:rPr>
          <w:rFonts w:ascii="Garamond" w:hAnsi="Garamond" w:cs="Times New Roman"/>
          <w:bCs/>
          <w:color w:val="000000"/>
          <w:sz w:val="24"/>
          <w:szCs w:val="24"/>
        </w:rPr>
      </w:pPr>
      <w:r w:rsidRPr="00E76B69">
        <w:rPr>
          <w:rFonts w:ascii="Garamond" w:hAnsi="Garamond" w:cs="Times New Roman"/>
          <w:bCs/>
          <w:color w:val="000000"/>
          <w:sz w:val="24"/>
          <w:szCs w:val="24"/>
        </w:rPr>
        <w:t>KRYETAR I KËSHILLIT MBIKËQYRËS</w:t>
      </w:r>
    </w:p>
    <w:p w14:paraId="05BF151E" w14:textId="77777777" w:rsidR="008921A4" w:rsidRPr="00E76B69" w:rsidRDefault="008921A4" w:rsidP="00D023FD">
      <w:pPr>
        <w:widowControl w:val="0"/>
        <w:autoSpaceDE w:val="0"/>
        <w:autoSpaceDN w:val="0"/>
        <w:adjustRightInd w:val="0"/>
        <w:spacing w:after="0" w:line="240" w:lineRule="auto"/>
        <w:ind w:firstLine="284"/>
        <w:jc w:val="right"/>
        <w:rPr>
          <w:rFonts w:ascii="Garamond" w:hAnsi="Garamond" w:cs="Times New Roman"/>
          <w:color w:val="000000"/>
          <w:sz w:val="24"/>
          <w:szCs w:val="24"/>
        </w:rPr>
      </w:pPr>
      <w:r w:rsidRPr="00E76B69">
        <w:rPr>
          <w:rFonts w:ascii="Garamond" w:hAnsi="Garamond" w:cs="Times New Roman"/>
          <w:b/>
          <w:bCs/>
          <w:color w:val="000000"/>
          <w:sz w:val="24"/>
          <w:szCs w:val="24"/>
        </w:rPr>
        <w:t>Gent SEJKO</w:t>
      </w:r>
    </w:p>
    <w:p w14:paraId="0E99C3A5" w14:textId="77777777" w:rsidR="008921A4" w:rsidRPr="00E76B69" w:rsidRDefault="008921A4" w:rsidP="00D023FD">
      <w:pPr>
        <w:widowControl w:val="0"/>
        <w:autoSpaceDE w:val="0"/>
        <w:autoSpaceDN w:val="0"/>
        <w:adjustRightInd w:val="0"/>
        <w:spacing w:after="0" w:line="240" w:lineRule="auto"/>
        <w:ind w:firstLine="284"/>
        <w:rPr>
          <w:rFonts w:ascii="Garamond" w:hAnsi="Garamond" w:cs="Times New Roman"/>
          <w:b/>
          <w:bCs/>
          <w:color w:val="000000"/>
          <w:sz w:val="24"/>
          <w:szCs w:val="24"/>
          <w:u w:val="single"/>
        </w:rPr>
      </w:pPr>
    </w:p>
    <w:p w14:paraId="3BF336B5" w14:textId="5E7AA046" w:rsidR="00635FDC" w:rsidRPr="00F13A70" w:rsidRDefault="00635FDC" w:rsidP="00D023FD">
      <w:pPr>
        <w:widowControl w:val="0"/>
        <w:spacing w:after="0" w:line="240" w:lineRule="auto"/>
        <w:ind w:firstLine="284"/>
        <w:jc w:val="right"/>
        <w:rPr>
          <w:rFonts w:ascii="Garamond" w:hAnsi="Garamond" w:cs="Times New Roman"/>
          <w:sz w:val="24"/>
          <w:szCs w:val="24"/>
        </w:rPr>
      </w:pPr>
      <w:r w:rsidRPr="00F13A70">
        <w:rPr>
          <w:rFonts w:ascii="Garamond" w:hAnsi="Garamond" w:cs="Times New Roman"/>
          <w:sz w:val="24"/>
          <w:szCs w:val="24"/>
        </w:rPr>
        <w:t>ANEKS 1</w:t>
      </w:r>
    </w:p>
    <w:p w14:paraId="7C868635" w14:textId="77777777" w:rsidR="00635FDC" w:rsidRPr="00E76B69" w:rsidRDefault="00635FDC" w:rsidP="00D023FD">
      <w:pPr>
        <w:widowControl w:val="0"/>
        <w:spacing w:after="0" w:line="240" w:lineRule="auto"/>
        <w:ind w:firstLine="284"/>
        <w:rPr>
          <w:rFonts w:ascii="Garamond" w:hAnsi="Garamond" w:cs="Times New Roman"/>
          <w:b/>
          <w:sz w:val="24"/>
          <w:szCs w:val="24"/>
          <w:u w:val="single"/>
        </w:rPr>
      </w:pPr>
      <w:r w:rsidRPr="00E76B69">
        <w:rPr>
          <w:rFonts w:ascii="Garamond" w:hAnsi="Garamond" w:cs="Times New Roman"/>
          <w:b/>
          <w:sz w:val="24"/>
          <w:szCs w:val="24"/>
          <w:u w:val="single"/>
        </w:rPr>
        <w:t>Raporti fillestar</w:t>
      </w:r>
    </w:p>
    <w:p w14:paraId="4FD791E5" w14:textId="77777777" w:rsidR="00635FDC" w:rsidRPr="00E76B69" w:rsidRDefault="00635FDC" w:rsidP="00D023FD">
      <w:pPr>
        <w:widowControl w:val="0"/>
        <w:spacing w:after="0" w:line="240" w:lineRule="auto"/>
        <w:ind w:firstLine="284"/>
        <w:rPr>
          <w:rFonts w:ascii="Garamond" w:hAnsi="Garamond" w:cs="Times New Roman"/>
          <w:b/>
          <w:sz w:val="24"/>
          <w:szCs w:val="24"/>
          <w:u w:val="single"/>
        </w:rPr>
      </w:pPr>
    </w:p>
    <w:p w14:paraId="1C04D4BC" w14:textId="77777777" w:rsidR="00635FDC" w:rsidRPr="00E76B69" w:rsidRDefault="00635FDC" w:rsidP="00D023FD">
      <w:pPr>
        <w:widowControl w:val="0"/>
        <w:spacing w:after="0" w:line="240" w:lineRule="auto"/>
        <w:jc w:val="center"/>
        <w:rPr>
          <w:rFonts w:ascii="Garamond" w:hAnsi="Garamond" w:cs="Times New Roman"/>
          <w:b/>
          <w:sz w:val="24"/>
          <w:szCs w:val="24"/>
          <w:u w:val="single"/>
        </w:rPr>
      </w:pPr>
      <w:r w:rsidRPr="00E76B69">
        <w:rPr>
          <w:rFonts w:ascii="Garamond" w:hAnsi="Garamond"/>
          <w:noProof/>
          <w:sz w:val="24"/>
          <w:szCs w:val="24"/>
          <w:lang w:val="en-US"/>
        </w:rPr>
        <w:drawing>
          <wp:inline distT="0" distB="0" distL="0" distR="0" wp14:anchorId="68954B4F" wp14:editId="4277003F">
            <wp:extent cx="5490894" cy="5505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8560" cy="5513136"/>
                    </a:xfrm>
                    <a:prstGeom prst="rect">
                      <a:avLst/>
                    </a:prstGeom>
                    <a:noFill/>
                    <a:ln>
                      <a:noFill/>
                    </a:ln>
                  </pic:spPr>
                </pic:pic>
              </a:graphicData>
            </a:graphic>
          </wp:inline>
        </w:drawing>
      </w:r>
    </w:p>
    <w:p w14:paraId="00620246" w14:textId="77777777" w:rsidR="00635FDC" w:rsidRPr="00E76B69" w:rsidRDefault="00635FDC" w:rsidP="00D023FD">
      <w:pPr>
        <w:widowControl w:val="0"/>
        <w:spacing w:after="0" w:line="240" w:lineRule="auto"/>
        <w:ind w:firstLine="284"/>
        <w:rPr>
          <w:rFonts w:ascii="Garamond" w:hAnsi="Garamond" w:cs="Times New Roman"/>
          <w:b/>
          <w:sz w:val="24"/>
          <w:szCs w:val="24"/>
          <w:u w:val="single"/>
        </w:rPr>
      </w:pPr>
    </w:p>
    <w:p w14:paraId="432FA31A"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1590FFF4"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76B7EF81"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096C2D17"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160A7D56"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2B7705A4"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10201D4D"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3B10D9B5"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4AFDDFF7" w14:textId="77777777" w:rsidR="00635FDC" w:rsidRPr="00E76B69" w:rsidRDefault="00635FDC" w:rsidP="00D023FD">
      <w:pPr>
        <w:widowControl w:val="0"/>
        <w:spacing w:after="0" w:line="240" w:lineRule="auto"/>
        <w:ind w:firstLine="284"/>
        <w:rPr>
          <w:rFonts w:ascii="Garamond" w:hAnsi="Garamond" w:cs="Times New Roman"/>
          <w:b/>
          <w:sz w:val="24"/>
          <w:szCs w:val="24"/>
          <w:u w:val="single"/>
        </w:rPr>
      </w:pPr>
      <w:r w:rsidRPr="00E76B69">
        <w:rPr>
          <w:rFonts w:ascii="Garamond" w:hAnsi="Garamond" w:cs="Times New Roman"/>
          <w:b/>
          <w:sz w:val="24"/>
          <w:szCs w:val="24"/>
          <w:u w:val="single"/>
        </w:rPr>
        <w:t>Raporti i ndërmjetëm</w:t>
      </w:r>
    </w:p>
    <w:p w14:paraId="0885EAD7" w14:textId="77777777" w:rsidR="00635FDC" w:rsidRPr="00E76B69" w:rsidRDefault="00635FDC" w:rsidP="00D023FD">
      <w:pPr>
        <w:widowControl w:val="0"/>
        <w:spacing w:after="0" w:line="240" w:lineRule="auto"/>
        <w:ind w:firstLine="284"/>
        <w:jc w:val="center"/>
        <w:rPr>
          <w:rFonts w:ascii="Garamond" w:hAnsi="Garamond" w:cs="Times New Roman"/>
          <w:b/>
          <w:sz w:val="24"/>
          <w:szCs w:val="24"/>
          <w:u w:val="single"/>
        </w:rPr>
      </w:pPr>
      <w:r w:rsidRPr="00E76B69">
        <w:rPr>
          <w:rFonts w:ascii="Garamond" w:hAnsi="Garamond"/>
          <w:noProof/>
          <w:sz w:val="24"/>
          <w:szCs w:val="24"/>
          <w:lang w:val="en-US"/>
        </w:rPr>
        <w:drawing>
          <wp:inline distT="0" distB="0" distL="0" distR="0" wp14:anchorId="6A5155F6" wp14:editId="4D5BBFD8">
            <wp:extent cx="5743575" cy="720678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4662" cy="7208147"/>
                    </a:xfrm>
                    <a:prstGeom prst="rect">
                      <a:avLst/>
                    </a:prstGeom>
                    <a:noFill/>
                    <a:ln>
                      <a:noFill/>
                    </a:ln>
                  </pic:spPr>
                </pic:pic>
              </a:graphicData>
            </a:graphic>
          </wp:inline>
        </w:drawing>
      </w:r>
    </w:p>
    <w:p w14:paraId="148EEF62" w14:textId="77777777" w:rsidR="00635FDC" w:rsidRPr="00E76B69" w:rsidRDefault="00635FDC" w:rsidP="00D023FD">
      <w:pPr>
        <w:widowControl w:val="0"/>
        <w:spacing w:after="0" w:line="240" w:lineRule="auto"/>
        <w:ind w:firstLine="284"/>
        <w:rPr>
          <w:rFonts w:ascii="Garamond" w:hAnsi="Garamond" w:cs="Times New Roman"/>
          <w:b/>
          <w:sz w:val="24"/>
          <w:szCs w:val="24"/>
          <w:u w:val="single"/>
        </w:rPr>
      </w:pPr>
    </w:p>
    <w:p w14:paraId="107CBA37"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1C009212"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5CF077F5"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1036CD6B"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21734C6D"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5F47C12B"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5ECA8B13" w14:textId="77777777" w:rsidR="00DF3EE9" w:rsidRDefault="00DF3EE9" w:rsidP="00D023FD">
      <w:pPr>
        <w:widowControl w:val="0"/>
        <w:spacing w:after="0" w:line="240" w:lineRule="auto"/>
        <w:ind w:firstLine="284"/>
        <w:rPr>
          <w:rFonts w:ascii="Garamond" w:hAnsi="Garamond" w:cs="Times New Roman"/>
          <w:b/>
          <w:sz w:val="24"/>
          <w:szCs w:val="24"/>
          <w:u w:val="single"/>
        </w:rPr>
      </w:pPr>
    </w:p>
    <w:p w14:paraId="4A823BB2" w14:textId="77777777" w:rsidR="00635FDC" w:rsidRPr="00E76B69" w:rsidRDefault="00635FDC" w:rsidP="00D023FD">
      <w:pPr>
        <w:widowControl w:val="0"/>
        <w:spacing w:after="0" w:line="240" w:lineRule="auto"/>
        <w:ind w:firstLine="284"/>
        <w:rPr>
          <w:rFonts w:ascii="Garamond" w:hAnsi="Garamond" w:cs="Times New Roman"/>
          <w:b/>
          <w:sz w:val="24"/>
          <w:szCs w:val="24"/>
          <w:u w:val="single"/>
        </w:rPr>
      </w:pPr>
      <w:r w:rsidRPr="00E76B69">
        <w:rPr>
          <w:rFonts w:ascii="Garamond" w:hAnsi="Garamond" w:cs="Times New Roman"/>
          <w:b/>
          <w:sz w:val="24"/>
          <w:szCs w:val="24"/>
          <w:u w:val="single"/>
        </w:rPr>
        <w:t>Raporti përfundimtar</w:t>
      </w:r>
    </w:p>
    <w:p w14:paraId="0139053E" w14:textId="77777777" w:rsidR="00635FDC" w:rsidRPr="00E76B69" w:rsidRDefault="00635FDC" w:rsidP="00D023FD">
      <w:pPr>
        <w:widowControl w:val="0"/>
        <w:spacing w:after="0" w:line="240" w:lineRule="auto"/>
        <w:ind w:firstLine="284"/>
        <w:rPr>
          <w:rFonts w:ascii="Garamond" w:hAnsi="Garamond" w:cs="Times New Roman"/>
          <w:b/>
          <w:sz w:val="24"/>
          <w:szCs w:val="24"/>
          <w:u w:val="single"/>
        </w:rPr>
      </w:pPr>
    </w:p>
    <w:p w14:paraId="038ACC61" w14:textId="77777777" w:rsidR="00635FDC" w:rsidRPr="00E76B69" w:rsidRDefault="00635FDC" w:rsidP="00D023FD">
      <w:pPr>
        <w:widowControl w:val="0"/>
        <w:spacing w:after="0" w:line="240" w:lineRule="auto"/>
        <w:rPr>
          <w:rFonts w:ascii="Garamond" w:hAnsi="Garamond" w:cs="Times New Roman"/>
          <w:b/>
          <w:sz w:val="24"/>
          <w:szCs w:val="24"/>
          <w:u w:val="single"/>
        </w:rPr>
      </w:pPr>
      <w:r w:rsidRPr="00E76B69">
        <w:rPr>
          <w:rFonts w:ascii="Garamond" w:hAnsi="Garamond"/>
          <w:noProof/>
          <w:sz w:val="24"/>
          <w:szCs w:val="24"/>
          <w:lang w:val="en-US"/>
        </w:rPr>
        <w:drawing>
          <wp:inline distT="0" distB="0" distL="0" distR="0" wp14:anchorId="53DB9683" wp14:editId="2A29FFA6">
            <wp:extent cx="5857292" cy="447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68548" cy="4485353"/>
                    </a:xfrm>
                    <a:prstGeom prst="rect">
                      <a:avLst/>
                    </a:prstGeom>
                    <a:noFill/>
                    <a:ln>
                      <a:noFill/>
                    </a:ln>
                  </pic:spPr>
                </pic:pic>
              </a:graphicData>
            </a:graphic>
          </wp:inline>
        </w:drawing>
      </w:r>
    </w:p>
    <w:p w14:paraId="7ECF6932" w14:textId="77777777" w:rsidR="00635FDC" w:rsidRPr="00E76B69" w:rsidRDefault="00635FDC" w:rsidP="00D023FD">
      <w:pPr>
        <w:widowControl w:val="0"/>
        <w:spacing w:after="0" w:line="240" w:lineRule="auto"/>
        <w:ind w:firstLine="284"/>
        <w:rPr>
          <w:rFonts w:ascii="Garamond" w:hAnsi="Garamond" w:cs="Times New Roman"/>
          <w:b/>
          <w:sz w:val="24"/>
          <w:szCs w:val="24"/>
          <w:u w:val="single"/>
        </w:rPr>
      </w:pPr>
    </w:p>
    <w:p w14:paraId="04E55DB0" w14:textId="77777777" w:rsidR="00D023FD" w:rsidRPr="00E76B69" w:rsidRDefault="00D023FD" w:rsidP="00D023FD">
      <w:pPr>
        <w:widowControl w:val="0"/>
        <w:autoSpaceDE w:val="0"/>
        <w:autoSpaceDN w:val="0"/>
        <w:adjustRightInd w:val="0"/>
        <w:spacing w:after="0" w:line="240" w:lineRule="auto"/>
        <w:ind w:firstLine="284"/>
        <w:rPr>
          <w:rFonts w:ascii="Garamond" w:hAnsi="Garamond" w:cs="Times New Roman"/>
          <w:b/>
          <w:bCs/>
          <w:color w:val="000000"/>
          <w:sz w:val="24"/>
          <w:szCs w:val="24"/>
          <w:u w:val="single"/>
        </w:rPr>
      </w:pPr>
      <w:bookmarkStart w:id="0" w:name="_GoBack"/>
      <w:bookmarkEnd w:id="0"/>
    </w:p>
    <w:p w14:paraId="6E47D96A" w14:textId="65159C32" w:rsidR="008921A4" w:rsidRPr="00F13A70" w:rsidRDefault="008921A4" w:rsidP="00F13A70">
      <w:pPr>
        <w:widowControl w:val="0"/>
        <w:autoSpaceDE w:val="0"/>
        <w:autoSpaceDN w:val="0"/>
        <w:adjustRightInd w:val="0"/>
        <w:spacing w:after="0" w:line="240" w:lineRule="auto"/>
        <w:ind w:firstLine="284"/>
        <w:jc w:val="right"/>
        <w:rPr>
          <w:rFonts w:ascii="Garamond" w:hAnsi="Garamond" w:cs="Times New Roman"/>
          <w:bCs/>
          <w:color w:val="000000"/>
          <w:sz w:val="24"/>
          <w:szCs w:val="24"/>
        </w:rPr>
      </w:pPr>
      <w:r w:rsidRPr="00F13A70">
        <w:rPr>
          <w:rFonts w:ascii="Garamond" w:hAnsi="Garamond" w:cs="Times New Roman"/>
          <w:bCs/>
          <w:color w:val="000000"/>
          <w:sz w:val="24"/>
          <w:szCs w:val="24"/>
        </w:rPr>
        <w:t>ANEKS 2</w:t>
      </w:r>
    </w:p>
    <w:p w14:paraId="556CA55A" w14:textId="77777777" w:rsidR="008921A4" w:rsidRPr="00F13A70" w:rsidRDefault="008921A4" w:rsidP="00D023FD">
      <w:pPr>
        <w:widowControl w:val="0"/>
        <w:autoSpaceDE w:val="0"/>
        <w:autoSpaceDN w:val="0"/>
        <w:adjustRightInd w:val="0"/>
        <w:spacing w:after="0" w:line="240" w:lineRule="auto"/>
        <w:ind w:firstLine="284"/>
        <w:jc w:val="center"/>
        <w:rPr>
          <w:rFonts w:ascii="Garamond" w:hAnsi="Garamond" w:cs="Times New Roman"/>
          <w:bCs/>
          <w:color w:val="000000"/>
          <w:sz w:val="24"/>
          <w:szCs w:val="24"/>
        </w:rPr>
      </w:pPr>
      <w:r w:rsidRPr="00F13A70">
        <w:rPr>
          <w:rFonts w:ascii="Garamond" w:hAnsi="Garamond" w:cs="Times New Roman"/>
          <w:bCs/>
          <w:color w:val="000000"/>
          <w:sz w:val="24"/>
          <w:szCs w:val="24"/>
        </w:rPr>
        <w:t>UDHËZUES PËR RAPORTIMIN E INCIDENTEVE MADHORE</w:t>
      </w:r>
    </w:p>
    <w:p w14:paraId="441052A0" w14:textId="77777777" w:rsidR="008921A4" w:rsidRPr="00E76B69" w:rsidRDefault="008921A4" w:rsidP="00D023FD">
      <w:pPr>
        <w:widowControl w:val="0"/>
        <w:autoSpaceDE w:val="0"/>
        <w:autoSpaceDN w:val="0"/>
        <w:adjustRightInd w:val="0"/>
        <w:spacing w:after="0" w:line="240" w:lineRule="auto"/>
        <w:ind w:firstLine="284"/>
        <w:jc w:val="center"/>
        <w:rPr>
          <w:rFonts w:ascii="Garamond" w:hAnsi="Garamond" w:cs="Times New Roman"/>
          <w:b/>
          <w:bCs/>
          <w:color w:val="000000"/>
          <w:sz w:val="24"/>
          <w:szCs w:val="24"/>
        </w:rPr>
      </w:pPr>
    </w:p>
    <w:p w14:paraId="413E914D" w14:textId="0DAEA1C3" w:rsidR="008921A4" w:rsidRPr="00F13A70" w:rsidRDefault="008921A4" w:rsidP="00D023FD">
      <w:pPr>
        <w:widowControl w:val="0"/>
        <w:autoSpaceDE w:val="0"/>
        <w:autoSpaceDN w:val="0"/>
        <w:adjustRightInd w:val="0"/>
        <w:spacing w:after="0" w:line="240" w:lineRule="auto"/>
        <w:ind w:firstLine="284"/>
        <w:rPr>
          <w:rFonts w:ascii="Garamond" w:hAnsi="Garamond" w:cs="Times New Roman"/>
          <w:b/>
          <w:bCs/>
          <w:color w:val="000000"/>
          <w:sz w:val="24"/>
          <w:szCs w:val="24"/>
        </w:rPr>
      </w:pPr>
      <w:r w:rsidRPr="00F13A70">
        <w:rPr>
          <w:rFonts w:ascii="Garamond" w:hAnsi="Garamond" w:cs="Times New Roman"/>
          <w:b/>
          <w:bCs/>
          <w:color w:val="000000"/>
          <w:sz w:val="24"/>
          <w:szCs w:val="24"/>
        </w:rPr>
        <w:t>Udhëzime për plotësimin e formularëve të raportimit</w:t>
      </w:r>
      <w:r w:rsidRPr="00F13A70">
        <w:rPr>
          <w:rFonts w:ascii="Garamond" w:hAnsi="Garamond" w:cs="Times New Roman"/>
          <w:color w:val="000000"/>
          <w:sz w:val="24"/>
          <w:szCs w:val="24"/>
        </w:rPr>
        <w:t>:</w:t>
      </w:r>
      <w:r w:rsidR="00BD41B0">
        <w:rPr>
          <w:rFonts w:ascii="Garamond" w:hAnsi="Garamond" w:cs="Times New Roman"/>
          <w:color w:val="000000"/>
          <w:sz w:val="24"/>
          <w:szCs w:val="24"/>
        </w:rPr>
        <w:t xml:space="preserve"> </w:t>
      </w:r>
    </w:p>
    <w:p w14:paraId="18591443"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Ofruesit e shërbimeve të pagesave duhet të plotësojnë pjesën përkatëse të formularit, në varësi të fazës së raportimit në të cilën ndodhen: seksioni A - për raportin fillestar, seksioni B - për raportet e ndërmjetme dhe seksioni C - për raportin përfundimtar. Ofruesit e shërbimeve të pagesave përdorin të njëjtin formular, për t’i paraqitur Bankës së Shqipërisë raportin fillestar, të ndërmjetëm dhe përfundimtar, për të njëjtin incident. Të gjitha fushat janë të detyrueshme për t’u plotësuar, përveç rasteve kur specifikohet ndryshe, në mënyrë të qartë në formular.</w:t>
      </w:r>
    </w:p>
    <w:p w14:paraId="2C6B0749" w14:textId="77777777" w:rsidR="008921A4" w:rsidRPr="00F13A70" w:rsidRDefault="008921A4" w:rsidP="00D023FD">
      <w:pPr>
        <w:widowControl w:val="0"/>
        <w:autoSpaceDE w:val="0"/>
        <w:autoSpaceDN w:val="0"/>
        <w:adjustRightInd w:val="0"/>
        <w:spacing w:after="0" w:line="240" w:lineRule="auto"/>
        <w:ind w:firstLine="284"/>
        <w:rPr>
          <w:rFonts w:ascii="Garamond" w:hAnsi="Garamond" w:cs="Times New Roman"/>
          <w:b/>
          <w:bCs/>
          <w:color w:val="000000"/>
          <w:sz w:val="24"/>
          <w:szCs w:val="24"/>
        </w:rPr>
      </w:pPr>
      <w:r w:rsidRPr="00F13A70">
        <w:rPr>
          <w:rFonts w:ascii="Garamond" w:hAnsi="Garamond" w:cs="Times New Roman"/>
          <w:b/>
          <w:bCs/>
          <w:color w:val="000000"/>
          <w:sz w:val="24"/>
          <w:szCs w:val="24"/>
        </w:rPr>
        <w:t xml:space="preserve">Të dhëna të përgjithshme </w:t>
      </w:r>
    </w:p>
    <w:p w14:paraId="21035729"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F13A70">
        <w:rPr>
          <w:rFonts w:ascii="Garamond" w:hAnsi="Garamond" w:cs="Times New Roman"/>
          <w:i/>
          <w:iCs/>
          <w:color w:val="000000"/>
          <w:sz w:val="24"/>
          <w:szCs w:val="24"/>
        </w:rPr>
        <w:t>Raporti fillestar:</w:t>
      </w:r>
      <w:r w:rsidRPr="00E76B69">
        <w:rPr>
          <w:rFonts w:ascii="Garamond" w:hAnsi="Garamond" w:cs="Times New Roman"/>
          <w:color w:val="000000"/>
          <w:sz w:val="24"/>
          <w:szCs w:val="24"/>
        </w:rPr>
        <w:t xml:space="preserve"> është njoftimi i parë që ofruesi i shërbimeve të pagesave (OSHP) i paraqet Bankës së Shqipërisë.</w:t>
      </w:r>
    </w:p>
    <w:p w14:paraId="183378FE"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F13A70">
        <w:rPr>
          <w:rFonts w:ascii="Garamond" w:hAnsi="Garamond" w:cs="Times New Roman"/>
          <w:i/>
          <w:iCs/>
          <w:color w:val="000000"/>
          <w:sz w:val="24"/>
          <w:szCs w:val="24"/>
        </w:rPr>
        <w:t>Raporti i ndërmjetëm</w:t>
      </w:r>
      <w:r w:rsidRPr="00E76B69">
        <w:rPr>
          <w:rFonts w:ascii="Garamond" w:hAnsi="Garamond" w:cs="Times New Roman"/>
          <w:i/>
          <w:iCs/>
          <w:color w:val="000000"/>
          <w:sz w:val="24"/>
          <w:szCs w:val="24"/>
        </w:rPr>
        <w:t>:</w:t>
      </w:r>
      <w:r w:rsidRPr="00E76B69">
        <w:rPr>
          <w:rFonts w:ascii="Garamond" w:hAnsi="Garamond" w:cs="Times New Roman"/>
          <w:color w:val="000000"/>
          <w:sz w:val="24"/>
          <w:szCs w:val="24"/>
        </w:rPr>
        <w:t xml:space="preserve"> përmban një përshkrim më të detajuar të incidentit dhe pasojave të tij. Ky raport është një përditësim i raportit fillestar (ose ku është e zbatueshme, të një raporti të mëparshëm të ndërmjetëm) për të njëjtin incident.</w:t>
      </w:r>
    </w:p>
    <w:p w14:paraId="09B56B7D" w14:textId="317C2205"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F13A70">
        <w:rPr>
          <w:rFonts w:ascii="Garamond" w:hAnsi="Garamond" w:cs="Times New Roman"/>
          <w:i/>
          <w:iCs/>
          <w:color w:val="000000"/>
          <w:sz w:val="24"/>
          <w:szCs w:val="24"/>
        </w:rPr>
        <w:t>Raporti përfundimtar:</w:t>
      </w:r>
      <w:r w:rsidRPr="00F13A70">
        <w:rPr>
          <w:rFonts w:ascii="Garamond" w:hAnsi="Garamond" w:cs="Times New Roman"/>
          <w:color w:val="000000"/>
          <w:sz w:val="24"/>
          <w:szCs w:val="24"/>
        </w:rPr>
        <w:t xml:space="preserve"> është raporti i fundit që OSHP</w:t>
      </w:r>
      <w:r w:rsidR="00F13A70">
        <w:rPr>
          <w:rFonts w:ascii="Garamond" w:hAnsi="Garamond" w:cs="Times New Roman"/>
          <w:color w:val="000000"/>
          <w:sz w:val="24"/>
          <w:szCs w:val="24"/>
        </w:rPr>
        <w:t>-ja</w:t>
      </w:r>
      <w:r w:rsidRPr="00F13A70">
        <w:rPr>
          <w:rFonts w:ascii="Garamond" w:hAnsi="Garamond" w:cs="Times New Roman"/>
          <w:color w:val="000000"/>
          <w:sz w:val="24"/>
          <w:szCs w:val="24"/>
        </w:rPr>
        <w:t xml:space="preserve"> do të dërgojë mbi incidentin, kur: </w:t>
      </w:r>
      <w:r w:rsidRPr="00F13A70">
        <w:rPr>
          <w:rFonts w:ascii="Garamond" w:hAnsi="Garamond" w:cs="Times New Roman"/>
          <w:i/>
          <w:iCs/>
          <w:color w:val="000000"/>
          <w:sz w:val="24"/>
          <w:szCs w:val="24"/>
        </w:rPr>
        <w:t>i</w:t>
      </w:r>
      <w:r w:rsidR="00F13A70">
        <w:rPr>
          <w:rFonts w:ascii="Garamond" w:hAnsi="Garamond" w:cs="Times New Roman"/>
          <w:i/>
          <w:iCs/>
          <w:color w:val="000000"/>
          <w:sz w:val="24"/>
          <w:szCs w:val="24"/>
        </w:rPr>
        <w:t>.</w:t>
      </w:r>
      <w:r w:rsidRPr="00F13A70">
        <w:rPr>
          <w:rFonts w:ascii="Garamond" w:hAnsi="Garamond" w:cs="Times New Roman"/>
          <w:i/>
          <w:iCs/>
          <w:color w:val="000000"/>
          <w:sz w:val="24"/>
          <w:szCs w:val="24"/>
        </w:rPr>
        <w:t xml:space="preserve"> </w:t>
      </w:r>
      <w:r w:rsidRPr="00F13A70">
        <w:rPr>
          <w:rFonts w:ascii="Garamond" w:hAnsi="Garamond" w:cs="Times New Roman"/>
          <w:color w:val="000000"/>
          <w:sz w:val="24"/>
          <w:szCs w:val="24"/>
        </w:rPr>
        <w:t>është kryer analiza e shkakut</w:t>
      </w:r>
      <w:r w:rsidRPr="00E76B69">
        <w:rPr>
          <w:rFonts w:ascii="Garamond" w:hAnsi="Garamond" w:cs="Times New Roman"/>
          <w:color w:val="000000"/>
          <w:sz w:val="24"/>
          <w:szCs w:val="24"/>
        </w:rPr>
        <w:t xml:space="preserve"> bazë të incidentit dhe vlerësimet e kryera nga OSHP</w:t>
      </w:r>
      <w:r w:rsidR="00F13A70">
        <w:rPr>
          <w:rFonts w:ascii="Garamond" w:hAnsi="Garamond" w:cs="Times New Roman"/>
          <w:color w:val="000000"/>
          <w:sz w:val="24"/>
          <w:szCs w:val="24"/>
        </w:rPr>
        <w:t>-ja</w:t>
      </w:r>
      <w:r w:rsidRPr="00E76B69">
        <w:rPr>
          <w:rFonts w:ascii="Garamond" w:hAnsi="Garamond" w:cs="Times New Roman"/>
          <w:color w:val="000000"/>
          <w:sz w:val="24"/>
          <w:szCs w:val="24"/>
        </w:rPr>
        <w:t xml:space="preserve"> tashmë mund të zëvendësohen me shifra reale; ose</w:t>
      </w:r>
      <w:r w:rsidR="00F13A70">
        <w:rPr>
          <w:rFonts w:ascii="Garamond" w:hAnsi="Garamond" w:cs="Times New Roman"/>
          <w:i/>
          <w:iCs/>
          <w:color w:val="000000"/>
          <w:sz w:val="24"/>
          <w:szCs w:val="24"/>
        </w:rPr>
        <w:t xml:space="preserve"> </w:t>
      </w:r>
      <w:r w:rsidRPr="00E76B69">
        <w:rPr>
          <w:rFonts w:ascii="Garamond" w:hAnsi="Garamond" w:cs="Times New Roman"/>
          <w:i/>
          <w:iCs/>
          <w:color w:val="000000"/>
          <w:sz w:val="24"/>
          <w:szCs w:val="24"/>
        </w:rPr>
        <w:t>ii</w:t>
      </w:r>
      <w:r w:rsidR="00F13A70">
        <w:rPr>
          <w:rFonts w:ascii="Garamond" w:hAnsi="Garamond" w:cs="Times New Roman"/>
          <w:i/>
          <w:iCs/>
          <w:color w:val="000000"/>
          <w:sz w:val="24"/>
          <w:szCs w:val="24"/>
        </w:rPr>
        <w:t>.</w:t>
      </w:r>
      <w:r w:rsidRPr="00E76B69">
        <w:rPr>
          <w:rFonts w:ascii="Garamond" w:hAnsi="Garamond" w:cs="Times New Roman"/>
          <w:i/>
          <w:iCs/>
          <w:color w:val="000000"/>
          <w:sz w:val="24"/>
          <w:szCs w:val="24"/>
        </w:rPr>
        <w:t xml:space="preserve"> </w:t>
      </w:r>
      <w:r w:rsidRPr="00E76B69">
        <w:rPr>
          <w:rFonts w:ascii="Garamond" w:hAnsi="Garamond" w:cs="Times New Roman"/>
          <w:color w:val="000000"/>
          <w:sz w:val="24"/>
          <w:szCs w:val="24"/>
        </w:rPr>
        <w:t>incidenti nuk konsiderohet më si incident madhor dhe duhet të riklasifikohet.</w:t>
      </w:r>
    </w:p>
    <w:p w14:paraId="0FE94B44"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F13A70">
        <w:rPr>
          <w:rFonts w:ascii="Garamond" w:hAnsi="Garamond" w:cs="Times New Roman"/>
          <w:i/>
          <w:iCs/>
          <w:color w:val="000000"/>
          <w:sz w:val="24"/>
          <w:szCs w:val="24"/>
        </w:rPr>
        <w:t>Incidenti i riklasifikuar si jomadhor</w:t>
      </w:r>
      <w:r w:rsidRPr="00F13A70">
        <w:rPr>
          <w:rFonts w:ascii="Garamond" w:hAnsi="Garamond" w:cs="Times New Roman"/>
          <w:color w:val="000000"/>
          <w:sz w:val="24"/>
          <w:szCs w:val="24"/>
        </w:rPr>
        <w:t>:</w:t>
      </w:r>
      <w:r w:rsidRPr="00E76B69">
        <w:rPr>
          <w:rFonts w:ascii="Garamond" w:hAnsi="Garamond" w:cs="Times New Roman"/>
          <w:color w:val="000000"/>
          <w:sz w:val="24"/>
          <w:szCs w:val="24"/>
        </w:rPr>
        <w:t xml:space="preserve"> incidenti nuk përmbush më kriteret për t’u konsideruar si incident madhor dhe nuk pritet t’i përmbushë kriteret para se të zgjidhet incidenti. OSHP-ja duhet të shpjegojë arsyet e këtij riklasifikimi.</w:t>
      </w:r>
    </w:p>
    <w:p w14:paraId="03F933AB" w14:textId="0231F7A1" w:rsidR="00D023FD"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F13A70">
        <w:rPr>
          <w:rFonts w:ascii="Garamond" w:hAnsi="Garamond" w:cs="Times New Roman"/>
          <w:i/>
          <w:iCs/>
          <w:color w:val="000000"/>
          <w:sz w:val="24"/>
          <w:szCs w:val="24"/>
        </w:rPr>
        <w:t>Data dhe ora e raportimit</w:t>
      </w:r>
      <w:r w:rsidRPr="00F13A70">
        <w:rPr>
          <w:rFonts w:ascii="Garamond" w:hAnsi="Garamond" w:cs="Times New Roman"/>
          <w:color w:val="000000"/>
          <w:sz w:val="24"/>
          <w:szCs w:val="24"/>
        </w:rPr>
        <w:t>: data</w:t>
      </w:r>
      <w:r w:rsidRPr="00E76B69">
        <w:rPr>
          <w:rFonts w:ascii="Garamond" w:hAnsi="Garamond" w:cs="Times New Roman"/>
          <w:color w:val="000000"/>
          <w:sz w:val="24"/>
          <w:szCs w:val="24"/>
        </w:rPr>
        <w:t xml:space="preserve"> dhe ora e saktë e dorëzimit të raportit te Banka e Shqipërisë.</w:t>
      </w:r>
    </w:p>
    <w:p w14:paraId="0A3FD0EF"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color w:val="000000"/>
          <w:sz w:val="24"/>
          <w:szCs w:val="24"/>
        </w:rPr>
      </w:pPr>
      <w:r w:rsidRPr="00E76B69">
        <w:rPr>
          <w:rFonts w:ascii="Garamond" w:hAnsi="Garamond" w:cs="Times New Roman"/>
          <w:b/>
          <w:bCs/>
          <w:color w:val="000000"/>
          <w:sz w:val="24"/>
          <w:szCs w:val="24"/>
        </w:rPr>
        <w:t>Seksioni A - Raporti fillestar</w:t>
      </w:r>
    </w:p>
    <w:p w14:paraId="4D3F21F0"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i/>
          <w:iCs/>
          <w:color w:val="000000"/>
          <w:sz w:val="24"/>
          <w:szCs w:val="24"/>
        </w:rPr>
      </w:pPr>
      <w:r w:rsidRPr="00E76B69">
        <w:rPr>
          <w:rFonts w:ascii="Garamond" w:hAnsi="Garamond" w:cs="Times New Roman"/>
          <w:b/>
          <w:bCs/>
          <w:i/>
          <w:iCs/>
          <w:color w:val="000000"/>
          <w:sz w:val="24"/>
          <w:szCs w:val="24"/>
        </w:rPr>
        <w:t>A1 - Detaje të përgjithshme</w:t>
      </w:r>
    </w:p>
    <w:p w14:paraId="0A05C81C" w14:textId="77777777" w:rsidR="008921A4" w:rsidRPr="00F13A70" w:rsidRDefault="008921A4" w:rsidP="00D023FD">
      <w:pPr>
        <w:widowControl w:val="0"/>
        <w:autoSpaceDE w:val="0"/>
        <w:autoSpaceDN w:val="0"/>
        <w:adjustRightInd w:val="0"/>
        <w:spacing w:after="0" w:line="240" w:lineRule="auto"/>
        <w:ind w:firstLine="284"/>
        <w:jc w:val="both"/>
        <w:rPr>
          <w:rFonts w:ascii="Garamond" w:hAnsi="Garamond" w:cs="Times New Roman"/>
          <w:b/>
          <w:bCs/>
          <w:color w:val="000000"/>
          <w:sz w:val="24"/>
          <w:szCs w:val="24"/>
        </w:rPr>
      </w:pPr>
      <w:r w:rsidRPr="00F13A70">
        <w:rPr>
          <w:rFonts w:ascii="Garamond" w:hAnsi="Garamond" w:cs="Times New Roman"/>
          <w:b/>
          <w:bCs/>
          <w:color w:val="000000"/>
          <w:sz w:val="24"/>
          <w:szCs w:val="24"/>
        </w:rPr>
        <w:t>Lloji i raportit</w:t>
      </w:r>
      <w:r w:rsidRPr="00F13A70">
        <w:rPr>
          <w:rFonts w:ascii="Garamond" w:hAnsi="Garamond" w:cs="Times New Roman"/>
          <w:color w:val="000000"/>
          <w:sz w:val="24"/>
          <w:szCs w:val="24"/>
        </w:rPr>
        <w:t>:</w:t>
      </w:r>
    </w:p>
    <w:p w14:paraId="1ADA9E6F"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Individual</w:t>
      </w:r>
      <w:r w:rsidRPr="00E76B69">
        <w:rPr>
          <w:rFonts w:ascii="Garamond" w:hAnsi="Garamond" w:cs="Times New Roman"/>
          <w:color w:val="000000"/>
          <w:sz w:val="24"/>
          <w:szCs w:val="24"/>
        </w:rPr>
        <w:t>: raporti i referohet një OSHP-je të vetme.</w:t>
      </w:r>
    </w:p>
    <w:p w14:paraId="4FFCCE02"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I konsoliduar</w:t>
      </w:r>
      <w:r w:rsidRPr="00E76B69">
        <w:rPr>
          <w:rFonts w:ascii="Garamond" w:hAnsi="Garamond" w:cs="Times New Roman"/>
          <w:color w:val="000000"/>
          <w:sz w:val="24"/>
          <w:szCs w:val="24"/>
        </w:rPr>
        <w:t>: raporti i referohet disa OSHP-ve në territorin e Republikës së Shqipërisë që preken nga i njëjti incident madhor operacional ose i sigurisë, të cilët përdorin opsionin e raportimit të konsoliduar. Fushat nën zërin “OSHP e prekur nga incidenti” duhet të lihen bosh (me përjashtim të fushës “Vendi/vendet e prekura nga incidenti”) dhe një listë e OSHP-ve të përfshira në raport duhet të paraqitet duke plotësuar tabelën përkatëse (Raporti i konsoliduar - Lista e OSHP-ve).</w:t>
      </w:r>
    </w:p>
    <w:p w14:paraId="3077F9B8" w14:textId="689F6F92"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F13A70">
        <w:rPr>
          <w:rFonts w:ascii="Garamond" w:hAnsi="Garamond" w:cs="Times New Roman"/>
          <w:b/>
          <w:bCs/>
          <w:color w:val="000000"/>
          <w:sz w:val="24"/>
          <w:szCs w:val="24"/>
        </w:rPr>
        <w:t>OSHP</w:t>
      </w:r>
      <w:r w:rsidR="00F13A70">
        <w:rPr>
          <w:rFonts w:ascii="Garamond" w:hAnsi="Garamond" w:cs="Times New Roman"/>
          <w:b/>
          <w:bCs/>
          <w:color w:val="000000"/>
          <w:sz w:val="24"/>
          <w:szCs w:val="24"/>
        </w:rPr>
        <w:t>-ja</w:t>
      </w:r>
      <w:r w:rsidRPr="00F13A70">
        <w:rPr>
          <w:rFonts w:ascii="Garamond" w:hAnsi="Garamond" w:cs="Times New Roman"/>
          <w:b/>
          <w:bCs/>
          <w:color w:val="000000"/>
          <w:sz w:val="24"/>
          <w:szCs w:val="24"/>
        </w:rPr>
        <w:t xml:space="preserve"> e prekur nga incidenti</w:t>
      </w:r>
      <w:r w:rsidRPr="00F13A70">
        <w:rPr>
          <w:rFonts w:ascii="Garamond" w:hAnsi="Garamond" w:cs="Times New Roman"/>
          <w:color w:val="000000"/>
          <w:sz w:val="24"/>
          <w:szCs w:val="24"/>
        </w:rPr>
        <w:t>: i</w:t>
      </w:r>
      <w:r w:rsidRPr="00E76B69">
        <w:rPr>
          <w:rFonts w:ascii="Garamond" w:hAnsi="Garamond" w:cs="Times New Roman"/>
          <w:color w:val="000000"/>
          <w:sz w:val="24"/>
          <w:szCs w:val="24"/>
        </w:rPr>
        <w:t xml:space="preserve"> referohet OSHP-së që po përjeton incidentin.</w:t>
      </w:r>
    </w:p>
    <w:p w14:paraId="05B3DD44" w14:textId="146272BB"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Emri i OSHP</w:t>
      </w:r>
      <w:r w:rsidR="00F13A70" w:rsidRPr="00E76B69">
        <w:rPr>
          <w:rFonts w:ascii="Garamond" w:hAnsi="Garamond" w:cs="Times New Roman"/>
          <w:b/>
          <w:bCs/>
          <w:color w:val="000000"/>
          <w:sz w:val="24"/>
          <w:szCs w:val="24"/>
        </w:rPr>
        <w:t>-së</w:t>
      </w:r>
      <w:r w:rsidRPr="00E76B69">
        <w:rPr>
          <w:rFonts w:ascii="Garamond" w:hAnsi="Garamond" w:cs="Times New Roman"/>
          <w:color w:val="000000"/>
          <w:sz w:val="24"/>
          <w:szCs w:val="24"/>
        </w:rPr>
        <w:t>: emri i plotë i OSHP-së që është subjekt i procedurës së raportimit, siç paraqitet në regjistrin publik të ofruesve të shërbimeve të pagesave.</w:t>
      </w:r>
    </w:p>
    <w:p w14:paraId="603C2FE0"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Numri i identifikimit të OSHP-së</w:t>
      </w:r>
      <w:r w:rsidRPr="00E76B69">
        <w:rPr>
          <w:rFonts w:ascii="Garamond" w:hAnsi="Garamond" w:cs="Times New Roman"/>
          <w:color w:val="000000"/>
          <w:sz w:val="24"/>
          <w:szCs w:val="24"/>
        </w:rPr>
        <w:t>: numri i licencës së dhënë nga Banka e Shqipërisë, siç paraqitet në regjistrin publik të ofruesve të shërbimeve të pagesave.</w:t>
      </w:r>
    </w:p>
    <w:p w14:paraId="00058ABB" w14:textId="67E9C0F2"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Subjekti kryesor i grupit</w:t>
      </w:r>
      <w:r w:rsidRPr="00E76B69">
        <w:rPr>
          <w:rFonts w:ascii="Garamond" w:hAnsi="Garamond" w:cs="Times New Roman"/>
          <w:color w:val="000000"/>
          <w:sz w:val="24"/>
          <w:szCs w:val="24"/>
        </w:rPr>
        <w:t>: në rastin e grupeve të subjekteve, siç parashikohet në nenin 5, pika 12</w:t>
      </w:r>
      <w:r w:rsidR="005931EC">
        <w:rPr>
          <w:rFonts w:ascii="Garamond" w:hAnsi="Garamond" w:cs="Times New Roman"/>
          <w:color w:val="000000"/>
          <w:sz w:val="24"/>
          <w:szCs w:val="24"/>
        </w:rPr>
        <w:t>,</w:t>
      </w:r>
      <w:r w:rsidRPr="00E76B69">
        <w:rPr>
          <w:rFonts w:ascii="Garamond" w:hAnsi="Garamond" w:cs="Times New Roman"/>
          <w:color w:val="000000"/>
          <w:sz w:val="24"/>
          <w:szCs w:val="24"/>
        </w:rPr>
        <w:t xml:space="preserve"> të ligjit “Për shërbimet e pagesave”, paraqitet emri i subjektit kryesor të grupit.</w:t>
      </w:r>
    </w:p>
    <w:p w14:paraId="6FA7E00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Vendi/vendet e prekura nga incidenti</w:t>
      </w:r>
      <w:r w:rsidRPr="00E76B69">
        <w:rPr>
          <w:rFonts w:ascii="Garamond" w:hAnsi="Garamond" w:cs="Times New Roman"/>
          <w:color w:val="000000"/>
          <w:sz w:val="24"/>
          <w:szCs w:val="24"/>
        </w:rPr>
        <w:t>: vendi ose vendet ku është materializuar ndikimi i incidentit (p.sh. në rastin kur preken disa degë të një OSHP-je të themeluara në vende të ndryshme), pavarësisht nga shkalla e prekjes në këto vende.</w:t>
      </w:r>
    </w:p>
    <w:p w14:paraId="164B54C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Personi kryesor i kontaktit</w:t>
      </w:r>
      <w:r w:rsidRPr="00E76B69">
        <w:rPr>
          <w:rFonts w:ascii="Garamond" w:hAnsi="Garamond" w:cs="Times New Roman"/>
          <w:color w:val="000000"/>
          <w:sz w:val="24"/>
          <w:szCs w:val="24"/>
        </w:rPr>
        <w:t>: emri dhe mbiemri i personit përgjegjës për raportimin e incidentit ose, nëse një palë e tretë raporton në emër të OSHP-së së prekur, emri dhe mbiemri i personit përgjegjës në departamentin e administrimit të incidentit/të rrezikut ose struktura të ngjashme, në OSHP-në e prekur.</w:t>
      </w:r>
    </w:p>
    <w:p w14:paraId="63010A79" w14:textId="5E3739F0"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Adresa e postës elektronike (</w:t>
      </w:r>
      <w:r w:rsidR="005931EC" w:rsidRPr="005931EC">
        <w:rPr>
          <w:rFonts w:ascii="Garamond" w:hAnsi="Garamond" w:cs="Times New Roman"/>
          <w:b/>
          <w:bCs/>
          <w:i/>
          <w:color w:val="000000"/>
          <w:sz w:val="24"/>
          <w:szCs w:val="24"/>
        </w:rPr>
        <w:t>e</w:t>
      </w:r>
      <w:r w:rsidRPr="005931EC">
        <w:rPr>
          <w:rFonts w:ascii="Garamond" w:hAnsi="Garamond" w:cs="Times New Roman"/>
          <w:b/>
          <w:bCs/>
          <w:i/>
          <w:color w:val="000000"/>
          <w:sz w:val="24"/>
          <w:szCs w:val="24"/>
        </w:rPr>
        <w:t>mail</w:t>
      </w:r>
      <w:r w:rsidRPr="00E76B69">
        <w:rPr>
          <w:rFonts w:ascii="Garamond" w:hAnsi="Garamond" w:cs="Times New Roman"/>
          <w:b/>
          <w:bCs/>
          <w:color w:val="000000"/>
          <w:sz w:val="24"/>
          <w:szCs w:val="24"/>
        </w:rPr>
        <w:t>)</w:t>
      </w:r>
      <w:r w:rsidRPr="00E76B69">
        <w:rPr>
          <w:rFonts w:ascii="Garamond" w:hAnsi="Garamond" w:cs="Times New Roman"/>
          <w:color w:val="000000"/>
          <w:sz w:val="24"/>
          <w:szCs w:val="24"/>
        </w:rPr>
        <w:t xml:space="preserve">: adresa e postës elektronike, në të cilën mund të adresohet çdo kërkesë për sqarime të mëtejshme, nëse është e nevojshme. Mund të jetë një adresë </w:t>
      </w:r>
      <w:r w:rsidRPr="005931EC">
        <w:rPr>
          <w:rFonts w:ascii="Garamond" w:hAnsi="Garamond" w:cs="Times New Roman"/>
          <w:i/>
          <w:color w:val="000000"/>
          <w:sz w:val="24"/>
          <w:szCs w:val="24"/>
        </w:rPr>
        <w:t>email</w:t>
      </w:r>
      <w:r w:rsidR="005931EC" w:rsidRPr="005931EC">
        <w:rPr>
          <w:rFonts w:ascii="Garamond" w:hAnsi="Garamond" w:cs="Times New Roman"/>
          <w:color w:val="000000"/>
          <w:sz w:val="24"/>
          <w:szCs w:val="24"/>
        </w:rPr>
        <w:t>-i</w:t>
      </w:r>
      <w:r w:rsidRPr="00E76B69">
        <w:rPr>
          <w:rFonts w:ascii="Garamond" w:hAnsi="Garamond" w:cs="Times New Roman"/>
          <w:color w:val="000000"/>
          <w:sz w:val="24"/>
          <w:szCs w:val="24"/>
        </w:rPr>
        <w:t xml:space="preserve"> personal</w:t>
      </w:r>
      <w:r w:rsidR="005931EC">
        <w:rPr>
          <w:rFonts w:ascii="Garamond" w:hAnsi="Garamond" w:cs="Times New Roman"/>
          <w:color w:val="000000"/>
          <w:sz w:val="24"/>
          <w:szCs w:val="24"/>
        </w:rPr>
        <w:t>e</w:t>
      </w:r>
      <w:r w:rsidRPr="00E76B69">
        <w:rPr>
          <w:rFonts w:ascii="Garamond" w:hAnsi="Garamond" w:cs="Times New Roman"/>
          <w:color w:val="000000"/>
          <w:sz w:val="24"/>
          <w:szCs w:val="24"/>
        </w:rPr>
        <w:t xml:space="preserve"> ose </w:t>
      </w:r>
      <w:r w:rsidR="005931EC">
        <w:rPr>
          <w:rFonts w:ascii="Garamond" w:hAnsi="Garamond" w:cs="Times New Roman"/>
          <w:color w:val="000000"/>
          <w:sz w:val="24"/>
          <w:szCs w:val="24"/>
        </w:rPr>
        <w:t>e</w:t>
      </w:r>
      <w:r w:rsidRPr="00E76B69">
        <w:rPr>
          <w:rFonts w:ascii="Garamond" w:hAnsi="Garamond" w:cs="Times New Roman"/>
          <w:color w:val="000000"/>
          <w:sz w:val="24"/>
          <w:szCs w:val="24"/>
        </w:rPr>
        <w:t xml:space="preserve"> subjektit.</w:t>
      </w:r>
    </w:p>
    <w:p w14:paraId="39FBA12B"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Telefoni</w:t>
      </w:r>
      <w:r w:rsidRPr="00E76B69">
        <w:rPr>
          <w:rFonts w:ascii="Garamond" w:hAnsi="Garamond" w:cs="Times New Roman"/>
          <w:color w:val="000000"/>
          <w:sz w:val="24"/>
          <w:szCs w:val="24"/>
        </w:rPr>
        <w:t>: numri i telefonit në të cilin mund të adresohet çdo kërkesë për sqarime të mëtejshme, nëse është e nevojshme. Mund të jetë një numër telefoni personal ose i subjektit.</w:t>
      </w:r>
    </w:p>
    <w:p w14:paraId="0562C6F7"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Personi dytësor i kontaktit</w:t>
      </w:r>
      <w:r w:rsidRPr="00E76B69">
        <w:rPr>
          <w:rFonts w:ascii="Garamond" w:hAnsi="Garamond" w:cs="Times New Roman"/>
          <w:color w:val="000000"/>
          <w:sz w:val="24"/>
          <w:szCs w:val="24"/>
        </w:rPr>
        <w:t>: emri dhe mbiemri i një personi tjetër, i cili mund të kontaktohet nga Banka e Shqipërisë në lidhje me incidentin, kur personi kryesor i kontaktit nuk është i disponueshëm. Nëse një palë e tretë raporton në emër të OSHP-së së prekur, emri dhe mbiemri i një personi tjetër në departamentin e administrimit të incidentit/të rrezikut ose struktura të ngjashme, në OSHP-në e prekur.</w:t>
      </w:r>
    </w:p>
    <w:p w14:paraId="3977AB20" w14:textId="4C9E9235"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Adresa e postës elektronike (</w:t>
      </w:r>
      <w:r w:rsidR="005931EC" w:rsidRPr="005931EC">
        <w:rPr>
          <w:rFonts w:ascii="Garamond" w:hAnsi="Garamond" w:cs="Times New Roman"/>
          <w:b/>
          <w:bCs/>
          <w:i/>
          <w:color w:val="000000"/>
          <w:sz w:val="24"/>
          <w:szCs w:val="24"/>
        </w:rPr>
        <w:t>e</w:t>
      </w:r>
      <w:r w:rsidRPr="005931EC">
        <w:rPr>
          <w:rFonts w:ascii="Garamond" w:hAnsi="Garamond" w:cs="Times New Roman"/>
          <w:b/>
          <w:bCs/>
          <w:i/>
          <w:color w:val="000000"/>
          <w:sz w:val="24"/>
          <w:szCs w:val="24"/>
        </w:rPr>
        <w:t>mail</w:t>
      </w:r>
      <w:r w:rsidRPr="00E76B69">
        <w:rPr>
          <w:rFonts w:ascii="Garamond" w:hAnsi="Garamond" w:cs="Times New Roman"/>
          <w:b/>
          <w:bCs/>
          <w:color w:val="000000"/>
          <w:sz w:val="24"/>
          <w:szCs w:val="24"/>
        </w:rPr>
        <w:t>)</w:t>
      </w:r>
      <w:r w:rsidRPr="00E76B69">
        <w:rPr>
          <w:rFonts w:ascii="Garamond" w:hAnsi="Garamond" w:cs="Times New Roman"/>
          <w:color w:val="000000"/>
          <w:sz w:val="24"/>
          <w:szCs w:val="24"/>
        </w:rPr>
        <w:t xml:space="preserve">: adresa e postës elektronike të personit dytësor të kontaktit, tek e cila mund të adresohet çdo kërkesë për sqarime të mëtejshme, nëse është e nevojshme. Mund të jetë një adresë </w:t>
      </w:r>
      <w:r w:rsidRPr="005931EC">
        <w:rPr>
          <w:rFonts w:ascii="Garamond" w:hAnsi="Garamond" w:cs="Times New Roman"/>
          <w:i/>
          <w:color w:val="000000"/>
          <w:sz w:val="24"/>
          <w:szCs w:val="24"/>
        </w:rPr>
        <w:t>email</w:t>
      </w:r>
      <w:r w:rsidR="005931EC" w:rsidRPr="005931EC">
        <w:rPr>
          <w:rFonts w:ascii="Garamond" w:hAnsi="Garamond" w:cs="Times New Roman"/>
          <w:color w:val="000000"/>
          <w:sz w:val="24"/>
          <w:szCs w:val="24"/>
        </w:rPr>
        <w:t>-</w:t>
      </w:r>
      <w:r w:rsidRPr="005931EC">
        <w:rPr>
          <w:rFonts w:ascii="Garamond" w:hAnsi="Garamond" w:cs="Times New Roman"/>
          <w:color w:val="000000"/>
          <w:sz w:val="24"/>
          <w:szCs w:val="24"/>
        </w:rPr>
        <w:t>i</w:t>
      </w:r>
      <w:r w:rsidRPr="00E76B69">
        <w:rPr>
          <w:rFonts w:ascii="Garamond" w:hAnsi="Garamond" w:cs="Times New Roman"/>
          <w:color w:val="000000"/>
          <w:sz w:val="24"/>
          <w:szCs w:val="24"/>
        </w:rPr>
        <w:t xml:space="preserve"> personale ose e subjektit.</w:t>
      </w:r>
    </w:p>
    <w:p w14:paraId="3EECC9B6" w14:textId="0BF2106D"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Telefoni</w:t>
      </w:r>
      <w:r w:rsidRPr="00E76B69">
        <w:rPr>
          <w:rFonts w:ascii="Garamond" w:hAnsi="Garamond" w:cs="Times New Roman"/>
          <w:color w:val="000000"/>
          <w:sz w:val="24"/>
          <w:szCs w:val="24"/>
        </w:rPr>
        <w:t xml:space="preserve">: numri i telefonit </w:t>
      </w:r>
      <w:r w:rsidR="005931EC">
        <w:rPr>
          <w:rFonts w:ascii="Garamond" w:hAnsi="Garamond" w:cs="Times New Roman"/>
          <w:color w:val="000000"/>
          <w:sz w:val="24"/>
          <w:szCs w:val="24"/>
        </w:rPr>
        <w:t>të</w:t>
      </w:r>
      <w:r w:rsidRPr="00E76B69">
        <w:rPr>
          <w:rFonts w:ascii="Garamond" w:hAnsi="Garamond" w:cs="Times New Roman"/>
          <w:color w:val="000000"/>
          <w:sz w:val="24"/>
          <w:szCs w:val="24"/>
        </w:rPr>
        <w:t xml:space="preserve"> personit dytësor të kontaktit, në të cilin mund të adresohet çdo kërkesë për sqarime të mëtejshme, nëse është e nevojshme. Mund të jetë një numër telefoni personal ose i subjektit.</w:t>
      </w:r>
    </w:p>
    <w:p w14:paraId="1D0311DA"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5931EC">
        <w:rPr>
          <w:rFonts w:ascii="Garamond" w:hAnsi="Garamond" w:cs="Times New Roman"/>
          <w:b/>
          <w:bCs/>
          <w:color w:val="000000"/>
          <w:sz w:val="24"/>
          <w:szCs w:val="24"/>
        </w:rPr>
        <w:t>Subjekti raportues</w:t>
      </w:r>
      <w:r w:rsidRPr="00E76B69">
        <w:rPr>
          <w:rFonts w:ascii="Garamond" w:hAnsi="Garamond" w:cs="Times New Roman"/>
          <w:color w:val="000000"/>
          <w:sz w:val="24"/>
          <w:szCs w:val="24"/>
        </w:rPr>
        <w:t>: kjo pjesë e formularit duhet të plotësohet nëse një palë e tretë përmbush detyrimet e raportimit në emër të OSHP-së së prekur.</w:t>
      </w:r>
    </w:p>
    <w:p w14:paraId="19D09DA8"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Emri i subjektit raportues</w:t>
      </w:r>
      <w:r w:rsidRPr="00E76B69">
        <w:rPr>
          <w:rFonts w:ascii="Garamond" w:hAnsi="Garamond" w:cs="Times New Roman"/>
          <w:color w:val="000000"/>
          <w:sz w:val="24"/>
          <w:szCs w:val="24"/>
        </w:rPr>
        <w:t>: emri i plotë i subjektit që raporton incidentin, siç paraqitet në regjistrin e Qendrës Kombëtare të Biznesit.</w:t>
      </w:r>
    </w:p>
    <w:p w14:paraId="733CF81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Numri i identifikimit</w:t>
      </w:r>
      <w:r w:rsidRPr="00E76B69">
        <w:rPr>
          <w:rFonts w:ascii="Garamond" w:hAnsi="Garamond" w:cs="Times New Roman"/>
          <w:color w:val="000000"/>
          <w:sz w:val="24"/>
          <w:szCs w:val="24"/>
        </w:rPr>
        <w:t>: numri unik i identifikimit i përdorur në vendin ku ndodhet pala e tretë për të identifikuar subjektin që raporton incidentin. Nëse pala e tretë është një OSHP, numri i identifikimit do të jetë numri i identifikimit të OSHP-së (numri i licencës së dhënë) nga Banka e Shqipërisë.</w:t>
      </w:r>
    </w:p>
    <w:p w14:paraId="050778AF"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Personi kryesor i kontaktit</w:t>
      </w:r>
      <w:r w:rsidRPr="00E76B69">
        <w:rPr>
          <w:rFonts w:ascii="Garamond" w:hAnsi="Garamond" w:cs="Times New Roman"/>
          <w:color w:val="000000"/>
          <w:sz w:val="24"/>
          <w:szCs w:val="24"/>
        </w:rPr>
        <w:t>: emri dhe mbiemri i personit përgjegjës për raportimin e incidentit.</w:t>
      </w:r>
    </w:p>
    <w:p w14:paraId="0AAD86B4" w14:textId="44E1CC45"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Adresa e postës elektronike (</w:t>
      </w:r>
      <w:r w:rsidR="005931EC" w:rsidRPr="005931EC">
        <w:rPr>
          <w:rFonts w:ascii="Garamond" w:hAnsi="Garamond" w:cs="Times New Roman"/>
          <w:b/>
          <w:bCs/>
          <w:i/>
          <w:color w:val="000000"/>
          <w:sz w:val="24"/>
          <w:szCs w:val="24"/>
        </w:rPr>
        <w:t>e</w:t>
      </w:r>
      <w:r w:rsidRPr="005931EC">
        <w:rPr>
          <w:rFonts w:ascii="Garamond" w:hAnsi="Garamond" w:cs="Times New Roman"/>
          <w:b/>
          <w:bCs/>
          <w:i/>
          <w:color w:val="000000"/>
          <w:sz w:val="24"/>
          <w:szCs w:val="24"/>
        </w:rPr>
        <w:t>mail</w:t>
      </w:r>
      <w:r w:rsidRPr="00E76B69">
        <w:rPr>
          <w:rFonts w:ascii="Garamond" w:hAnsi="Garamond" w:cs="Times New Roman"/>
          <w:b/>
          <w:bCs/>
          <w:color w:val="000000"/>
          <w:sz w:val="24"/>
          <w:szCs w:val="24"/>
        </w:rPr>
        <w:t>)</w:t>
      </w:r>
      <w:r w:rsidRPr="00E76B69">
        <w:rPr>
          <w:rFonts w:ascii="Garamond" w:hAnsi="Garamond" w:cs="Times New Roman"/>
          <w:color w:val="000000"/>
          <w:sz w:val="24"/>
          <w:szCs w:val="24"/>
        </w:rPr>
        <w:t>:</w:t>
      </w:r>
      <w:r w:rsidRPr="00E76B69">
        <w:rPr>
          <w:rFonts w:ascii="Garamond" w:hAnsi="Garamond" w:cs="Times New Roman"/>
          <w:b/>
          <w:bCs/>
          <w:color w:val="000000"/>
          <w:sz w:val="24"/>
          <w:szCs w:val="24"/>
        </w:rPr>
        <w:t xml:space="preserve"> </w:t>
      </w:r>
      <w:r w:rsidRPr="00E76B69">
        <w:rPr>
          <w:rFonts w:ascii="Garamond" w:hAnsi="Garamond" w:cs="Times New Roman"/>
          <w:color w:val="000000"/>
          <w:sz w:val="24"/>
          <w:szCs w:val="24"/>
        </w:rPr>
        <w:t xml:space="preserve">adresa e postës elektronike, në të cilën mund të adresohet çdo kërkesë për sqarime të mëtejshme, nëse është e nevojshme. Mund të jetë një adresë </w:t>
      </w:r>
      <w:r w:rsidRPr="005931EC">
        <w:rPr>
          <w:rFonts w:ascii="Garamond" w:hAnsi="Garamond" w:cs="Times New Roman"/>
          <w:i/>
          <w:color w:val="000000"/>
          <w:sz w:val="24"/>
          <w:szCs w:val="24"/>
        </w:rPr>
        <w:t>email</w:t>
      </w:r>
      <w:r w:rsidR="005931EC">
        <w:rPr>
          <w:rFonts w:ascii="Garamond" w:hAnsi="Garamond" w:cs="Times New Roman"/>
          <w:color w:val="000000"/>
          <w:sz w:val="24"/>
          <w:szCs w:val="24"/>
        </w:rPr>
        <w:t>-</w:t>
      </w:r>
      <w:r w:rsidRPr="00E76B69">
        <w:rPr>
          <w:rFonts w:ascii="Garamond" w:hAnsi="Garamond" w:cs="Times New Roman"/>
          <w:color w:val="000000"/>
          <w:sz w:val="24"/>
          <w:szCs w:val="24"/>
        </w:rPr>
        <w:t>i personale ose e subjektit.</w:t>
      </w:r>
    </w:p>
    <w:p w14:paraId="3E15528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Telefoni:</w:t>
      </w:r>
      <w:r w:rsidRPr="00E76B69">
        <w:rPr>
          <w:rFonts w:ascii="Garamond" w:hAnsi="Garamond" w:cs="Times New Roman"/>
          <w:color w:val="000000"/>
          <w:sz w:val="24"/>
          <w:szCs w:val="24"/>
        </w:rPr>
        <w:t xml:space="preserve"> numri i telefonit në të cilin mund të adresohet çdo kërkesë për sqarime të mëtejshme, nëse është e nevojshme. Mund të jetë një numër telefoni personal ose i subjektit.</w:t>
      </w:r>
    </w:p>
    <w:p w14:paraId="530CB6A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Personi dytësor i kontaktit</w:t>
      </w:r>
      <w:r w:rsidRPr="00E76B69">
        <w:rPr>
          <w:rFonts w:ascii="Garamond" w:hAnsi="Garamond" w:cs="Times New Roman"/>
          <w:color w:val="000000"/>
          <w:sz w:val="24"/>
          <w:szCs w:val="24"/>
        </w:rPr>
        <w:t>: emri dhe mbiemri i një personi tjetër në subjektin që raporton incidentin, i cili mund të kontaktohet nga Banka e Shqipërisë në lidhje me incidentin, kur personi kryesor i kontaktit nuk është i disponueshëm.</w:t>
      </w:r>
    </w:p>
    <w:p w14:paraId="29C8E151" w14:textId="46D8EB32"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Adresa e postës elektronike (</w:t>
      </w:r>
      <w:r w:rsidR="005931EC" w:rsidRPr="00E82EF5">
        <w:rPr>
          <w:rFonts w:ascii="Garamond" w:hAnsi="Garamond" w:cs="Times New Roman"/>
          <w:b/>
          <w:bCs/>
          <w:i/>
          <w:color w:val="000000"/>
          <w:sz w:val="24"/>
          <w:szCs w:val="24"/>
        </w:rPr>
        <w:t>e</w:t>
      </w:r>
      <w:r w:rsidRPr="00E82EF5">
        <w:rPr>
          <w:rFonts w:ascii="Garamond" w:hAnsi="Garamond" w:cs="Times New Roman"/>
          <w:b/>
          <w:bCs/>
          <w:i/>
          <w:color w:val="000000"/>
          <w:sz w:val="24"/>
          <w:szCs w:val="24"/>
        </w:rPr>
        <w:t>mail</w:t>
      </w:r>
      <w:r w:rsidRPr="00E76B69">
        <w:rPr>
          <w:rFonts w:ascii="Garamond" w:hAnsi="Garamond" w:cs="Times New Roman"/>
          <w:b/>
          <w:bCs/>
          <w:color w:val="000000"/>
          <w:sz w:val="24"/>
          <w:szCs w:val="24"/>
        </w:rPr>
        <w:t>)</w:t>
      </w:r>
      <w:r w:rsidRPr="00E76B69">
        <w:rPr>
          <w:rFonts w:ascii="Garamond" w:hAnsi="Garamond" w:cs="Times New Roman"/>
          <w:color w:val="000000"/>
          <w:sz w:val="24"/>
          <w:szCs w:val="24"/>
        </w:rPr>
        <w:t xml:space="preserve">: adresa e postës elektronike të personit dytësor të kontaktit, tek e cila mund të adresohet çdo kërkesë për sqarime të mëtejshme, nëse është e nevojshme. Mund të jetë një adresë </w:t>
      </w:r>
      <w:r w:rsidRPr="005931EC">
        <w:rPr>
          <w:rFonts w:ascii="Garamond" w:hAnsi="Garamond" w:cs="Times New Roman"/>
          <w:i/>
          <w:color w:val="000000"/>
          <w:sz w:val="24"/>
          <w:szCs w:val="24"/>
        </w:rPr>
        <w:t>email</w:t>
      </w:r>
      <w:r w:rsidR="005931EC">
        <w:rPr>
          <w:rFonts w:ascii="Garamond" w:hAnsi="Garamond" w:cs="Times New Roman"/>
          <w:color w:val="000000"/>
          <w:sz w:val="24"/>
          <w:szCs w:val="24"/>
        </w:rPr>
        <w:t>-</w:t>
      </w:r>
      <w:r w:rsidRPr="00E76B69">
        <w:rPr>
          <w:rFonts w:ascii="Garamond" w:hAnsi="Garamond" w:cs="Times New Roman"/>
          <w:color w:val="000000"/>
          <w:sz w:val="24"/>
          <w:szCs w:val="24"/>
        </w:rPr>
        <w:t>i personale ose e subjektit.</w:t>
      </w:r>
    </w:p>
    <w:p w14:paraId="1A78AB6E" w14:textId="67C8DC8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Telefoni</w:t>
      </w:r>
      <w:r w:rsidRPr="00E76B69">
        <w:rPr>
          <w:rFonts w:ascii="Garamond" w:hAnsi="Garamond" w:cs="Times New Roman"/>
          <w:color w:val="000000"/>
          <w:sz w:val="24"/>
          <w:szCs w:val="24"/>
        </w:rPr>
        <w:t xml:space="preserve">: numri i telefonit </w:t>
      </w:r>
      <w:r w:rsidR="00E82EF5">
        <w:rPr>
          <w:rFonts w:ascii="Garamond" w:hAnsi="Garamond" w:cs="Times New Roman"/>
          <w:color w:val="000000"/>
          <w:sz w:val="24"/>
          <w:szCs w:val="24"/>
        </w:rPr>
        <w:t>të</w:t>
      </w:r>
      <w:r w:rsidRPr="00E76B69">
        <w:rPr>
          <w:rFonts w:ascii="Garamond" w:hAnsi="Garamond" w:cs="Times New Roman"/>
          <w:color w:val="000000"/>
          <w:sz w:val="24"/>
          <w:szCs w:val="24"/>
        </w:rPr>
        <w:t xml:space="preserve"> personit dytësor të kontaktit, në të cilin mund të adresohet çdo kërkesë për sqarime të mëtejshme, nëse është e nevojshme. Mund të jetë një numër telefoni personal ose i subjektit.</w:t>
      </w:r>
    </w:p>
    <w:p w14:paraId="22556DFC"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i/>
          <w:iCs/>
          <w:color w:val="000000"/>
          <w:sz w:val="24"/>
          <w:szCs w:val="24"/>
        </w:rPr>
      </w:pPr>
      <w:r w:rsidRPr="00E76B69">
        <w:rPr>
          <w:rFonts w:ascii="Garamond" w:hAnsi="Garamond" w:cs="Times New Roman"/>
          <w:b/>
          <w:bCs/>
          <w:i/>
          <w:iCs/>
          <w:color w:val="000000"/>
          <w:sz w:val="24"/>
          <w:szCs w:val="24"/>
        </w:rPr>
        <w:t xml:space="preserve">A2 - Zbulimi i incidentit dhe klasifikimi </w:t>
      </w:r>
    </w:p>
    <w:p w14:paraId="426919EA"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Data dhe ora e zbulimit (identifikimit) të incidentit</w:t>
      </w:r>
      <w:r w:rsidRPr="00E82EF5">
        <w:rPr>
          <w:rFonts w:ascii="Garamond" w:hAnsi="Garamond" w:cs="Times New Roman"/>
          <w:color w:val="000000"/>
          <w:sz w:val="24"/>
          <w:szCs w:val="24"/>
        </w:rPr>
        <w:t>:</w:t>
      </w:r>
      <w:r w:rsidRPr="00E76B69">
        <w:rPr>
          <w:rFonts w:ascii="Garamond" w:hAnsi="Garamond" w:cs="Times New Roman"/>
          <w:color w:val="000000"/>
          <w:sz w:val="24"/>
          <w:szCs w:val="24"/>
        </w:rPr>
        <w:t xml:space="preserve"> data dhe ora, në të cilën incidenti u identifikua për herë të parë.</w:t>
      </w:r>
    </w:p>
    <w:p w14:paraId="5513F6C8"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Data dhe ora e klasifikimit të incidentit</w:t>
      </w:r>
      <w:r w:rsidRPr="00E76B69">
        <w:rPr>
          <w:rFonts w:ascii="Garamond" w:hAnsi="Garamond" w:cs="Times New Roman"/>
          <w:color w:val="000000"/>
          <w:sz w:val="24"/>
          <w:szCs w:val="24"/>
        </w:rPr>
        <w:t>: data dhe ora, në të cilën incidenti operacional ose i sigurisë u klasifikua si incident madhor.</w:t>
      </w:r>
    </w:p>
    <w:p w14:paraId="79EF2926"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Incidenti i zbuluar nga</w:t>
      </w:r>
      <w:r w:rsidRPr="00E76B69">
        <w:rPr>
          <w:rFonts w:ascii="Garamond" w:hAnsi="Garamond" w:cs="Times New Roman"/>
          <w:color w:val="000000"/>
          <w:sz w:val="24"/>
          <w:szCs w:val="24"/>
        </w:rPr>
        <w:t>: tregoni nëse incidenti është zbuluar nga një përdorues i shërbimeve të pagesave, nga struktura brenda OSHP-së (p.sh. nga funksioni i kontrollit të brendshëm) ose nga ndonjë palë e jashtme (p.sh. ofruesi i jashtëm i shërbimit). Nëse nuk është asnjë nga këto alternativa, jepni një shpjegim në fushën përkatëse.</w:t>
      </w:r>
    </w:p>
    <w:p w14:paraId="670A967B"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Lloji i incidentit</w:t>
      </w:r>
      <w:r w:rsidRPr="00E82EF5">
        <w:rPr>
          <w:rFonts w:ascii="Garamond" w:hAnsi="Garamond" w:cs="Times New Roman"/>
          <w:color w:val="000000"/>
          <w:sz w:val="24"/>
          <w:szCs w:val="24"/>
        </w:rPr>
        <w:t>:</w:t>
      </w:r>
      <w:r w:rsidRPr="00E76B69">
        <w:rPr>
          <w:rFonts w:ascii="Garamond" w:hAnsi="Garamond" w:cs="Times New Roman"/>
          <w:color w:val="000000"/>
          <w:sz w:val="24"/>
          <w:szCs w:val="24"/>
        </w:rPr>
        <w:t xml:space="preserve"> sipas njohurive tuaja dhe nëse informacioni është i disponueshëm, tregoni nëse është një incident operacional ose i sigurisë.</w:t>
      </w:r>
    </w:p>
    <w:p w14:paraId="1C3BDA4E"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Incident operacional</w:t>
      </w:r>
      <w:r w:rsidRPr="00E76B69">
        <w:rPr>
          <w:rFonts w:ascii="Garamond" w:hAnsi="Garamond" w:cs="Times New Roman"/>
          <w:color w:val="000000"/>
          <w:sz w:val="24"/>
          <w:szCs w:val="24"/>
        </w:rPr>
        <w:t>: incident që rrjedh nga papërshtatshmëria ose dështimi i proceseve të brendshme dhe sistemeve, gabimet njerëzore, ose nga ngjarjet e jashtme (forca madhore) që ndikojnë në integritetin, disponueshmërinë, konfidencialitetin dhe/ose autenticitetin e shërbimeve të lidhura me pagesat.</w:t>
      </w:r>
    </w:p>
    <w:p w14:paraId="3F32B236" w14:textId="16C2BFC7" w:rsidR="008921A4" w:rsidRPr="00E76B69" w:rsidRDefault="008921A4" w:rsidP="00D023FD">
      <w:pPr>
        <w:widowControl w:val="0"/>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Incident i sigurisë</w:t>
      </w:r>
      <w:r w:rsidRPr="00E76B69">
        <w:rPr>
          <w:rFonts w:ascii="Garamond" w:hAnsi="Garamond" w:cs="Times New Roman"/>
          <w:color w:val="000000"/>
          <w:sz w:val="24"/>
          <w:szCs w:val="24"/>
        </w:rPr>
        <w:t>: aksesi, përdorimi, publikimi, ndërprerja, modifikimi ose shkatërrimi i paautorizuar i aktiveve të OSHP-së që ndikon në integritetin, disponueshmërinë, konfidencialitetin dhe/ose autenticitetin e shërbimeve të lidhura me pagesat. Kjo mund të ndodhë, ndër të tjera, kur OSHP</w:t>
      </w:r>
      <w:r w:rsidR="00E82EF5">
        <w:rPr>
          <w:rFonts w:ascii="Garamond" w:hAnsi="Garamond" w:cs="Times New Roman"/>
          <w:color w:val="000000"/>
          <w:sz w:val="24"/>
          <w:szCs w:val="24"/>
        </w:rPr>
        <w:t>-ja</w:t>
      </w:r>
      <w:r w:rsidRPr="00E76B69">
        <w:rPr>
          <w:rFonts w:ascii="Garamond" w:hAnsi="Garamond" w:cs="Times New Roman"/>
          <w:color w:val="000000"/>
          <w:sz w:val="24"/>
          <w:szCs w:val="24"/>
        </w:rPr>
        <w:t xml:space="preserve"> përjeton një thyerje të sigurisë së rrjetit ose të sistemeve të informacionit.</w:t>
      </w:r>
    </w:p>
    <w:p w14:paraId="16EB8D39" w14:textId="4843EA0B"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Kriteret që shkaktojnë raportimin e incidentit madhor</w:t>
      </w:r>
      <w:r w:rsidRPr="00E76B69">
        <w:rPr>
          <w:rFonts w:ascii="Garamond" w:hAnsi="Garamond" w:cs="Times New Roman"/>
          <w:color w:val="000000"/>
          <w:sz w:val="24"/>
          <w:szCs w:val="24"/>
        </w:rPr>
        <w:t>:</w:t>
      </w:r>
      <w:r w:rsidRPr="00E76B69">
        <w:rPr>
          <w:rFonts w:ascii="Garamond" w:hAnsi="Garamond" w:cs="Times New Roman"/>
          <w:b/>
          <w:bCs/>
          <w:color w:val="000000"/>
          <w:sz w:val="24"/>
          <w:szCs w:val="24"/>
        </w:rPr>
        <w:t xml:space="preserve"> </w:t>
      </w:r>
      <w:r w:rsidRPr="00E76B69">
        <w:rPr>
          <w:rFonts w:ascii="Garamond" w:hAnsi="Garamond" w:cs="Times New Roman"/>
          <w:color w:val="000000"/>
          <w:sz w:val="24"/>
          <w:szCs w:val="24"/>
        </w:rPr>
        <w:t>tregoni se cili nga kriteret ka shkaktuar raportimin e incidentit madhor. Mund të zgjidhen disa kritere njëkohësisht: transaksionet e prekura nga incidenti; përdoruesit e shërbimeve të pagesave të prekur nga incidenti; kohëzgjatja e ndërprerjes së shërbimeve (</w:t>
      </w:r>
      <w:r w:rsidRPr="00E76B69">
        <w:rPr>
          <w:rFonts w:ascii="Garamond" w:hAnsi="Garamond" w:cs="Times New Roman"/>
          <w:i/>
          <w:iCs/>
          <w:color w:val="000000"/>
          <w:sz w:val="24"/>
          <w:szCs w:val="24"/>
        </w:rPr>
        <w:t>service downtime</w:t>
      </w:r>
      <w:r w:rsidRPr="00E76B69">
        <w:rPr>
          <w:rFonts w:ascii="Garamond" w:hAnsi="Garamond" w:cs="Times New Roman"/>
          <w:color w:val="000000"/>
          <w:sz w:val="24"/>
          <w:szCs w:val="24"/>
        </w:rPr>
        <w:t>); thyerja e sigurisë së rrjetit ose sistemeve të informacionit; ndikimi ekonomik; niveli i lartë i përshkallëzimit të brendshëm; ofruesit e tjerë të shërbimeve të pagesave ose infrastrukturat përkatëse që mund të preken nga incidenti; dhe/ose ndikimi reputacional.</w:t>
      </w:r>
    </w:p>
    <w:p w14:paraId="659581BF"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Përshkrim i shkurtër dhe i përgjithshëm i incidentit</w:t>
      </w:r>
      <w:r w:rsidRPr="00E76B69">
        <w:rPr>
          <w:rFonts w:ascii="Garamond" w:hAnsi="Garamond" w:cs="Times New Roman"/>
          <w:color w:val="000000"/>
          <w:sz w:val="24"/>
          <w:szCs w:val="24"/>
        </w:rPr>
        <w:t>: shpjegoni shkurtimisht çështjet më të rëndësishme dhe më relevante të incidentit, duke përfshirë edhe shkaqet e mundshme, ndikimet e menjëhershme, etj.</w:t>
      </w:r>
    </w:p>
    <w:p w14:paraId="339F6583" w14:textId="70767D09"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Ndikimi në vende të tjera, nëse është e aplikueshme:</w:t>
      </w:r>
      <w:r w:rsidRPr="00E76B69">
        <w:rPr>
          <w:rFonts w:ascii="Garamond" w:hAnsi="Garamond" w:cs="Times New Roman"/>
          <w:color w:val="000000"/>
          <w:sz w:val="24"/>
          <w:szCs w:val="24"/>
        </w:rPr>
        <w:t xml:space="preserve"> shpjegoni shkurtimisht efektin që incidenti ka në vende të tjera (te përdoruesit e shërbimeve të pagesave, ofrues të tjerë të shërbimeve të pagesave dhe/ose infrastruktura të pagesave).</w:t>
      </w:r>
    </w:p>
    <w:p w14:paraId="12750943" w14:textId="77777777" w:rsidR="00E82EF5"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Raportimi (shkëmbimi i informacionit) te autoritetet e tjera</w:t>
      </w:r>
      <w:r w:rsidRPr="00E76B69">
        <w:rPr>
          <w:rFonts w:ascii="Garamond" w:hAnsi="Garamond" w:cs="Times New Roman"/>
          <w:color w:val="000000"/>
          <w:sz w:val="24"/>
          <w:szCs w:val="24"/>
        </w:rPr>
        <w:t>: tregoni nëse incidenti është raportuar/do të raportohet te autoritete të tjera, sipas një kuadri të veçuar të raportimit të incidenteve, nëse kjo gjë dihet në momentin e raportimit. Nëse po, specifikoni autoritetet përkatëse.</w:t>
      </w:r>
    </w:p>
    <w:p w14:paraId="0506265D" w14:textId="239B28B2" w:rsidR="00D023FD"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Arsyet për vonesat në paraqitjen e raportit fillestar</w:t>
      </w:r>
      <w:r w:rsidRPr="00E76B69">
        <w:rPr>
          <w:rFonts w:ascii="Garamond" w:hAnsi="Garamond" w:cs="Times New Roman"/>
          <w:color w:val="000000"/>
          <w:sz w:val="24"/>
          <w:szCs w:val="24"/>
        </w:rPr>
        <w:t>: tregoni arsyet përse keni kërkuar më tepër se 24 orë për të klasifikuar incidentin.</w:t>
      </w:r>
    </w:p>
    <w:p w14:paraId="57FA741B" w14:textId="77777777" w:rsidR="00D023FD" w:rsidRPr="00E76B69" w:rsidRDefault="00D023FD"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p>
    <w:p w14:paraId="3E452419" w14:textId="77777777" w:rsidR="008921A4" w:rsidRPr="00E76B69" w:rsidRDefault="008921A4" w:rsidP="00D023FD">
      <w:pPr>
        <w:widowControl w:val="0"/>
        <w:autoSpaceDE w:val="0"/>
        <w:autoSpaceDN w:val="0"/>
        <w:adjustRightInd w:val="0"/>
        <w:spacing w:after="0" w:line="240" w:lineRule="auto"/>
        <w:ind w:firstLine="284"/>
        <w:rPr>
          <w:rFonts w:ascii="Garamond" w:hAnsi="Garamond" w:cs="Times New Roman"/>
          <w:b/>
          <w:bCs/>
          <w:color w:val="000000"/>
          <w:sz w:val="24"/>
          <w:szCs w:val="24"/>
        </w:rPr>
      </w:pPr>
      <w:r w:rsidRPr="00E76B69">
        <w:rPr>
          <w:rFonts w:ascii="Garamond" w:hAnsi="Garamond" w:cs="Times New Roman"/>
          <w:b/>
          <w:bCs/>
          <w:color w:val="000000"/>
          <w:sz w:val="24"/>
          <w:szCs w:val="24"/>
        </w:rPr>
        <w:t>Seksioni B - Raporti i ndërmjetëm</w:t>
      </w:r>
    </w:p>
    <w:p w14:paraId="7D86A952"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i/>
          <w:iCs/>
          <w:color w:val="000000"/>
          <w:sz w:val="24"/>
          <w:szCs w:val="24"/>
        </w:rPr>
      </w:pPr>
      <w:r w:rsidRPr="00E76B69">
        <w:rPr>
          <w:rFonts w:ascii="Garamond" w:hAnsi="Garamond" w:cs="Times New Roman"/>
          <w:b/>
          <w:bCs/>
          <w:i/>
          <w:iCs/>
          <w:color w:val="000000"/>
          <w:sz w:val="24"/>
          <w:szCs w:val="24"/>
        </w:rPr>
        <w:t>B1 - Detaje të përgjithshme</w:t>
      </w:r>
    </w:p>
    <w:p w14:paraId="321AB19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Përshkrimi më i hollësishëm i incidentit</w:t>
      </w:r>
      <w:r w:rsidRPr="00E82EF5">
        <w:rPr>
          <w:rFonts w:ascii="Garamond" w:hAnsi="Garamond" w:cs="Times New Roman"/>
          <w:color w:val="000000"/>
          <w:sz w:val="24"/>
          <w:szCs w:val="24"/>
        </w:rPr>
        <w:t>:</w:t>
      </w:r>
      <w:r w:rsidRPr="00E76B69">
        <w:rPr>
          <w:rFonts w:ascii="Garamond" w:hAnsi="Garamond" w:cs="Times New Roman"/>
          <w:color w:val="000000"/>
          <w:sz w:val="24"/>
          <w:szCs w:val="24"/>
        </w:rPr>
        <w:t xml:space="preserve"> përshkruani karakteristikat kryesore të incidentit, duke përfshirë të paktën informacionin mbi çështjet specifike dhe sfondin përkatës, përshkrimin si filloi dhe si u zhvillua incidenti, si dhe pasojat e tij, në veçanti për përdoruesit e shërbimeve të pagesave, etj. Gjithashtu paraqitni informacion mbi komunikimin me përdoruesit e shërbimeve të pagesave, nëse është e aplikueshme.</w:t>
      </w:r>
    </w:p>
    <w:p w14:paraId="451CB392"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A është i lidhur incidenti me incidente të mëparshme</w:t>
      </w:r>
      <w:r w:rsidRPr="00E76B69">
        <w:rPr>
          <w:rFonts w:ascii="Garamond" w:hAnsi="Garamond" w:cs="Times New Roman"/>
          <w:color w:val="000000"/>
          <w:sz w:val="24"/>
          <w:szCs w:val="24"/>
        </w:rPr>
        <w:t>? Tregoni nëse incidenti është i lidhur me incidente të mëparshme, nëse ky informacion është në dispozicion të subjektit. Nëse incidenti është i lidhur me incidente të mëparshme, specifikoni këto incidente.</w:t>
      </w:r>
    </w:p>
    <w:p w14:paraId="7921B237" w14:textId="6F7038CF"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A janë prekur ose përfshirë ofrues të tjerë të shërbimeve të pagesave</w:t>
      </w:r>
      <w:r w:rsidR="00E82EF5">
        <w:rPr>
          <w:rFonts w:ascii="Garamond" w:hAnsi="Garamond" w:cs="Times New Roman"/>
          <w:b/>
          <w:bCs/>
          <w:color w:val="000000"/>
          <w:sz w:val="24"/>
          <w:szCs w:val="24"/>
        </w:rPr>
        <w:t>,</w:t>
      </w:r>
      <w:r w:rsidRPr="00E82EF5">
        <w:rPr>
          <w:rFonts w:ascii="Garamond" w:hAnsi="Garamond" w:cs="Times New Roman"/>
          <w:b/>
          <w:bCs/>
          <w:color w:val="000000"/>
          <w:sz w:val="24"/>
          <w:szCs w:val="24"/>
        </w:rPr>
        <w:t xml:space="preserve"> ose palë të treta në incident</w:t>
      </w:r>
      <w:r w:rsidRPr="00E76B69">
        <w:rPr>
          <w:rFonts w:ascii="Garamond" w:hAnsi="Garamond" w:cs="Times New Roman"/>
          <w:color w:val="000000"/>
          <w:sz w:val="24"/>
          <w:szCs w:val="24"/>
        </w:rPr>
        <w:t>? Tregoni nëse incidenti ka prekur ose ka përfshirë ofrues të tjerë të shërbimeve të pagesave ose palë të treta, nëse ky informacion është në dispozicion të subjektit. Nëse incidenti ka prekur ose ka përfshirë ofrues të tjerë të shërbimeve të pagesave</w:t>
      </w:r>
      <w:r w:rsidR="00E82EF5">
        <w:rPr>
          <w:rFonts w:ascii="Garamond" w:hAnsi="Garamond" w:cs="Times New Roman"/>
          <w:color w:val="000000"/>
          <w:sz w:val="24"/>
          <w:szCs w:val="24"/>
        </w:rPr>
        <w:t>,</w:t>
      </w:r>
      <w:r w:rsidRPr="00E76B69">
        <w:rPr>
          <w:rFonts w:ascii="Garamond" w:hAnsi="Garamond" w:cs="Times New Roman"/>
          <w:color w:val="000000"/>
          <w:sz w:val="24"/>
          <w:szCs w:val="24"/>
        </w:rPr>
        <w:t xml:space="preserve"> ose palë të treta, paraqitni një listë të tyre dhe një informacion më të detajuar për ta.</w:t>
      </w:r>
    </w:p>
    <w:p w14:paraId="1CBEE171"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A ka filluar procesi i menaxhimit të krizave (i brendshëm dhe/ose i jashtëm)</w:t>
      </w:r>
      <w:r w:rsidRPr="00E82EF5">
        <w:rPr>
          <w:rFonts w:ascii="Garamond" w:hAnsi="Garamond" w:cs="Times New Roman"/>
          <w:color w:val="000000"/>
          <w:sz w:val="24"/>
          <w:szCs w:val="24"/>
        </w:rPr>
        <w:t>?</w:t>
      </w:r>
      <w:r w:rsidRPr="00E76B69">
        <w:rPr>
          <w:rFonts w:ascii="Garamond" w:hAnsi="Garamond" w:cs="Times New Roman"/>
          <w:color w:val="000000"/>
          <w:sz w:val="24"/>
          <w:szCs w:val="24"/>
        </w:rPr>
        <w:t xml:space="preserve"> Tregoni nëse ka filluar procesi i menaxhimit të krizave (i brendshëm dhe/ose i jashtëm). Nëse procesi i menaxhimit të krizave ka filluar, paraqitni një informacion më të detajuar.</w:t>
      </w:r>
    </w:p>
    <w:p w14:paraId="61DB7075"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Data dhe ora e fillimit të incidentit</w:t>
      </w:r>
      <w:r w:rsidRPr="00E76B69">
        <w:rPr>
          <w:rFonts w:ascii="Garamond" w:hAnsi="Garamond" w:cs="Times New Roman"/>
          <w:color w:val="000000"/>
          <w:sz w:val="24"/>
          <w:szCs w:val="24"/>
        </w:rPr>
        <w:t>: data dhe ora, në të cilën ka filluar incidenti, nëse dihet.</w:t>
      </w:r>
    </w:p>
    <w:p w14:paraId="3A76327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Data dhe ora kur incidenti u zgjidh/pritet të zgjidhet</w:t>
      </w:r>
      <w:r w:rsidRPr="00E76B69">
        <w:rPr>
          <w:rFonts w:ascii="Garamond" w:hAnsi="Garamond" w:cs="Times New Roman"/>
          <w:color w:val="000000"/>
          <w:sz w:val="24"/>
          <w:szCs w:val="24"/>
        </w:rPr>
        <w:t>: data dhe ora, kur incidenti është vendosur/pritet të vendoset nën kontroll dhe kur biznesi është kthyer/pritet të kthehet në normalitet.</w:t>
      </w:r>
    </w:p>
    <w:p w14:paraId="637BB428"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Fushat funksionale të prekura</w:t>
      </w:r>
      <w:r w:rsidRPr="00E76B69">
        <w:rPr>
          <w:rFonts w:ascii="Garamond" w:hAnsi="Garamond" w:cs="Times New Roman"/>
          <w:color w:val="000000"/>
          <w:sz w:val="24"/>
          <w:szCs w:val="24"/>
        </w:rPr>
        <w:t>:</w:t>
      </w:r>
      <w:r w:rsidRPr="00E76B69">
        <w:rPr>
          <w:rFonts w:ascii="Garamond" w:hAnsi="Garamond" w:cs="Times New Roman"/>
          <w:b/>
          <w:bCs/>
          <w:color w:val="000000"/>
          <w:sz w:val="24"/>
          <w:szCs w:val="24"/>
        </w:rPr>
        <w:t xml:space="preserve"> </w:t>
      </w:r>
      <w:r w:rsidRPr="00E76B69">
        <w:rPr>
          <w:rFonts w:ascii="Garamond" w:hAnsi="Garamond" w:cs="Times New Roman"/>
          <w:color w:val="000000"/>
          <w:sz w:val="24"/>
          <w:szCs w:val="24"/>
        </w:rPr>
        <w:t>tregoni hapat e procesit të pagesës që janë prekur nga incidenti, të tilla si autentifikimi/autorizimi, komunikimi, klerimi, shlyerja direkte, shlyerja indirekte, etj.</w:t>
      </w:r>
    </w:p>
    <w:p w14:paraId="1BBB5F11"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Autentifikimi/autorizimi</w:t>
      </w:r>
      <w:r w:rsidRPr="00E76B69">
        <w:rPr>
          <w:rFonts w:ascii="Garamond" w:hAnsi="Garamond" w:cs="Times New Roman"/>
          <w:color w:val="000000"/>
          <w:sz w:val="24"/>
          <w:szCs w:val="24"/>
        </w:rPr>
        <w:t>:</w:t>
      </w:r>
      <w:r w:rsidRPr="00E76B69">
        <w:rPr>
          <w:rFonts w:ascii="Garamond" w:hAnsi="Garamond" w:cs="Times New Roman"/>
          <w:b/>
          <w:bCs/>
          <w:color w:val="000000"/>
          <w:sz w:val="24"/>
          <w:szCs w:val="24"/>
        </w:rPr>
        <w:t xml:space="preserve"> </w:t>
      </w:r>
      <w:r w:rsidRPr="00E76B69">
        <w:rPr>
          <w:rFonts w:ascii="Garamond" w:hAnsi="Garamond" w:cs="Times New Roman"/>
          <w:color w:val="000000"/>
          <w:sz w:val="24"/>
          <w:szCs w:val="24"/>
        </w:rPr>
        <w:t>procedura që lejojnë OSHP-në të verifikojë identitetin e një përdoruesi të shërbimeve të pagesave ose vlefshmërinë e përdorimit të një instrumenti specifik pagese, duke përfshirë përdorimin e kredencialeve të personalizuara të sigurisë së përdoruesit, si dhe përdoruesin e shërbimeve të pagesave (ose një palë të tretë që vepron në emër të atij përdoruesi) që ka dhënë pëlqimin për transferimin e fondeve.</w:t>
      </w:r>
    </w:p>
    <w:p w14:paraId="7E3ABE4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Komunikimi:</w:t>
      </w:r>
      <w:r w:rsidRPr="00E76B69">
        <w:rPr>
          <w:rFonts w:ascii="Garamond" w:hAnsi="Garamond" w:cs="Times New Roman"/>
          <w:color w:val="000000"/>
          <w:sz w:val="24"/>
          <w:szCs w:val="24"/>
        </w:rPr>
        <w:t xml:space="preserve"> rrjedha e informacionit për qëllime të identifikimit, autentifikimit, njoftimit dhe informimit ndërmjet ofruesve të shërbimit të pagesës për shërbimin e llogarisë dhe ofruesve të shërbimit të inicimit të pagesës, ofruesve të shërbimit të informimit të llogarisë, paguesve, përfituesve dhe OSHP-ve të tjerë.</w:t>
      </w:r>
    </w:p>
    <w:p w14:paraId="2EA399D8"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Klerimi:</w:t>
      </w:r>
      <w:r w:rsidRPr="00E76B69">
        <w:rPr>
          <w:rFonts w:ascii="Garamond" w:hAnsi="Garamond" w:cs="Times New Roman"/>
          <w:color w:val="000000"/>
          <w:sz w:val="24"/>
          <w:szCs w:val="24"/>
        </w:rPr>
        <w:t xml:space="preserve"> procesi i transmetimit, rakordimit dhe, në disa raste, i konfirmimit të urdhrave të transferimit përpara shlyerjes, duke përfshirë potencialisht netimin e urdhrave dhe caktimin e pozicioneve përfundimtare për shlyerje.</w:t>
      </w:r>
    </w:p>
    <w:p w14:paraId="5551AF56"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Shlyerja direkte</w:t>
      </w:r>
      <w:r w:rsidRPr="00E76B69">
        <w:rPr>
          <w:rFonts w:ascii="Garamond" w:hAnsi="Garamond" w:cs="Times New Roman"/>
          <w:color w:val="000000"/>
          <w:sz w:val="24"/>
          <w:szCs w:val="24"/>
        </w:rPr>
        <w:t>:</w:t>
      </w:r>
      <w:r w:rsidRPr="00E76B69">
        <w:rPr>
          <w:rFonts w:ascii="Garamond" w:hAnsi="Garamond" w:cs="Times New Roman"/>
          <w:b/>
          <w:bCs/>
          <w:color w:val="000000"/>
          <w:sz w:val="24"/>
          <w:szCs w:val="24"/>
        </w:rPr>
        <w:t xml:space="preserve"> </w:t>
      </w:r>
      <w:r w:rsidRPr="00E76B69">
        <w:rPr>
          <w:rFonts w:ascii="Garamond" w:hAnsi="Garamond" w:cs="Times New Roman"/>
          <w:color w:val="000000"/>
          <w:sz w:val="24"/>
          <w:szCs w:val="24"/>
        </w:rPr>
        <w:t>përfundimi i një transaksioni ose i procesimit, me qëllim përmbushjen e detyrimeve të pjesëmarrësve nëpërmjet transferimit të fondeve, kur ky veprim kryhet nga vetë OSHP-ja e prekur nga incidenti.</w:t>
      </w:r>
    </w:p>
    <w:p w14:paraId="39C0551A"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color w:val="000000"/>
          <w:sz w:val="24"/>
          <w:szCs w:val="24"/>
        </w:rPr>
      </w:pPr>
      <w:r w:rsidRPr="00E76B69">
        <w:rPr>
          <w:rFonts w:ascii="Garamond" w:hAnsi="Garamond" w:cs="Times New Roman"/>
          <w:b/>
          <w:bCs/>
          <w:color w:val="000000"/>
          <w:sz w:val="24"/>
          <w:szCs w:val="24"/>
        </w:rPr>
        <w:t>Shlyerja indirekte</w:t>
      </w:r>
      <w:r w:rsidRPr="00E76B69">
        <w:rPr>
          <w:rFonts w:ascii="Garamond" w:hAnsi="Garamond" w:cs="Times New Roman"/>
          <w:color w:val="000000"/>
          <w:sz w:val="24"/>
          <w:szCs w:val="24"/>
        </w:rPr>
        <w:t>:</w:t>
      </w:r>
      <w:r w:rsidRPr="00E76B69">
        <w:rPr>
          <w:rFonts w:ascii="Garamond" w:hAnsi="Garamond" w:cs="Times New Roman"/>
          <w:b/>
          <w:bCs/>
          <w:color w:val="000000"/>
          <w:sz w:val="24"/>
          <w:szCs w:val="24"/>
        </w:rPr>
        <w:t xml:space="preserve"> </w:t>
      </w:r>
      <w:r w:rsidRPr="00E76B69">
        <w:rPr>
          <w:rFonts w:ascii="Garamond" w:hAnsi="Garamond" w:cs="Times New Roman"/>
          <w:color w:val="000000"/>
          <w:sz w:val="24"/>
          <w:szCs w:val="24"/>
        </w:rPr>
        <w:t>përfundimi i një transaksioni ose i procesimit, me qëllim përmbushjen e detyrimeve të pjesëmarrësve nëpërmjet transferimit të fondeve, kur ky veprim kryhet nga një OSHP tjetër, që vepron në emër të OSHP-së së prekur nga incidenti.</w:t>
      </w:r>
    </w:p>
    <w:p w14:paraId="228D9EA3"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Të tjera</w:t>
      </w:r>
      <w:r w:rsidRPr="00E76B69">
        <w:rPr>
          <w:rFonts w:ascii="Garamond" w:hAnsi="Garamond" w:cs="Times New Roman"/>
          <w:color w:val="000000"/>
          <w:sz w:val="24"/>
          <w:szCs w:val="24"/>
        </w:rPr>
        <w:t>:</w:t>
      </w:r>
      <w:r w:rsidRPr="00E76B69">
        <w:rPr>
          <w:rFonts w:ascii="Garamond" w:hAnsi="Garamond" w:cs="Times New Roman"/>
          <w:b/>
          <w:bCs/>
          <w:color w:val="000000"/>
          <w:sz w:val="24"/>
          <w:szCs w:val="24"/>
        </w:rPr>
        <w:t xml:space="preserve"> </w:t>
      </w:r>
      <w:r w:rsidRPr="00E76B69">
        <w:rPr>
          <w:rFonts w:ascii="Garamond" w:hAnsi="Garamond" w:cs="Times New Roman"/>
          <w:color w:val="000000"/>
          <w:sz w:val="24"/>
          <w:szCs w:val="24"/>
        </w:rPr>
        <w:t>fusha funksionale e prekur nuk është asnjë nga sa janë listuar më sipër. Detaje të mëtejshme duhet të paraqiten në fushën ku teksti është i lirë.</w:t>
      </w:r>
    </w:p>
    <w:p w14:paraId="2E0BA50A" w14:textId="7BFEDDF9"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Ndryshimet e bëra në raportet e mëparshme</w:t>
      </w:r>
      <w:r w:rsidRPr="00E76B69">
        <w:rPr>
          <w:rFonts w:ascii="Garamond" w:hAnsi="Garamond" w:cs="Times New Roman"/>
          <w:color w:val="000000"/>
          <w:sz w:val="24"/>
          <w:szCs w:val="24"/>
        </w:rPr>
        <w:t>: tregoni ndryshimet e bëra në informacionin e paraqitur në raporte të mëparshme, për të njëjtin incident (në raportin fillestar ose nëse është e aplikueshme, në raportin e ndërmjetëm).</w:t>
      </w:r>
      <w:r w:rsidR="00BD41B0">
        <w:rPr>
          <w:rFonts w:ascii="Garamond" w:hAnsi="Garamond" w:cs="Times New Roman"/>
          <w:color w:val="000000"/>
          <w:sz w:val="24"/>
          <w:szCs w:val="24"/>
        </w:rPr>
        <w:t xml:space="preserve"> </w:t>
      </w:r>
    </w:p>
    <w:p w14:paraId="0FC73199" w14:textId="36CD0CA2"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i/>
          <w:iCs/>
          <w:color w:val="000000"/>
          <w:sz w:val="24"/>
          <w:szCs w:val="24"/>
        </w:rPr>
      </w:pPr>
      <w:r w:rsidRPr="00E76B69">
        <w:rPr>
          <w:rFonts w:ascii="Garamond" w:hAnsi="Garamond" w:cs="Times New Roman"/>
          <w:b/>
          <w:bCs/>
          <w:i/>
          <w:iCs/>
          <w:color w:val="000000"/>
          <w:sz w:val="24"/>
          <w:szCs w:val="24"/>
        </w:rPr>
        <w:t>B2 - Klasifikimi i incidentit/</w:t>
      </w:r>
      <w:r w:rsidR="00E82EF5">
        <w:rPr>
          <w:rFonts w:ascii="Garamond" w:hAnsi="Garamond" w:cs="Times New Roman"/>
          <w:b/>
          <w:bCs/>
          <w:i/>
          <w:iCs/>
          <w:color w:val="000000"/>
          <w:sz w:val="24"/>
          <w:szCs w:val="24"/>
        </w:rPr>
        <w:t>i</w:t>
      </w:r>
      <w:r w:rsidRPr="00E76B69">
        <w:rPr>
          <w:rFonts w:ascii="Garamond" w:hAnsi="Garamond" w:cs="Times New Roman"/>
          <w:b/>
          <w:bCs/>
          <w:i/>
          <w:iCs/>
          <w:color w:val="000000"/>
          <w:sz w:val="24"/>
          <w:szCs w:val="24"/>
        </w:rPr>
        <w:t>nformacion mbi incidentin</w:t>
      </w:r>
    </w:p>
    <w:p w14:paraId="67C68090" w14:textId="56F96713"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Transaksionet e prekura nga incidenti</w:t>
      </w:r>
      <w:r w:rsidRPr="00E76B69">
        <w:rPr>
          <w:rFonts w:ascii="Garamond" w:hAnsi="Garamond" w:cs="Times New Roman"/>
          <w:color w:val="000000"/>
          <w:sz w:val="24"/>
          <w:szCs w:val="24"/>
        </w:rPr>
        <w:t>: OSHP-të tregojnë se cilët kufij janë arritur ose ka të ngjarë të arrihen nga incidenti, nëse ka, dhe shifrat përkatëse: numri i transaksioneve të prekura nga incidenti, përqindja e transaksioneve të prekura, në raport me numrin e transaksioneve të pagesave të kryera nëpërmjet të njëjtave shërbime pagesash që janë prekur nga incidenti, si dhe vlera totale e transaksioneve. OSHP-të duhet të paraqesin vlera konkrete për këto variabla, të cilat mund të jenë shifra reale ose vlerësime të vetë subjektit. Ofruesit e shërbimeve të pagesave, si rregull i përgjithshëm, me termin “transaksione të prekura nga incidenti” duhet të kuptojnë të gjitha transaksionet brenda vendit dhe ndërkufitare që janë ndikuar ose ka të ngjarë të ndikohen</w:t>
      </w:r>
      <w:r w:rsidR="00E82EF5">
        <w:rPr>
          <w:rFonts w:ascii="Garamond" w:hAnsi="Garamond" w:cs="Times New Roman"/>
          <w:color w:val="000000"/>
          <w:sz w:val="24"/>
          <w:szCs w:val="24"/>
        </w:rPr>
        <w:t>,</w:t>
      </w:r>
      <w:r w:rsidRPr="00E76B69">
        <w:rPr>
          <w:rFonts w:ascii="Garamond" w:hAnsi="Garamond" w:cs="Times New Roman"/>
          <w:color w:val="000000"/>
          <w:sz w:val="24"/>
          <w:szCs w:val="24"/>
        </w:rPr>
        <w:t xml:space="preserve"> në mënyrë të drejtpërdrejtë ose të tërthortë</w:t>
      </w:r>
      <w:r w:rsidR="00E82EF5">
        <w:rPr>
          <w:rFonts w:ascii="Garamond" w:hAnsi="Garamond" w:cs="Times New Roman"/>
          <w:color w:val="000000"/>
          <w:sz w:val="24"/>
          <w:szCs w:val="24"/>
        </w:rPr>
        <w:t>,</w:t>
      </w:r>
      <w:r w:rsidRPr="00E76B69">
        <w:rPr>
          <w:rFonts w:ascii="Garamond" w:hAnsi="Garamond" w:cs="Times New Roman"/>
          <w:color w:val="000000"/>
          <w:sz w:val="24"/>
          <w:szCs w:val="24"/>
        </w:rPr>
        <w:t xml:space="preserve"> nga incidenti dhe në veçanti, ato transaksione që nuk mund të iniciohen ose të procesohen, ato transaksione për të cilat është ndryshuar përmbajtja e mesazhit të pagesës dhe ato transaksione që janë urdhëruar me qëllim mashtrimi (pavarësisht nëse fondet janë rikuperuar ose jo). Gjithashtu, ofruesit e shërbimeve të pagesave përdorin si nivel të rregullt (të zakonshëm) të transaksioneve të pagesave, mesataren ditore të transaksioneve vjetore të pagesave brenda vendit dhe ndërkufitare, të kryera nëpërmjet të njëjtave shërbime pagesash që janë prekur nga incidenti, duke marrë vitin e mëparshëm si periudhë referimi për llogaritjet. Në rast se ofruesit e shërbimeve të pagesave nuk e konsiderojnë këtë vlerë si përfaqësuese (p.sh. për shkak të sezonalitetit), ata përdorin një metrikë tjetër, më përfaqësuese, dhe njoftojnë Bankën e Shqipërisë për arsyet e ndjekjes së kësaj qasjeje, nëpërmjet plotësimit të fushës “Komente”.</w:t>
      </w:r>
    </w:p>
    <w:p w14:paraId="453F072D" w14:textId="0B6D2DF0"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 xml:space="preserve">Në rastet kur transaksionet e pagesave në monedha të ndryshme nga monedha vendase </w:t>
      </w:r>
      <w:r w:rsidR="00E82EF5">
        <w:rPr>
          <w:rFonts w:ascii="Garamond" w:hAnsi="Garamond" w:cs="Times New Roman"/>
          <w:color w:val="000000"/>
          <w:sz w:val="24"/>
          <w:szCs w:val="24"/>
        </w:rPr>
        <w:t>l</w:t>
      </w:r>
      <w:r w:rsidRPr="00E76B69">
        <w:rPr>
          <w:rFonts w:ascii="Garamond" w:hAnsi="Garamond" w:cs="Times New Roman"/>
          <w:color w:val="000000"/>
          <w:sz w:val="24"/>
          <w:szCs w:val="24"/>
        </w:rPr>
        <w:t>ek preken nga incidenti, OSHP-të kur llogaritin kufijtë dhe raportojnë vlerat e transaksioneve të prekura nga incidenti, duhet të konvertojnë në lekë shumën e transaksioneve në një monedhë tjetër, duke përdorur kursin zyrtar referencë të këmbimit të publikuar nga Banka e Shqipërisë, të ditës para ditës së paraqitjes së raportit të incidentit.</w:t>
      </w:r>
    </w:p>
    <w:p w14:paraId="1E0334A6"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Përdoruesit e shërbimeve të pagesave të prekur nga incidenti</w:t>
      </w:r>
      <w:r w:rsidRPr="00E76B69">
        <w:rPr>
          <w:rFonts w:ascii="Garamond" w:hAnsi="Garamond" w:cs="Times New Roman"/>
          <w:color w:val="000000"/>
          <w:sz w:val="24"/>
          <w:szCs w:val="24"/>
        </w:rPr>
        <w:t xml:space="preserve">: OSHP-të tregojnë se cilët kufij janë arritur ose ka të ngjarë të arrihen nga incidenti, nëse ka, si dhe të paraqesin shifrat përkatëse: numri total i përdoruesve të shërbimeve të pagesave që janë prekur nga incidenti dhe përqindja e përdoruesve të shërbimeve të pagesave të prekur nga incidenti, në raport me numrin total të përdoruesve të shërbimeve të pagesave. </w:t>
      </w:r>
    </w:p>
    <w:p w14:paraId="7C077BF9" w14:textId="7687F520"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OSHP-të sigurojnë vlera konkrete për këto variabla, të cilat mund të jenë shifra reale ose vlerësime të vetë subjektit. Ofruesit e shërbimeve të pagesave konsiderojnë si “numër total të përdoruesve të shërbimeve të pagesave të prekur nga incidenti”, të gjithë klientët (brenda ose jashtë vendit, konsumatorë apo shoqëri tregtare) që kanë një kontratë me OSHP-në e prekur nga incidenti, që iu jep atyre akses në shërbimin e pagesave të prekur nga incidenti, dhe që janë ndikuar ose mund të ndikohen nga pasojat e incidentit.</w:t>
      </w:r>
    </w:p>
    <w:p w14:paraId="462BFE16"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OSHP-të përdorin vlerësime të bazuara në aktivitetin e tyre të mëparshëm, për të përcaktuar numrin e përdoruesve të shërbimeve të pagesave që mund të kenë qenë duke përdorur shërbimin e pagesave gjatë kohëzgjatjes së incidentit. Në rastin e grupeve, çdo OSHP duhet të marrë parasysh vetëm përdoruesit e tij të shërbimeve të pagesave. Në rastin e një OSHP-je që iu ofron shërbime operacionale të tjerëve, duhet të marrë parasysh vetëm përdoruesit e tij të shërbimeve të pagesave (nëse ka), dhe OSHP-të që marrin ato shërbime operacionale duhet gjithashtu të vlerësojnë incidentin në lidhje me përdoruesit e tyre të shërbimeve të pagesave. Për më tepër, OSHP-të duhet të konsiderojnë si numrin e përgjithshëm të përdoruesve të shërbimeve të pagesave, shumën e agreguar të përdoruesve të shërbimeve të pagesave vendas dhe të huaj, të lidhur në mënyrë kontraktuale me ta në kohën e incidentit (ose, në rast të kundërt, shifrën më të fundit në dispozicion) dhe me akses në shërbimin e pagesave të prekur nga incidenti, pavarësisht nga madhësia e tyre ose nëse ata konsiderohen përdorues aktivë ose pasivë të shërbimit të pagesës.</w:t>
      </w:r>
    </w:p>
    <w:p w14:paraId="20BF6AEF"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Thyerja e sigurisë së rrjetit ose sistemeve të informacionit</w:t>
      </w:r>
      <w:r w:rsidRPr="00E76B69">
        <w:rPr>
          <w:rFonts w:ascii="Garamond" w:hAnsi="Garamond" w:cs="Times New Roman"/>
          <w:color w:val="000000"/>
          <w:sz w:val="24"/>
          <w:szCs w:val="24"/>
        </w:rPr>
        <w:t>:</w:t>
      </w:r>
      <w:r w:rsidRPr="00E76B69">
        <w:rPr>
          <w:rFonts w:ascii="Garamond" w:hAnsi="Garamond" w:cs="Times New Roman"/>
          <w:b/>
          <w:bCs/>
          <w:color w:val="000000"/>
          <w:sz w:val="24"/>
          <w:szCs w:val="24"/>
        </w:rPr>
        <w:t xml:space="preserve"> </w:t>
      </w:r>
      <w:r w:rsidRPr="00E76B69">
        <w:rPr>
          <w:rFonts w:ascii="Garamond" w:hAnsi="Garamond" w:cs="Times New Roman"/>
          <w:color w:val="000000"/>
          <w:sz w:val="24"/>
          <w:szCs w:val="24"/>
        </w:rPr>
        <w:t>Ofruesit e shërbimeve të pagesave përcaktojnë nëse ndonjë veprim keqdashës ka rrezikuar disponueshmërinë, autenticitetin, integritetin ose konfidencialitetin e rrjetit ose sistemeve të informacionit (përfshirë edhe të dhënat) në lidhje me ofrimin e shërbimeve të pagesave.</w:t>
      </w:r>
    </w:p>
    <w:p w14:paraId="6A761D9A" w14:textId="66FB5695"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Kohëzgjatja e ndërprerjes së shërbimeve (</w:t>
      </w:r>
      <w:r w:rsidRPr="00E82EF5">
        <w:rPr>
          <w:rFonts w:ascii="Garamond" w:hAnsi="Garamond" w:cs="Times New Roman"/>
          <w:b/>
          <w:bCs/>
          <w:i/>
          <w:iCs/>
          <w:color w:val="000000"/>
          <w:sz w:val="24"/>
          <w:szCs w:val="24"/>
        </w:rPr>
        <w:t>service downtime</w:t>
      </w:r>
      <w:r w:rsidRPr="00E82EF5">
        <w:rPr>
          <w:rFonts w:ascii="Garamond" w:hAnsi="Garamond" w:cs="Times New Roman"/>
          <w:b/>
          <w:bCs/>
          <w:color w:val="000000"/>
          <w:sz w:val="24"/>
          <w:szCs w:val="24"/>
        </w:rPr>
        <w:t>)</w:t>
      </w:r>
      <w:r w:rsidRPr="00E82EF5">
        <w:rPr>
          <w:rFonts w:ascii="Garamond" w:hAnsi="Garamond" w:cs="Times New Roman"/>
          <w:color w:val="000000"/>
          <w:sz w:val="24"/>
          <w:szCs w:val="24"/>
        </w:rPr>
        <w:t>:</w:t>
      </w:r>
      <w:r w:rsidRPr="00E76B69">
        <w:rPr>
          <w:rFonts w:ascii="Garamond" w:hAnsi="Garamond" w:cs="Times New Roman"/>
          <w:color w:val="000000"/>
          <w:sz w:val="24"/>
          <w:szCs w:val="24"/>
        </w:rPr>
        <w:t xml:space="preserve"> OSHP-të duhet të tregojnë nëse kufiri është arritur ose ka të ngjarë të arrihet nga incidenti, si dhe të paraqesin shifrat përkatëse: kohën totale të ndërprerjes së shërbimeve. OSHP-të sigurojnë vlera konkrete për këtë variabël, të cilat mund të jenë shifra reale ose vlerësime të vetë subjektit. Ofruesit e shërbimeve të pagesave konsiderojnë periudhën kohore kur çdo detyrë, proces ose kanal</w:t>
      </w:r>
      <w:r w:rsidR="00E82EF5">
        <w:rPr>
          <w:rFonts w:ascii="Garamond" w:hAnsi="Garamond" w:cs="Times New Roman"/>
          <w:color w:val="000000"/>
          <w:sz w:val="24"/>
          <w:szCs w:val="24"/>
        </w:rPr>
        <w:t>,</w:t>
      </w:r>
      <w:r w:rsidRPr="00E76B69">
        <w:rPr>
          <w:rFonts w:ascii="Garamond" w:hAnsi="Garamond" w:cs="Times New Roman"/>
          <w:color w:val="000000"/>
          <w:sz w:val="24"/>
          <w:szCs w:val="24"/>
        </w:rPr>
        <w:t xml:space="preserve"> në lidhje me ofrimin e shërbimeve të pagesave</w:t>
      </w:r>
      <w:r w:rsidR="00E82EF5">
        <w:rPr>
          <w:rFonts w:ascii="Garamond" w:hAnsi="Garamond" w:cs="Times New Roman"/>
          <w:color w:val="000000"/>
          <w:sz w:val="24"/>
          <w:szCs w:val="24"/>
        </w:rPr>
        <w:t>,</w:t>
      </w:r>
      <w:r w:rsidRPr="00E76B69">
        <w:rPr>
          <w:rFonts w:ascii="Garamond" w:hAnsi="Garamond" w:cs="Times New Roman"/>
          <w:color w:val="000000"/>
          <w:sz w:val="24"/>
          <w:szCs w:val="24"/>
        </w:rPr>
        <w:t xml:space="preserve"> është ndërprerë ose ka të ngjarë të ndërpritet, duke penguar në këtë mënyrë inicimin dhe/ose ekzekutimin e një shërbimi pagese dhe/ose aksesin në një llogari pagese. Ofruesit e shërbimeve të pagesave llogarisin kohën e ndërprerjes së shërbimit që nga momenti i fillimit të ndërprerjes së shërbimit dhe marrin në konsideratë si intervalet kohore gjatë orarit zyrtar të punës siç kërkohet për kryerjen/ekzekutimin e shërbimeve të pagesave, ashtu edhe orët jashtë orarit zyrtar të punës dhe periudhat e mirëmbajtjes, kur është e përshtatshme dhe e zbatueshme. Nëse ofruesit e shërbimeve të pagesave nuk janë në gjendje të përcaktojnë momentin e fillimit të ndërprerjes së shërbimit, në mënyrë përjashtimore ata llogarisin ndërprerjen e shërbimit që nga momenti kur zbulohet ndërprerja e shërbimit. </w:t>
      </w:r>
    </w:p>
    <w:p w14:paraId="505A816C" w14:textId="53357CE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Ndikimi ekonomik</w:t>
      </w:r>
      <w:r w:rsidRPr="00E76B69">
        <w:rPr>
          <w:rFonts w:ascii="Garamond" w:hAnsi="Garamond" w:cs="Times New Roman"/>
          <w:color w:val="000000"/>
          <w:sz w:val="24"/>
          <w:szCs w:val="24"/>
        </w:rPr>
        <w:t>: OSHP-të duhet të tregojnë nëse kufiri është arritur ose ka të ngjarë të arrihet nga incidenti, si dhe të paraqesin shifrat përkatëse: kostot direkte dhe kostot indirekte të lidhura me incidentin. OSHP-të sigurojnë vlera konkrete për këto variabla, të cilat mund të jenë shifra reale ose vlerësime të vetë subjektit. OSHP-të duhet të marrin parasysh si kostot që mund të lidhen drejtpërdrejt me incidentin, ashtu edhe kostot që lidhen në mënyrë të tërthortë me të. Ofruesit e shërbimeve të pagesave marrin në konsideratë fondet ose pasuritë e përvetësuara (</w:t>
      </w:r>
      <w:r w:rsidRPr="00E76B69">
        <w:rPr>
          <w:rFonts w:ascii="Garamond" w:hAnsi="Garamond" w:cs="Times New Roman"/>
          <w:i/>
          <w:iCs/>
          <w:color w:val="000000"/>
          <w:sz w:val="24"/>
          <w:szCs w:val="24"/>
        </w:rPr>
        <w:t>expropriated</w:t>
      </w:r>
      <w:r w:rsidRPr="00E76B69">
        <w:rPr>
          <w:rFonts w:ascii="Garamond" w:hAnsi="Garamond" w:cs="Times New Roman"/>
          <w:color w:val="000000"/>
          <w:sz w:val="24"/>
          <w:szCs w:val="24"/>
        </w:rPr>
        <w:t>), kostot e zëvendësimit të pajisjeve kompjuterike (</w:t>
      </w:r>
      <w:r w:rsidRPr="00E76B69">
        <w:rPr>
          <w:rFonts w:ascii="Garamond" w:hAnsi="Garamond" w:cs="Times New Roman"/>
          <w:i/>
          <w:iCs/>
          <w:color w:val="000000"/>
          <w:sz w:val="24"/>
          <w:szCs w:val="24"/>
        </w:rPr>
        <w:t>hardware</w:t>
      </w:r>
      <w:r w:rsidRPr="00E76B69">
        <w:rPr>
          <w:rFonts w:ascii="Garamond" w:hAnsi="Garamond" w:cs="Times New Roman"/>
          <w:color w:val="000000"/>
          <w:sz w:val="24"/>
          <w:szCs w:val="24"/>
        </w:rPr>
        <w:t>) ose programeve kompjuterike (</w:t>
      </w:r>
      <w:r w:rsidRPr="00E76B69">
        <w:rPr>
          <w:rFonts w:ascii="Garamond" w:hAnsi="Garamond" w:cs="Times New Roman"/>
          <w:i/>
          <w:iCs/>
          <w:color w:val="000000"/>
          <w:sz w:val="24"/>
          <w:szCs w:val="24"/>
        </w:rPr>
        <w:t>software</w:t>
      </w:r>
      <w:r w:rsidRPr="00E76B69">
        <w:rPr>
          <w:rFonts w:ascii="Garamond" w:hAnsi="Garamond" w:cs="Times New Roman"/>
          <w:color w:val="000000"/>
          <w:sz w:val="24"/>
          <w:szCs w:val="24"/>
        </w:rPr>
        <w:t>), kosto të tjera ligjore ose për rikthimin në gjendjen e mëparshme (riparimin), tarifat për mosrespektimin e detyrimeve kontraktuale, sanksionet, detyrimet e jashtme dhe të ardhurat e munguara. Ofruesit e shërbimeve të pagesave, për kostot që lidhen në mënyrë të tërthortë me incidentin, marrin në konsideratë vetëm ato kosto që njihen tashmë ose që ka shumë të ngjarë të materializohen.</w:t>
      </w:r>
    </w:p>
    <w:p w14:paraId="3B23FC54" w14:textId="3958E545"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 xml:space="preserve">Në rastet kur kostot janë në monedha të ndryshme nga monedha vendase </w:t>
      </w:r>
      <w:r w:rsidR="00E82EF5">
        <w:rPr>
          <w:rFonts w:ascii="Garamond" w:hAnsi="Garamond" w:cs="Times New Roman"/>
          <w:color w:val="000000"/>
          <w:sz w:val="24"/>
          <w:szCs w:val="24"/>
        </w:rPr>
        <w:t>l</w:t>
      </w:r>
      <w:r w:rsidRPr="00E76B69">
        <w:rPr>
          <w:rFonts w:ascii="Garamond" w:hAnsi="Garamond" w:cs="Times New Roman"/>
          <w:color w:val="000000"/>
          <w:sz w:val="24"/>
          <w:szCs w:val="24"/>
        </w:rPr>
        <w:t>ek, OSHP-të</w:t>
      </w:r>
      <w:r w:rsidR="00E82EF5">
        <w:rPr>
          <w:rFonts w:ascii="Garamond" w:hAnsi="Garamond" w:cs="Times New Roman"/>
          <w:color w:val="000000"/>
          <w:sz w:val="24"/>
          <w:szCs w:val="24"/>
        </w:rPr>
        <w:t>,</w:t>
      </w:r>
      <w:r w:rsidRPr="00E76B69">
        <w:rPr>
          <w:rFonts w:ascii="Garamond" w:hAnsi="Garamond" w:cs="Times New Roman"/>
          <w:color w:val="000000"/>
          <w:sz w:val="24"/>
          <w:szCs w:val="24"/>
        </w:rPr>
        <w:t xml:space="preserve"> kur llogaritin kufijtë dhe raportojnë vlerat e efektit ekonomik të incidentit, duhet të konvertojnë në lekë shumën e kostove të shprehura (shkaktuara) në një monedhë tjetër, duke përdorur kursin zyrtar referencë të këmbimit të publikuar nga Banka e Shqipërisë, të ditës para ditës së paraqitjes së raportit të incidentit.</w:t>
      </w:r>
    </w:p>
    <w:p w14:paraId="6E93F229"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Kostot direkte</w:t>
      </w:r>
      <w:r w:rsidRPr="00E76B69">
        <w:rPr>
          <w:rFonts w:ascii="Garamond" w:hAnsi="Garamond" w:cs="Times New Roman"/>
          <w:color w:val="000000"/>
          <w:sz w:val="24"/>
          <w:szCs w:val="24"/>
        </w:rPr>
        <w:t>: kostot (në lekë) që shkaktohen drejtpërdrejt nga incidenti, duke përfshirë kostot e nevojshme për të korrigjuar incidentin (p.sh. fondet ose pasuritë e përvetësuara (</w:t>
      </w:r>
      <w:r w:rsidRPr="00E76B69">
        <w:rPr>
          <w:rFonts w:ascii="Garamond" w:hAnsi="Garamond" w:cs="Times New Roman"/>
          <w:i/>
          <w:iCs/>
          <w:color w:val="000000"/>
          <w:sz w:val="24"/>
          <w:szCs w:val="24"/>
        </w:rPr>
        <w:t>expropriated</w:t>
      </w:r>
      <w:r w:rsidRPr="00E76B69">
        <w:rPr>
          <w:rFonts w:ascii="Garamond" w:hAnsi="Garamond" w:cs="Times New Roman"/>
          <w:color w:val="000000"/>
          <w:sz w:val="24"/>
          <w:szCs w:val="24"/>
        </w:rPr>
        <w:t>), kostot e zëvendësimit të pajisjeve kompjuterike (</w:t>
      </w:r>
      <w:r w:rsidRPr="00E76B69">
        <w:rPr>
          <w:rFonts w:ascii="Garamond" w:hAnsi="Garamond" w:cs="Times New Roman"/>
          <w:i/>
          <w:iCs/>
          <w:color w:val="000000"/>
          <w:sz w:val="24"/>
          <w:szCs w:val="24"/>
        </w:rPr>
        <w:t>hardware</w:t>
      </w:r>
      <w:r w:rsidRPr="00E76B69">
        <w:rPr>
          <w:rFonts w:ascii="Garamond" w:hAnsi="Garamond" w:cs="Times New Roman"/>
          <w:color w:val="000000"/>
          <w:sz w:val="24"/>
          <w:szCs w:val="24"/>
        </w:rPr>
        <w:t>) ose programeve kompjuterike (</w:t>
      </w:r>
      <w:r w:rsidRPr="00E76B69">
        <w:rPr>
          <w:rFonts w:ascii="Garamond" w:hAnsi="Garamond" w:cs="Times New Roman"/>
          <w:i/>
          <w:iCs/>
          <w:color w:val="000000"/>
          <w:sz w:val="24"/>
          <w:szCs w:val="24"/>
        </w:rPr>
        <w:t>software</w:t>
      </w:r>
      <w:r w:rsidRPr="00E76B69">
        <w:rPr>
          <w:rFonts w:ascii="Garamond" w:hAnsi="Garamond" w:cs="Times New Roman"/>
          <w:color w:val="000000"/>
          <w:sz w:val="24"/>
          <w:szCs w:val="24"/>
        </w:rPr>
        <w:t>), tarifat për mosrespektimin e detyrimeve kontraktuale, etj.).</w:t>
      </w:r>
    </w:p>
    <w:p w14:paraId="3CBE1252" w14:textId="217A3960"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Kostot indirekte</w:t>
      </w:r>
      <w:r w:rsidRPr="00E76B69">
        <w:rPr>
          <w:rFonts w:ascii="Garamond" w:hAnsi="Garamond" w:cs="Times New Roman"/>
          <w:color w:val="000000"/>
          <w:sz w:val="24"/>
          <w:szCs w:val="24"/>
        </w:rPr>
        <w:t>: kostot (në lekë) që shkaktohen në mënyrë indirekte nga incidenti (p.sh. shpenzimet për dëmshpërblimin/kompensimin e klientëve, kostot e mundshme ligjore, etj.).</w:t>
      </w:r>
    </w:p>
    <w:p w14:paraId="62D19E57" w14:textId="319D8EF2"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82EF5">
        <w:rPr>
          <w:rFonts w:ascii="Garamond" w:hAnsi="Garamond" w:cs="Times New Roman"/>
          <w:b/>
          <w:bCs/>
          <w:color w:val="000000"/>
          <w:sz w:val="24"/>
          <w:szCs w:val="24"/>
        </w:rPr>
        <w:t>Niveli i lartë i përshkallëzimit të brendshëm</w:t>
      </w:r>
      <w:r w:rsidRPr="00E76B69">
        <w:rPr>
          <w:rFonts w:ascii="Garamond" w:hAnsi="Garamond" w:cs="Times New Roman"/>
          <w:color w:val="000000"/>
          <w:sz w:val="24"/>
          <w:szCs w:val="24"/>
        </w:rPr>
        <w:t>: Ofruesit e shërbimeve të pagesave marrin në konsideratë nëse, si rezultat i ndikimit në shërbimet e lidhura me pagesat, organet drejtuese janë informuar ose ka të ngjarë të informohen për incidentin, jashtë çdo procedure njoftimi periodik (</w:t>
      </w:r>
      <w:r w:rsidRPr="00E76B69">
        <w:rPr>
          <w:rFonts w:ascii="Garamond" w:hAnsi="Garamond" w:cs="Times New Roman"/>
          <w:i/>
          <w:iCs/>
          <w:color w:val="000000"/>
          <w:sz w:val="24"/>
          <w:szCs w:val="24"/>
        </w:rPr>
        <w:t>ad-hoc</w:t>
      </w:r>
      <w:r w:rsidRPr="00E76B69">
        <w:rPr>
          <w:rFonts w:ascii="Garamond" w:hAnsi="Garamond" w:cs="Times New Roman"/>
          <w:color w:val="000000"/>
          <w:sz w:val="24"/>
          <w:szCs w:val="24"/>
        </w:rPr>
        <w:t xml:space="preserve">) dhe në mënyrë të vazhdueshme gjatë </w:t>
      </w:r>
      <w:r w:rsidR="00E82EF5">
        <w:rPr>
          <w:rFonts w:ascii="Garamond" w:hAnsi="Garamond" w:cs="Times New Roman"/>
          <w:color w:val="000000"/>
          <w:sz w:val="24"/>
          <w:szCs w:val="24"/>
        </w:rPr>
        <w:t xml:space="preserve">të </w:t>
      </w:r>
      <w:r w:rsidRPr="00E76B69">
        <w:rPr>
          <w:rFonts w:ascii="Garamond" w:hAnsi="Garamond" w:cs="Times New Roman"/>
          <w:color w:val="000000"/>
          <w:sz w:val="24"/>
          <w:szCs w:val="24"/>
        </w:rPr>
        <w:t xml:space="preserve">gjithë kohëzgjatjes së incidentit. Ofruesit e shërbimeve të pagesave duhet të marrin gjithashtu në konsideratë nëse, si rezultat i ndikimit të incidentit në shërbimet e lidhura me pagesat, është shkaktuar ose ka të ngjarë të shkaktohet një gjendje krize. </w:t>
      </w:r>
    </w:p>
    <w:p w14:paraId="1EB4658C" w14:textId="6A582461"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965C4">
        <w:rPr>
          <w:rFonts w:ascii="Garamond" w:hAnsi="Garamond" w:cs="Times New Roman"/>
          <w:b/>
          <w:bCs/>
          <w:color w:val="000000"/>
          <w:sz w:val="24"/>
          <w:szCs w:val="24"/>
        </w:rPr>
        <w:t>Ofruesit e tjerë të shërbimeve të pagesave ose infrastrukturat përkatëse që mund të preken nga incidenti</w:t>
      </w:r>
      <w:r w:rsidRPr="00E76B69">
        <w:rPr>
          <w:rFonts w:ascii="Garamond" w:hAnsi="Garamond" w:cs="Times New Roman"/>
          <w:color w:val="000000"/>
          <w:sz w:val="24"/>
          <w:szCs w:val="24"/>
        </w:rPr>
        <w:t>: Ofruesit e shërbimeve të pagesave vlerësojnë ndikimin e incidentit në tregun financiar, që nënkupton infrastrukturën e tregut financiar dhe/ose skemat e pagesave që e mbështesin atë dhe ofruesit e tjerë të shërbimeve të pagesave. Në veçanti, ofruesit e shërbimeve të pagesave duhet të vlerësojnë nëse incidenti ka ndodhur ose ka të ngjarë të ndodhë/të përsëritet edhe te ofruesit e tjerë të shërbimeve të pagesave, nëse ai ka ndikuar ose ka të ngjarë të ndikojë në funksionimin normal të infrastrukturave të tregut financiar dhe nëse ka kompromentuar ose ka të ngjarë të kompromentojë funksionimin e shëndoshë të sistemit financiar në tërësi. Ofruesit e shërbimeve të pagesave marrin në konsideratë dimensione të ndryshme, të tilla si: nëse komponenti/programi kompjuterik (</w:t>
      </w:r>
      <w:r w:rsidRPr="00E76B69">
        <w:rPr>
          <w:rFonts w:ascii="Garamond" w:hAnsi="Garamond" w:cs="Times New Roman"/>
          <w:i/>
          <w:iCs/>
          <w:color w:val="000000"/>
          <w:sz w:val="24"/>
          <w:szCs w:val="24"/>
        </w:rPr>
        <w:t>software</w:t>
      </w:r>
      <w:r w:rsidRPr="00E76B69">
        <w:rPr>
          <w:rFonts w:ascii="Garamond" w:hAnsi="Garamond" w:cs="Times New Roman"/>
          <w:color w:val="000000"/>
          <w:sz w:val="24"/>
          <w:szCs w:val="24"/>
        </w:rPr>
        <w:t>) i prekur është plotësisht në pronësi (</w:t>
      </w:r>
      <w:r w:rsidRPr="00E76B69">
        <w:rPr>
          <w:rFonts w:ascii="Garamond" w:hAnsi="Garamond" w:cs="Times New Roman"/>
          <w:i/>
          <w:iCs/>
          <w:color w:val="000000"/>
          <w:sz w:val="24"/>
          <w:szCs w:val="24"/>
        </w:rPr>
        <w:t>proprietary</w:t>
      </w:r>
      <w:r w:rsidRPr="00E76B69">
        <w:rPr>
          <w:rFonts w:ascii="Garamond" w:hAnsi="Garamond" w:cs="Times New Roman"/>
          <w:color w:val="000000"/>
          <w:sz w:val="24"/>
          <w:szCs w:val="24"/>
        </w:rPr>
        <w:t>), ose i ndarë me anëtarë të tjerë, nëse rrjeti i kompromentuar është i brendshëm ose i jashtëm dhe nëse ofruesi i shërbimit të pagesave ka ndërprerë ose ka të ngjarë të ndërpresë përmbushjen e detyrimeve të tij në infrastrukturat e tregut financiar në të cilat është anëtar (pjesëmarrës).</w:t>
      </w:r>
    </w:p>
    <w:p w14:paraId="09A85B98"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965C4">
        <w:rPr>
          <w:rFonts w:ascii="Garamond" w:hAnsi="Garamond" w:cs="Times New Roman"/>
          <w:b/>
          <w:bCs/>
          <w:color w:val="000000"/>
          <w:sz w:val="24"/>
          <w:szCs w:val="24"/>
        </w:rPr>
        <w:t>Ndikimi reputacional</w:t>
      </w:r>
      <w:r w:rsidRPr="00E76B69">
        <w:rPr>
          <w:rFonts w:ascii="Garamond" w:hAnsi="Garamond" w:cs="Times New Roman"/>
          <w:color w:val="000000"/>
          <w:sz w:val="24"/>
          <w:szCs w:val="24"/>
        </w:rPr>
        <w:t>: Ofruesit e shërbimeve të pagesave marrin në konsideratë nivelin e shikueshmërisë që incidenti ka fituar ose ka të ngjarë të fitojë në treg, sipas njohurive më të mira të tyre. Në veçanti, ofruesit e shërbimeve të pagesave marrin në konsideratë mundësinë që incidenti të shkaktojë dëm në shoqëri, si një tregues i mirë i mundësisë për të ndikuar reputacionin e tyre. Ofruesit e shërbimeve të pagesave marrin parasysh nëse:</w:t>
      </w:r>
    </w:p>
    <w:p w14:paraId="1ACE7E62"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i.</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përdoruesit e shërbimeve të pagesave dhe/ose ofruesit e tjerë të shërbimeve të pagesave janë ankuar mbi ndikimin negativ të incidentit;</w:t>
      </w:r>
    </w:p>
    <w:p w14:paraId="7ED336DC"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ii.</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incidenti ka ndikuar në një proces të dallueshëm/të dukshëm të lidhur me shërbimet e pagesave dhe për këtë arsye ka të ngjarë të marrë ose ka marrë tashmë mbulim mediatik (duke marrë parasysh jo vetëm mediat tradicionale, të tilla si gazetat, por edhe bloget, rrjetet sociale, etj.); mbulimi mediatik në këtë kontekst nuk nënkupton vetëm disa komente negative nga ndjekësit, por duhet të ketë një raport të vlefshëm ose një numër të konsiderueshëm komentesh/paralajmërimesh negative;</w:t>
      </w:r>
    </w:p>
    <w:p w14:paraId="07EC9E25"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iii.</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 xml:space="preserve">detyrimet kontraktuale nuk janë respektuar ose ka të ngjarë të mos respektohen, që do të çonte në masa ligjore kundrejt ofruesit të shërbimeve të pagesave; </w:t>
      </w:r>
    </w:p>
    <w:p w14:paraId="1B7BAD9D"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iv.</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 xml:space="preserve">kërkesat rregullative nuk janë plotësuar, çka do të rezultojë në vendosjen e masave mbikëqyrëse ose sanksioneve, të cilat janë publikuar ose ka të ngjarë të publikohen; dhe </w:t>
      </w:r>
    </w:p>
    <w:p w14:paraId="72C00E0A" w14:textId="77777777" w:rsidR="008921A4" w:rsidRPr="00E76B69" w:rsidRDefault="008921A4" w:rsidP="00D023FD">
      <w:pPr>
        <w:widowControl w:val="0"/>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color w:val="000000"/>
          <w:sz w:val="24"/>
          <w:szCs w:val="24"/>
        </w:rPr>
        <w:t>v.</w:t>
      </w:r>
      <w:r w:rsidR="00635FDC" w:rsidRPr="00E76B69">
        <w:rPr>
          <w:rFonts w:ascii="Garamond" w:hAnsi="Garamond" w:cs="Times New Roman"/>
          <w:color w:val="000000"/>
          <w:sz w:val="24"/>
          <w:szCs w:val="24"/>
        </w:rPr>
        <w:t xml:space="preserve"> </w:t>
      </w:r>
      <w:r w:rsidRPr="00E76B69">
        <w:rPr>
          <w:rFonts w:ascii="Garamond" w:hAnsi="Garamond" w:cs="Times New Roman"/>
          <w:color w:val="000000"/>
          <w:sz w:val="24"/>
          <w:szCs w:val="24"/>
        </w:rPr>
        <w:t>i njëjti lloj incidenti ka ndodhur edhe më parë.</w:t>
      </w:r>
    </w:p>
    <w:p w14:paraId="4CE783B4"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i/>
          <w:iCs/>
          <w:color w:val="000000"/>
          <w:sz w:val="24"/>
          <w:szCs w:val="24"/>
        </w:rPr>
      </w:pPr>
      <w:r w:rsidRPr="00E76B69">
        <w:rPr>
          <w:rFonts w:ascii="Garamond" w:hAnsi="Garamond" w:cs="Times New Roman"/>
          <w:b/>
          <w:bCs/>
          <w:i/>
          <w:iCs/>
          <w:color w:val="000000"/>
          <w:sz w:val="24"/>
          <w:szCs w:val="24"/>
        </w:rPr>
        <w:t>B3 - Përshkrimi i incidentit</w:t>
      </w:r>
    </w:p>
    <w:p w14:paraId="68B463C9"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965C4">
        <w:rPr>
          <w:rFonts w:ascii="Garamond" w:hAnsi="Garamond" w:cs="Times New Roman"/>
          <w:b/>
          <w:bCs/>
          <w:color w:val="000000"/>
          <w:sz w:val="24"/>
          <w:szCs w:val="24"/>
        </w:rPr>
        <w:t>Lloji i incidentit</w:t>
      </w:r>
      <w:r w:rsidRPr="00E76B69">
        <w:rPr>
          <w:rFonts w:ascii="Garamond" w:hAnsi="Garamond" w:cs="Times New Roman"/>
          <w:color w:val="000000"/>
          <w:sz w:val="24"/>
          <w:szCs w:val="24"/>
        </w:rPr>
        <w:t>: tregoni nëse incidenti është një incident operacional apo i sigurisë. Shpjegime të mëtejshme paraqiten në fushën përkatëse në raportin fillestar.</w:t>
      </w:r>
    </w:p>
    <w:p w14:paraId="6B64F63A"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965C4">
        <w:rPr>
          <w:rFonts w:ascii="Garamond" w:hAnsi="Garamond" w:cs="Times New Roman"/>
          <w:b/>
          <w:bCs/>
          <w:color w:val="000000"/>
          <w:sz w:val="24"/>
          <w:szCs w:val="24"/>
        </w:rPr>
        <w:t>Shkaku i incidentit</w:t>
      </w:r>
      <w:r w:rsidRPr="00E965C4">
        <w:rPr>
          <w:rFonts w:ascii="Garamond" w:hAnsi="Garamond" w:cs="Times New Roman"/>
          <w:color w:val="000000"/>
          <w:sz w:val="24"/>
          <w:szCs w:val="24"/>
        </w:rPr>
        <w:t>:</w:t>
      </w:r>
      <w:r w:rsidRPr="00E76B69">
        <w:rPr>
          <w:rFonts w:ascii="Garamond" w:hAnsi="Garamond" w:cs="Times New Roman"/>
          <w:color w:val="000000"/>
          <w:sz w:val="24"/>
          <w:szCs w:val="24"/>
        </w:rPr>
        <w:t xml:space="preserve"> tregoni shkakun e incidentit ose, nëse nuk dihet ende, atë që ka më shumë të ngjarë të jetë shkaku i incidentit. Mund të përzgjidhen edhe disa alternativa njëkohësisht nga alternativat e mëposhtme.</w:t>
      </w:r>
    </w:p>
    <w:p w14:paraId="1B46F19B"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Nën hetim</w:t>
      </w:r>
      <w:r w:rsidRPr="00E76B69">
        <w:rPr>
          <w:rFonts w:ascii="Garamond" w:hAnsi="Garamond" w:cs="Times New Roman"/>
          <w:color w:val="000000"/>
          <w:sz w:val="24"/>
          <w:szCs w:val="24"/>
        </w:rPr>
        <w:t>: përzgjidhet kjo alternativë kur shkaku nuk njihet/nuk është përcaktuar ende.</w:t>
      </w:r>
    </w:p>
    <w:p w14:paraId="0BAF7565" w14:textId="5278883C"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Veprim keqdashës</w:t>
      </w:r>
      <w:r w:rsidRPr="00E76B69">
        <w:rPr>
          <w:rFonts w:ascii="Garamond" w:hAnsi="Garamond" w:cs="Times New Roman"/>
          <w:color w:val="000000"/>
          <w:sz w:val="24"/>
          <w:szCs w:val="24"/>
        </w:rPr>
        <w:t>: janë veprime që synojnë në mënyrë të qëllimshme ofruesin e shërbimeve të pagesave. Këto përfshijnë kodin, mbledhjen e informacionit, ndërhyrjet me qëllime keqdashëse, sulmet e shpërndara/sulmet e mohimit të shërbimit (D/DoS), veprimet e brendshme të qëllimshme, dëmtimet e jashtme fizike të qëllimshme, sigurinë e përmbajtjes së informacionit, veprimet me qëllim mashtrimi dhe të tjera. Për më shumë detaje, ju lutemi referojuni seksionit C2 të këtij formulari.</w:t>
      </w:r>
    </w:p>
    <w:p w14:paraId="65374C00"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Dështimi i proceseve</w:t>
      </w:r>
      <w:r w:rsidRPr="00E76B69">
        <w:rPr>
          <w:rFonts w:ascii="Garamond" w:hAnsi="Garamond" w:cs="Times New Roman"/>
          <w:color w:val="000000"/>
          <w:sz w:val="24"/>
          <w:szCs w:val="24"/>
        </w:rPr>
        <w:t>: shkaku i incidentit ishte dizenjimi ose ekzekutimi i dobët i procesit të pagesës, i kontrolleve të procesit dhe/ose të proceseve mbështetëse (p.sh. procesit për ndryshim/migrim, testim, konfigurim, kapacitet, monitorim).</w:t>
      </w:r>
    </w:p>
    <w:p w14:paraId="156B9191"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Dështimi i sistemeve</w:t>
      </w:r>
      <w:r w:rsidRPr="00E76B69">
        <w:rPr>
          <w:rFonts w:ascii="Garamond" w:hAnsi="Garamond" w:cs="Times New Roman"/>
          <w:color w:val="000000"/>
          <w:sz w:val="24"/>
          <w:szCs w:val="24"/>
        </w:rPr>
        <w:t>: shkaku i incidentit shoqërohet me dizenjim, ekzekutim, përbërës, specifikime, integrim ose kompleksitet jo të përshtatshme të sistemeve, rrjeteve, infrastrukturave dhe bazave të të dhënave që mbështesin veprimtarinë e pagesave.</w:t>
      </w:r>
    </w:p>
    <w:p w14:paraId="5ABC1AE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Gabimet njerëzore</w:t>
      </w:r>
      <w:r w:rsidRPr="00E76B69">
        <w:rPr>
          <w:rFonts w:ascii="Garamond" w:hAnsi="Garamond" w:cs="Times New Roman"/>
          <w:color w:val="000000"/>
          <w:sz w:val="24"/>
          <w:szCs w:val="24"/>
        </w:rPr>
        <w:t>: incidenti është shkaktuar nga gabimi i paqëllimtë i një personi, qoftë si pjesë e procedurës së pagesës (p.sh. ngarkimi i skedarit të gabuar të grupeve të pagesave në sistemin e pagesave) ose i lidhur disi me procedurën e pagesës (p.sh. energjia elektrike ndërpritet aksidentalisht dhe aktiviteti i pagesës qëndron në pritje për t’u ekzekutuar).</w:t>
      </w:r>
    </w:p>
    <w:p w14:paraId="7D61D939"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Ngjarje të jashtme</w:t>
      </w:r>
      <w:r w:rsidRPr="00E76B69">
        <w:rPr>
          <w:rFonts w:ascii="Garamond" w:hAnsi="Garamond" w:cs="Times New Roman"/>
          <w:color w:val="000000"/>
          <w:sz w:val="24"/>
          <w:szCs w:val="24"/>
        </w:rPr>
        <w:t>: shkaku i incidentit lidhet me ngjarje që janë përgjithësisht jashtë kontrollit të ofruesit të shërbimeve të pagesave (p.sh. fatkeqësitë natyrore, dështimi i një ofruesi të shërbimeve teknike, etj.).</w:t>
      </w:r>
    </w:p>
    <w:p w14:paraId="2DD76BD3"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Të tjera:</w:t>
      </w:r>
      <w:r w:rsidRPr="00E76B69">
        <w:rPr>
          <w:rFonts w:ascii="Garamond" w:hAnsi="Garamond" w:cs="Times New Roman"/>
          <w:color w:val="000000"/>
          <w:sz w:val="24"/>
          <w:szCs w:val="24"/>
        </w:rPr>
        <w:t xml:space="preserve"> shkaku i incidentit nuk është asnjë nga të mësipërmit. Shpjegime të mëtejshme duhet të paraqiten në fushën ku teksti është i lirë dhe ofruesi i shërbimeve të pagesave paraqet informacionin e nevojshëm.</w:t>
      </w:r>
    </w:p>
    <w:p w14:paraId="3C504AE7"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965C4">
        <w:rPr>
          <w:rFonts w:ascii="Garamond" w:hAnsi="Garamond" w:cs="Times New Roman"/>
          <w:b/>
          <w:bCs/>
          <w:color w:val="000000"/>
          <w:sz w:val="24"/>
          <w:szCs w:val="24"/>
        </w:rPr>
        <w:t>A ju ka prekur incidenti në mënyrë të drejtpërdrejtë apo të tërthortë përmes një ofruesi të shërbimit</w:t>
      </w:r>
      <w:r w:rsidRPr="00E965C4">
        <w:rPr>
          <w:rFonts w:ascii="Garamond" w:hAnsi="Garamond" w:cs="Times New Roman"/>
          <w:color w:val="000000"/>
          <w:sz w:val="24"/>
          <w:szCs w:val="24"/>
        </w:rPr>
        <w:t>? Ju</w:t>
      </w:r>
      <w:r w:rsidRPr="00E76B69">
        <w:rPr>
          <w:rFonts w:ascii="Garamond" w:hAnsi="Garamond" w:cs="Times New Roman"/>
          <w:color w:val="000000"/>
          <w:sz w:val="24"/>
          <w:szCs w:val="24"/>
        </w:rPr>
        <w:t xml:space="preserve"> lutemi, tregoni nëse incidenti ka synuar drejtpërdrejt OSHP-në ose e ndikon atë në mënyrë të tërthortë, përmes një pale të tretë (në rastin kur ky informacion është i disponueshëm). Në rast të një ndikimi jo të drejtpërdrejtë, jepni emrin e ofruesit/ofruesve të shërbimit.</w:t>
      </w:r>
    </w:p>
    <w:p w14:paraId="6F56642B"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i/>
          <w:iCs/>
          <w:color w:val="000000"/>
          <w:sz w:val="24"/>
          <w:szCs w:val="24"/>
        </w:rPr>
      </w:pPr>
      <w:r w:rsidRPr="00E76B69">
        <w:rPr>
          <w:rFonts w:ascii="Garamond" w:hAnsi="Garamond" w:cs="Times New Roman"/>
          <w:b/>
          <w:bCs/>
          <w:i/>
          <w:iCs/>
          <w:color w:val="000000"/>
          <w:sz w:val="24"/>
          <w:szCs w:val="24"/>
        </w:rPr>
        <w:t>B4 - Ndikimi i incidentit</w:t>
      </w:r>
    </w:p>
    <w:p w14:paraId="604DC72C"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965C4">
        <w:rPr>
          <w:rFonts w:ascii="Garamond" w:hAnsi="Garamond" w:cs="Times New Roman"/>
          <w:b/>
          <w:bCs/>
          <w:color w:val="000000"/>
          <w:sz w:val="24"/>
          <w:szCs w:val="24"/>
        </w:rPr>
        <w:t>Ndikimi i përgjithshëm</w:t>
      </w:r>
      <w:r w:rsidRPr="00E965C4">
        <w:rPr>
          <w:rFonts w:ascii="Garamond" w:hAnsi="Garamond" w:cs="Times New Roman"/>
          <w:color w:val="000000"/>
          <w:sz w:val="24"/>
          <w:szCs w:val="24"/>
        </w:rPr>
        <w:t>: Ju lutemi, tregoni cilat dimensione janë ndikuar nga incidenti</w:t>
      </w:r>
      <w:r w:rsidRPr="00E76B69">
        <w:rPr>
          <w:rFonts w:ascii="Garamond" w:hAnsi="Garamond" w:cs="Times New Roman"/>
          <w:color w:val="000000"/>
          <w:sz w:val="24"/>
          <w:szCs w:val="24"/>
        </w:rPr>
        <w:t xml:space="preserve"> operacional ose i sigurisë. Mund të përzgjidhen edhe disa alternativa njëkohësisht, nga alternativat e mëposhtme.</w:t>
      </w:r>
    </w:p>
    <w:p w14:paraId="22DEBF13"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Integriteti</w:t>
      </w:r>
      <w:r w:rsidRPr="00E76B69">
        <w:rPr>
          <w:rFonts w:ascii="Garamond" w:hAnsi="Garamond" w:cs="Times New Roman"/>
          <w:color w:val="000000"/>
          <w:sz w:val="24"/>
          <w:szCs w:val="24"/>
        </w:rPr>
        <w:t>: karakteristika e ruajtjes së saktësisë dhe plotësisë së aktiveve (përfshirë të dhënat).</w:t>
      </w:r>
    </w:p>
    <w:p w14:paraId="5654F872"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color w:val="000000"/>
          <w:sz w:val="24"/>
          <w:szCs w:val="24"/>
        </w:rPr>
      </w:pPr>
      <w:r w:rsidRPr="00E76B69">
        <w:rPr>
          <w:rFonts w:ascii="Garamond" w:hAnsi="Garamond" w:cs="Times New Roman"/>
          <w:b/>
          <w:bCs/>
          <w:color w:val="000000"/>
          <w:sz w:val="24"/>
          <w:szCs w:val="24"/>
        </w:rPr>
        <w:t>Disponueshmëria</w:t>
      </w:r>
      <w:r w:rsidRPr="00E76B69">
        <w:rPr>
          <w:rFonts w:ascii="Garamond" w:hAnsi="Garamond" w:cs="Times New Roman"/>
          <w:color w:val="000000"/>
          <w:sz w:val="24"/>
          <w:szCs w:val="24"/>
        </w:rPr>
        <w:t>: karakteristika e shërbimeve të lidhura me pagesat, për të qenë plotësisht të aksesueshëm dhe të përdorshëm nga përdoruesit e shërbimeve të pagesave, sipas niveleve të pranueshme të paracaktuara nga ofruesi i shërbimeve të pagesave.</w:t>
      </w:r>
    </w:p>
    <w:p w14:paraId="14CBFE44"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color w:val="000000"/>
          <w:sz w:val="24"/>
          <w:szCs w:val="24"/>
        </w:rPr>
      </w:pPr>
      <w:r w:rsidRPr="00E76B69">
        <w:rPr>
          <w:rFonts w:ascii="Garamond" w:hAnsi="Garamond" w:cs="Times New Roman"/>
          <w:b/>
          <w:bCs/>
          <w:color w:val="000000"/>
          <w:sz w:val="24"/>
          <w:szCs w:val="24"/>
        </w:rPr>
        <w:t>Konfidencialiteti</w:t>
      </w:r>
      <w:r w:rsidRPr="00E76B69">
        <w:rPr>
          <w:rFonts w:ascii="Garamond" w:hAnsi="Garamond" w:cs="Times New Roman"/>
          <w:color w:val="000000"/>
          <w:sz w:val="24"/>
          <w:szCs w:val="24"/>
        </w:rPr>
        <w:t>: karakteristika që informacioni të mos iu vihet në dispozicion ose t’iu zbulohet/shpërndahet individëve, subjekteve ose proceseve të paautorizuara.</w:t>
      </w:r>
    </w:p>
    <w:p w14:paraId="70E629C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color w:val="000000"/>
          <w:sz w:val="24"/>
          <w:szCs w:val="24"/>
        </w:rPr>
      </w:pPr>
      <w:r w:rsidRPr="00E76B69">
        <w:rPr>
          <w:rFonts w:ascii="Garamond" w:hAnsi="Garamond" w:cs="Times New Roman"/>
          <w:b/>
          <w:bCs/>
          <w:color w:val="000000"/>
          <w:sz w:val="24"/>
          <w:szCs w:val="24"/>
        </w:rPr>
        <w:t>Autenticiteti</w:t>
      </w:r>
      <w:r w:rsidRPr="00E76B69">
        <w:rPr>
          <w:rFonts w:ascii="Garamond" w:hAnsi="Garamond" w:cs="Times New Roman"/>
          <w:color w:val="000000"/>
          <w:sz w:val="24"/>
          <w:szCs w:val="24"/>
        </w:rPr>
        <w:t>: karakteristika e një burimi për të qenë ai që pretendon të jetë.</w:t>
      </w:r>
    </w:p>
    <w:p w14:paraId="48DE9907"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965C4">
        <w:rPr>
          <w:rFonts w:ascii="Garamond" w:hAnsi="Garamond" w:cs="Times New Roman"/>
          <w:b/>
          <w:bCs/>
          <w:color w:val="000000"/>
          <w:sz w:val="24"/>
          <w:szCs w:val="24"/>
        </w:rPr>
        <w:t>Kanalet tregtare të prekura</w:t>
      </w:r>
      <w:r w:rsidRPr="00E76B69">
        <w:rPr>
          <w:rFonts w:ascii="Garamond" w:hAnsi="Garamond" w:cs="Times New Roman"/>
          <w:color w:val="000000"/>
          <w:sz w:val="24"/>
          <w:szCs w:val="24"/>
        </w:rPr>
        <w:t>: tregoni kanalin ose kanalet e ndërveprimit me përdoruesit e shërbimeve të pagesave që janë prekur nga incidenti. Mund të përzgjidhen edhe disa alternativa njëkohësisht, nga alternativat e mëposhtme.</w:t>
      </w:r>
    </w:p>
    <w:p w14:paraId="1EA18F9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Degët:</w:t>
      </w:r>
      <w:r w:rsidRPr="00E76B69">
        <w:rPr>
          <w:rFonts w:ascii="Garamond" w:hAnsi="Garamond" w:cs="Times New Roman"/>
          <w:color w:val="000000"/>
          <w:sz w:val="24"/>
          <w:szCs w:val="24"/>
        </w:rPr>
        <w:t xml:space="preserve"> vendi i biznesit (i ndryshëm nga zyra qendrore) që është pjesë e një OSHP-je, por pa personalitet juridik dhe që kryen drejtpërdrejt disa nga ose të gjitha transaksionet e përfshira në biznesin e OSHP-së. </w:t>
      </w:r>
    </w:p>
    <w:p w14:paraId="370F4D5B"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i/>
          <w:iCs/>
          <w:color w:val="000000"/>
          <w:sz w:val="24"/>
          <w:szCs w:val="24"/>
        </w:rPr>
        <w:t>E-banking</w:t>
      </w:r>
      <w:r w:rsidRPr="00E76B69">
        <w:rPr>
          <w:rFonts w:ascii="Garamond" w:hAnsi="Garamond" w:cs="Times New Roman"/>
          <w:color w:val="000000"/>
          <w:sz w:val="24"/>
          <w:szCs w:val="24"/>
        </w:rPr>
        <w:t>: përdorimi i kompjuterëve për të kryer transaksione financiare përmes internetit.</w:t>
      </w:r>
    </w:p>
    <w:p w14:paraId="6117754C"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i/>
          <w:iCs/>
          <w:color w:val="000000"/>
          <w:sz w:val="24"/>
          <w:szCs w:val="24"/>
        </w:rPr>
        <w:t>Telephone banking</w:t>
      </w:r>
      <w:r w:rsidRPr="00E76B69">
        <w:rPr>
          <w:rFonts w:ascii="Garamond" w:hAnsi="Garamond" w:cs="Times New Roman"/>
          <w:color w:val="000000"/>
          <w:sz w:val="24"/>
          <w:szCs w:val="24"/>
        </w:rPr>
        <w:t>: përdorimi i telefonit për të kryer transaksione financiare.</w:t>
      </w:r>
    </w:p>
    <w:p w14:paraId="5BFBCB42"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i/>
          <w:iCs/>
          <w:color w:val="000000"/>
          <w:sz w:val="24"/>
          <w:szCs w:val="24"/>
        </w:rPr>
        <w:t>Mobile banking</w:t>
      </w:r>
      <w:r w:rsidRPr="00E76B69">
        <w:rPr>
          <w:rFonts w:ascii="Garamond" w:hAnsi="Garamond" w:cs="Times New Roman"/>
          <w:color w:val="000000"/>
          <w:sz w:val="24"/>
          <w:szCs w:val="24"/>
        </w:rPr>
        <w:t>: përdorimi i një aplikacioni specifik bankar në një telefon inteligjent ose pajisje të ngjashme, për të kryer transaksione financiare.</w:t>
      </w:r>
    </w:p>
    <w:p w14:paraId="65B19D55"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ATM:</w:t>
      </w:r>
      <w:r w:rsidRPr="00E76B69">
        <w:rPr>
          <w:rFonts w:ascii="Garamond" w:hAnsi="Garamond" w:cs="Times New Roman"/>
          <w:color w:val="000000"/>
          <w:sz w:val="24"/>
          <w:szCs w:val="24"/>
        </w:rPr>
        <w:t xml:space="preserve"> pajisje elektromekanike që lejon përdoruesit e shërbimeve të pagesave të tërheqin para nga llogaritë e tyre dhe/ose të kryejnë shërbime të tjera (depozitime, transferta).</w:t>
      </w:r>
    </w:p>
    <w:p w14:paraId="69EDB778"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POS (Pikë shitjesh)</w:t>
      </w:r>
      <w:r w:rsidRPr="00E76B69">
        <w:rPr>
          <w:rFonts w:ascii="Garamond" w:hAnsi="Garamond" w:cs="Times New Roman"/>
          <w:color w:val="000000"/>
          <w:sz w:val="24"/>
          <w:szCs w:val="24"/>
        </w:rPr>
        <w:t>: ambientet fizike të tregtarit, ku iniciohet transaksioni i pagesës.</w:t>
      </w:r>
    </w:p>
    <w:p w14:paraId="5FA45E85" w14:textId="750F4E52"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i/>
          <w:iCs/>
          <w:color w:val="000000"/>
          <w:sz w:val="24"/>
          <w:szCs w:val="24"/>
        </w:rPr>
        <w:t>E-commerce</w:t>
      </w:r>
      <w:r w:rsidRPr="00E76B69">
        <w:rPr>
          <w:rFonts w:ascii="Garamond" w:hAnsi="Garamond" w:cs="Times New Roman"/>
          <w:color w:val="000000"/>
          <w:sz w:val="24"/>
          <w:szCs w:val="24"/>
        </w:rPr>
        <w:t>: transaksioni i pagesës iniciohet në një pikë shitje virtuale (p</w:t>
      </w:r>
      <w:r w:rsidR="00E965C4">
        <w:rPr>
          <w:rFonts w:ascii="Garamond" w:hAnsi="Garamond" w:cs="Times New Roman"/>
          <w:color w:val="000000"/>
          <w:sz w:val="24"/>
          <w:szCs w:val="24"/>
        </w:rPr>
        <w:t>.</w:t>
      </w:r>
      <w:r w:rsidRPr="00E76B69">
        <w:rPr>
          <w:rFonts w:ascii="Garamond" w:hAnsi="Garamond" w:cs="Times New Roman"/>
          <w:color w:val="000000"/>
          <w:sz w:val="24"/>
          <w:szCs w:val="24"/>
        </w:rPr>
        <w:t>sh. për pagesat e iniciuara në internet, duke përdorur transfertat e kreditit, kartat e pagesës, transferimin e parasë elektronike midis llogarive të parasë elektronike).</w:t>
      </w:r>
    </w:p>
    <w:p w14:paraId="3FCAEBAF"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Tjetër</w:t>
      </w:r>
      <w:r w:rsidRPr="00E76B69">
        <w:rPr>
          <w:rFonts w:ascii="Garamond" w:hAnsi="Garamond" w:cs="Times New Roman"/>
          <w:color w:val="000000"/>
          <w:sz w:val="24"/>
          <w:szCs w:val="24"/>
        </w:rPr>
        <w:t>: kanali tregtar i prekur nuk është asnjëri nga të mësipërmit. Shpjegime të mëtejshme duhet të paraqiten në fushën ku teksti është i lirë dhe ofruesi i shërbimeve të pagesave paraqet informacionin e nevojshëm.</w:t>
      </w:r>
    </w:p>
    <w:p w14:paraId="66C06A78"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965C4">
        <w:rPr>
          <w:rFonts w:ascii="Garamond" w:hAnsi="Garamond" w:cs="Times New Roman"/>
          <w:b/>
          <w:bCs/>
          <w:color w:val="000000"/>
          <w:sz w:val="24"/>
          <w:szCs w:val="24"/>
        </w:rPr>
        <w:t>Shërbimet e pagesave të prekura</w:t>
      </w:r>
      <w:r w:rsidRPr="00E76B69">
        <w:rPr>
          <w:rFonts w:ascii="Garamond" w:hAnsi="Garamond" w:cs="Times New Roman"/>
          <w:color w:val="000000"/>
          <w:sz w:val="24"/>
          <w:szCs w:val="24"/>
        </w:rPr>
        <w:t>: tregoni ato shërbime pagese që nuk po funksionojnë siç duhet si rezultat i incidentit. Mund të përzgjidhen edhe disa alternativa njëkohësisht, nga alternativat e mëposhtme.</w:t>
      </w:r>
    </w:p>
    <w:p w14:paraId="7EC16BE2"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Depozitimi i parave fizike në një llogari pagese</w:t>
      </w:r>
      <w:r w:rsidRPr="00E76B69">
        <w:rPr>
          <w:rFonts w:ascii="Garamond" w:hAnsi="Garamond" w:cs="Times New Roman"/>
          <w:color w:val="000000"/>
          <w:sz w:val="24"/>
          <w:szCs w:val="24"/>
        </w:rPr>
        <w:t>: dorëzimi i parave fizike një OSHP-je, për t’i kredituar në një llogari pagese.</w:t>
      </w:r>
    </w:p>
    <w:p w14:paraId="5D54CBB0"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Tërheqja e parave fizike nga një llogari pagese</w:t>
      </w:r>
      <w:r w:rsidRPr="00E76B69">
        <w:rPr>
          <w:rFonts w:ascii="Garamond" w:hAnsi="Garamond" w:cs="Times New Roman"/>
          <w:color w:val="000000"/>
          <w:sz w:val="24"/>
          <w:szCs w:val="24"/>
        </w:rPr>
        <w:t>: kërkesa e marrë nga një OSHP prej përdoruesit të shërbimeve të pagesave të tij, për t’i vënë në dispozicion para fizike dhe për të debituar llogarinë e tij të pagesës, me shumën përkatëse.</w:t>
      </w:r>
    </w:p>
    <w:p w14:paraId="19171241"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Veprimet e nevojshme për funksionimin e një llogarie pagese</w:t>
      </w:r>
      <w:r w:rsidRPr="00E76B69">
        <w:rPr>
          <w:rFonts w:ascii="Garamond" w:hAnsi="Garamond" w:cs="Times New Roman"/>
          <w:color w:val="000000"/>
          <w:sz w:val="24"/>
          <w:szCs w:val="24"/>
        </w:rPr>
        <w:t>: ato veprime që duhen kryer në një llogari pagese për ta aktivizuar, çaktivizuar dhe/ose mirëmbajtur atë (p.sh. hapja, bllokimi i llogarisë, etj.).</w:t>
      </w:r>
    </w:p>
    <w:p w14:paraId="25240FFF"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Pranimi i instrumenteve të pagesave</w:t>
      </w:r>
      <w:r w:rsidRPr="00E76B69">
        <w:rPr>
          <w:rFonts w:ascii="Garamond" w:hAnsi="Garamond" w:cs="Times New Roman"/>
          <w:color w:val="000000"/>
          <w:sz w:val="24"/>
          <w:szCs w:val="24"/>
        </w:rPr>
        <w:t>: një shërbim pagese që konsiston në një kontratë të OSHP-së të lidhur me një përfitues pagese, për të pranuar dhe procesuar transaksionet e pagesave, gjë që rezulton në transferimin e fondeve tek përfituesi.</w:t>
      </w:r>
    </w:p>
    <w:p w14:paraId="73866EF1" w14:textId="673C8889"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Transfertat e kreditit:</w:t>
      </w:r>
      <w:r w:rsidRPr="00E76B69">
        <w:rPr>
          <w:rFonts w:ascii="Garamond" w:hAnsi="Garamond" w:cs="Times New Roman"/>
          <w:color w:val="000000"/>
          <w:sz w:val="24"/>
          <w:szCs w:val="24"/>
        </w:rPr>
        <w:t xml:space="preserve"> një shërbim pagese për kreditimin e llogarisë së pagesës së një përfituesi me një transaksion pagese ose një seri transaksionesh pagese nga llogaria e pagesës së një paguesi, që kryhet nga ofruesi i shërbimeve të pagesës</w:t>
      </w:r>
      <w:r w:rsidR="00E965C4">
        <w:rPr>
          <w:rFonts w:ascii="Garamond" w:hAnsi="Garamond" w:cs="Times New Roman"/>
          <w:color w:val="000000"/>
          <w:sz w:val="24"/>
          <w:szCs w:val="24"/>
        </w:rPr>
        <w:t>,</w:t>
      </w:r>
      <w:r w:rsidRPr="00E76B69">
        <w:rPr>
          <w:rFonts w:ascii="Garamond" w:hAnsi="Garamond" w:cs="Times New Roman"/>
          <w:color w:val="000000"/>
          <w:sz w:val="24"/>
          <w:szCs w:val="24"/>
        </w:rPr>
        <w:t xml:space="preserve"> që mban llogarinë e pagesës së paguesit, bazuar në një udhëzim të dhënë nga paguesi.</w:t>
      </w:r>
    </w:p>
    <w:p w14:paraId="075B146E"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Debitimi direkt:</w:t>
      </w:r>
      <w:r w:rsidRPr="00E76B69">
        <w:rPr>
          <w:rFonts w:ascii="Garamond" w:hAnsi="Garamond" w:cs="Times New Roman"/>
          <w:color w:val="000000"/>
          <w:sz w:val="24"/>
          <w:szCs w:val="24"/>
        </w:rPr>
        <w:t xml:space="preserve"> një shërbim pagese për debitimin e llogarisë së pagesës së një paguesi, kur një transaksion pagese iniciohet nga përfituesi i pagesës, në bazë të pëlqimit që paguesi i ka dhënë përfituesit të pagesës, ofruesit të shërbimeve të pagesave të përfituesit të pagesës, ose ofruesit të shërbimeve të pagesave të vetë paguesit.</w:t>
      </w:r>
    </w:p>
    <w:p w14:paraId="4C2B839F" w14:textId="5AC0D0A3"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 xml:space="preserve">Pagesat me karta: </w:t>
      </w:r>
      <w:r w:rsidRPr="00E76B69">
        <w:rPr>
          <w:rFonts w:ascii="Garamond" w:hAnsi="Garamond" w:cs="Times New Roman"/>
          <w:color w:val="000000"/>
          <w:sz w:val="24"/>
          <w:szCs w:val="24"/>
        </w:rPr>
        <w:t>një shërbim pagese i bazuar në infrastrukturën e skemave të pagesës me kartë dhe rregullave të biznesit, për të kryer një transaksion pagese me anë të një karte, pajisje telekomunikacioni, pajisje digjitale ose të teknologjisë së informacionit</w:t>
      </w:r>
      <w:r w:rsidR="00E965C4">
        <w:rPr>
          <w:rFonts w:ascii="Garamond" w:hAnsi="Garamond" w:cs="Times New Roman"/>
          <w:color w:val="000000"/>
          <w:sz w:val="24"/>
          <w:szCs w:val="24"/>
        </w:rPr>
        <w:t>,</w:t>
      </w:r>
      <w:r w:rsidRPr="00E76B69">
        <w:rPr>
          <w:rFonts w:ascii="Garamond" w:hAnsi="Garamond" w:cs="Times New Roman"/>
          <w:color w:val="000000"/>
          <w:sz w:val="24"/>
          <w:szCs w:val="24"/>
        </w:rPr>
        <w:t xml:space="preserve"> ose programit kompjuterik (</w:t>
      </w:r>
      <w:r w:rsidRPr="00E76B69">
        <w:rPr>
          <w:rFonts w:ascii="Garamond" w:hAnsi="Garamond" w:cs="Times New Roman"/>
          <w:i/>
          <w:iCs/>
          <w:color w:val="000000"/>
          <w:sz w:val="24"/>
          <w:szCs w:val="24"/>
        </w:rPr>
        <w:t>software</w:t>
      </w:r>
      <w:r w:rsidRPr="00E76B69">
        <w:rPr>
          <w:rFonts w:ascii="Garamond" w:hAnsi="Garamond" w:cs="Times New Roman"/>
          <w:color w:val="000000"/>
          <w:sz w:val="24"/>
          <w:szCs w:val="24"/>
        </w:rPr>
        <w:t>), nëse</w:t>
      </w:r>
      <w:r w:rsidRPr="00E76B69">
        <w:rPr>
          <w:rFonts w:ascii="Garamond" w:hAnsi="Garamond" w:cs="Times New Roman"/>
          <w:b/>
          <w:bCs/>
          <w:color w:val="000000"/>
          <w:sz w:val="24"/>
          <w:szCs w:val="24"/>
        </w:rPr>
        <w:t xml:space="preserve"> </w:t>
      </w:r>
      <w:r w:rsidRPr="00E76B69">
        <w:rPr>
          <w:rFonts w:ascii="Garamond" w:hAnsi="Garamond" w:cs="Times New Roman"/>
          <w:color w:val="000000"/>
          <w:sz w:val="24"/>
          <w:szCs w:val="24"/>
        </w:rPr>
        <w:t>kjo rezulton</w:t>
      </w:r>
      <w:r w:rsidRPr="00E76B69">
        <w:rPr>
          <w:rFonts w:ascii="Garamond" w:hAnsi="Garamond" w:cs="Times New Roman"/>
          <w:b/>
          <w:bCs/>
          <w:color w:val="000000"/>
          <w:sz w:val="24"/>
          <w:szCs w:val="24"/>
        </w:rPr>
        <w:t xml:space="preserve"> </w:t>
      </w:r>
      <w:r w:rsidRPr="00E76B69">
        <w:rPr>
          <w:rFonts w:ascii="Garamond" w:hAnsi="Garamond" w:cs="Times New Roman"/>
          <w:color w:val="000000"/>
          <w:sz w:val="24"/>
          <w:szCs w:val="24"/>
        </w:rPr>
        <w:t>në një transaksion me kartë debiti ose krediti. Transaksionet e pagesave të bazuara në karta përjashtojnë transaksionet e bazuara në lloje të tjera të shërbimeve të pagesave.</w:t>
      </w:r>
      <w:r w:rsidR="00BD41B0">
        <w:rPr>
          <w:rFonts w:ascii="Garamond" w:hAnsi="Garamond" w:cs="Times New Roman"/>
          <w:b/>
          <w:bCs/>
          <w:color w:val="000000"/>
          <w:sz w:val="24"/>
          <w:szCs w:val="24"/>
        </w:rPr>
        <w:t xml:space="preserve"> </w:t>
      </w:r>
    </w:p>
    <w:p w14:paraId="3C65456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Emetimi i instrumenteve të pagesave:</w:t>
      </w:r>
      <w:r w:rsidRPr="00E76B69">
        <w:rPr>
          <w:rFonts w:ascii="Garamond" w:hAnsi="Garamond" w:cs="Times New Roman"/>
          <w:color w:val="000000"/>
          <w:sz w:val="24"/>
          <w:szCs w:val="24"/>
        </w:rPr>
        <w:t xml:space="preserve"> një shërbim pagese që konsiston në një kontratë të OSHP-së të lidhur me një pagues, për t’i siguruar atij një instrument pagese për të iniciuar dhe procesuar transaksionet e pagesës së tij (paguesit).</w:t>
      </w:r>
    </w:p>
    <w:p w14:paraId="14253833"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Dërgesat e parave (remitancat):</w:t>
      </w:r>
      <w:r w:rsidRPr="00E76B69">
        <w:rPr>
          <w:rFonts w:ascii="Garamond" w:hAnsi="Garamond" w:cs="Times New Roman"/>
          <w:color w:val="000000"/>
          <w:sz w:val="24"/>
          <w:szCs w:val="24"/>
        </w:rPr>
        <w:t xml:space="preserve"> një shërbim pagese nëpërmjet të cilit fondet merren nga një pagues, pa hapur ndonjë llogari pagese në emër të paguesit ose të përfituesit, me qëllimin e vetëm të transferimit të shumës përkatëse te përfituesi i pagesës ose te një ofrues tjetër shërbimesh pagese që vepron për llogari të përfituesit të pagesës dhe/ose kur këto fonde merren në emër të përfituesit të pagesës dhe vihen në dispozicion të tij.</w:t>
      </w:r>
    </w:p>
    <w:p w14:paraId="72E9A895" w14:textId="26FCF945"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Shërbimi i inicimit të pagesës:</w:t>
      </w:r>
      <w:r w:rsidRPr="00E76B69">
        <w:rPr>
          <w:rFonts w:ascii="Garamond" w:hAnsi="Garamond" w:cs="Times New Roman"/>
          <w:color w:val="000000"/>
          <w:sz w:val="24"/>
          <w:szCs w:val="24"/>
        </w:rPr>
        <w:t xml:space="preserve"> një shërbim pagese për të iniciuar një urdhërpagese me kërkesën e përdoruesit të shërbimeve të pagesave, nga një llogari pagese e mbajtur në një ofrues tjetër të shërbimeve të pagesave.</w:t>
      </w:r>
    </w:p>
    <w:p w14:paraId="08F554D8" w14:textId="51F38FE0"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Shërbimi i informimit të llogarisë</w:t>
      </w:r>
      <w:r w:rsidRPr="00E76B69">
        <w:rPr>
          <w:rFonts w:ascii="Garamond" w:hAnsi="Garamond" w:cs="Times New Roman"/>
          <w:color w:val="000000"/>
          <w:sz w:val="24"/>
          <w:szCs w:val="24"/>
        </w:rPr>
        <w:t xml:space="preserve">: një shërbim pagese </w:t>
      </w:r>
      <w:r w:rsidRPr="00E76B69">
        <w:rPr>
          <w:rFonts w:ascii="Garamond" w:hAnsi="Garamond" w:cs="Times New Roman"/>
          <w:i/>
          <w:iCs/>
          <w:color w:val="000000"/>
          <w:sz w:val="24"/>
          <w:szCs w:val="24"/>
        </w:rPr>
        <w:t>online</w:t>
      </w:r>
      <w:r w:rsidRPr="00E76B69">
        <w:rPr>
          <w:rFonts w:ascii="Garamond" w:hAnsi="Garamond" w:cs="Times New Roman"/>
          <w:color w:val="000000"/>
          <w:sz w:val="24"/>
          <w:szCs w:val="24"/>
        </w:rPr>
        <w:t>, për të dhënë informacion të konsoliduar për një ose më shumë llogari pagese, të mbajtura nga përdoruesi i shërbimeve të pagesave me një ofrues tjetër të shërbimeve të pagesave ose me më shumë se një ofrues të shërbimeve të pagesave.</w:t>
      </w:r>
    </w:p>
    <w:p w14:paraId="46C4878F"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i/>
          <w:iCs/>
          <w:color w:val="000000"/>
          <w:sz w:val="24"/>
          <w:szCs w:val="24"/>
        </w:rPr>
      </w:pPr>
      <w:r w:rsidRPr="00E76B69">
        <w:rPr>
          <w:rFonts w:ascii="Garamond" w:hAnsi="Garamond" w:cs="Times New Roman"/>
          <w:b/>
          <w:bCs/>
          <w:i/>
          <w:iCs/>
          <w:color w:val="000000"/>
          <w:sz w:val="24"/>
          <w:szCs w:val="24"/>
        </w:rPr>
        <w:t>B5 - Zbutja e incidentit</w:t>
      </w:r>
    </w:p>
    <w:p w14:paraId="7C914F6A"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965C4">
        <w:rPr>
          <w:rFonts w:ascii="Garamond" w:hAnsi="Garamond" w:cs="Times New Roman"/>
          <w:b/>
          <w:bCs/>
          <w:color w:val="000000"/>
          <w:sz w:val="24"/>
          <w:szCs w:val="24"/>
        </w:rPr>
        <w:t>Cilat veprime/masa janë ndërmarrë deri më tani ose janë planifikuar të merren për rikuperimin nga incidenti</w:t>
      </w:r>
      <w:r w:rsidRPr="00E76B69">
        <w:rPr>
          <w:rFonts w:ascii="Garamond" w:hAnsi="Garamond" w:cs="Times New Roman"/>
          <w:color w:val="000000"/>
          <w:sz w:val="24"/>
          <w:szCs w:val="24"/>
        </w:rPr>
        <w:t>? Jepni detaje rreth veprimeve që janë ndërmarrë ose janë planifikuar të ndërmerren për të adresuar përkohësisht incidentin.</w:t>
      </w:r>
    </w:p>
    <w:p w14:paraId="6DA086DF"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965C4">
        <w:rPr>
          <w:rFonts w:ascii="Garamond" w:hAnsi="Garamond" w:cs="Times New Roman"/>
          <w:b/>
          <w:bCs/>
          <w:color w:val="000000"/>
          <w:sz w:val="24"/>
          <w:szCs w:val="24"/>
        </w:rPr>
        <w:t>A janë aktivizuar planet e vazhdimësisë së biznesit dhe të rimëkëmbjes nga fatkeqësitë</w:t>
      </w:r>
      <w:r w:rsidRPr="00E76B69">
        <w:rPr>
          <w:rFonts w:ascii="Garamond" w:hAnsi="Garamond" w:cs="Times New Roman"/>
          <w:color w:val="000000"/>
          <w:sz w:val="24"/>
          <w:szCs w:val="24"/>
        </w:rPr>
        <w:t>? Tregoni nëse janë aktivizuar ose jo këto plane, dhe nëse po, jepni detajet më të rëndësishme të asaj që ka ndodhur (p.sh. kur janë aktivizuar planet dhe në çfarë konsistojnë këto plane).</w:t>
      </w:r>
    </w:p>
    <w:p w14:paraId="42631278"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color w:val="000000"/>
          <w:sz w:val="24"/>
          <w:szCs w:val="24"/>
        </w:rPr>
      </w:pPr>
      <w:r w:rsidRPr="00E76B69">
        <w:rPr>
          <w:rFonts w:ascii="Garamond" w:hAnsi="Garamond" w:cs="Times New Roman"/>
          <w:b/>
          <w:bCs/>
          <w:color w:val="000000"/>
          <w:sz w:val="24"/>
          <w:szCs w:val="24"/>
        </w:rPr>
        <w:t>Seksioni C - Raporti përfundimtar</w:t>
      </w:r>
    </w:p>
    <w:p w14:paraId="6DC8705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i/>
          <w:iCs/>
          <w:color w:val="000000"/>
          <w:sz w:val="24"/>
          <w:szCs w:val="24"/>
        </w:rPr>
      </w:pPr>
      <w:r w:rsidRPr="00E76B69">
        <w:rPr>
          <w:rFonts w:ascii="Garamond" w:hAnsi="Garamond" w:cs="Times New Roman"/>
          <w:b/>
          <w:bCs/>
          <w:i/>
          <w:iCs/>
          <w:color w:val="000000"/>
          <w:sz w:val="24"/>
          <w:szCs w:val="24"/>
        </w:rPr>
        <w:t>C1 - Detaje të përgjithshme</w:t>
      </w:r>
    </w:p>
    <w:p w14:paraId="3D8B99C5"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965C4">
        <w:rPr>
          <w:rFonts w:ascii="Garamond" w:hAnsi="Garamond" w:cs="Times New Roman"/>
          <w:b/>
          <w:bCs/>
          <w:color w:val="000000"/>
          <w:sz w:val="24"/>
          <w:szCs w:val="24"/>
        </w:rPr>
        <w:t>Përditësimi i informacionit të paraqitur në raportin fillestar dhe në raportin (raportet) e ndërmjetëm</w:t>
      </w:r>
      <w:r w:rsidRPr="00E76B69">
        <w:rPr>
          <w:rFonts w:ascii="Garamond" w:hAnsi="Garamond" w:cs="Times New Roman"/>
          <w:color w:val="000000"/>
          <w:sz w:val="24"/>
          <w:szCs w:val="24"/>
        </w:rPr>
        <w:t xml:space="preserve"> (përmbledhje): Ju lutemi jepni informacione të mëtejshme mbi incidentin, përfshirë edhe ndryshimet përkatëse në informacionin e paraqitur në raportin e ndërmjetëm. Gjithashtu përfshini edhe çdo informacion tjetër që e gjykoni të përshtatshëm. </w:t>
      </w:r>
    </w:p>
    <w:p w14:paraId="2F96E951"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965C4">
        <w:rPr>
          <w:rFonts w:ascii="Garamond" w:hAnsi="Garamond" w:cs="Times New Roman"/>
          <w:b/>
          <w:bCs/>
          <w:color w:val="000000"/>
          <w:sz w:val="24"/>
          <w:szCs w:val="24"/>
        </w:rPr>
        <w:t>A janë në fuqi kontrollet fillestare</w:t>
      </w:r>
      <w:r w:rsidRPr="00E76B69">
        <w:rPr>
          <w:rFonts w:ascii="Garamond" w:hAnsi="Garamond" w:cs="Times New Roman"/>
          <w:color w:val="000000"/>
          <w:sz w:val="24"/>
          <w:szCs w:val="24"/>
        </w:rPr>
        <w:t>? Ju lutemi tregoni nëse OSHP-së i duhej të anulonte ose të dobësonte disa kontrolle në çdo kohë gjatë kohëzgjatjes së incidentit. Nëse po, tregoni nëse të gjitha kontrollet janë rikthyer në gjendjen para incidentit, dhe nëse jo, shpjegoni në fushën e tekstit, cilat kontrolle nuk janë rikthyer në gjendjen e mëparshme dhe kohën e nevojshme për rikthimin e tyre në gjendjen para incidentit.</w:t>
      </w:r>
    </w:p>
    <w:p w14:paraId="4B819E98"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i/>
          <w:iCs/>
          <w:color w:val="000000"/>
          <w:sz w:val="24"/>
          <w:szCs w:val="24"/>
        </w:rPr>
      </w:pPr>
      <w:r w:rsidRPr="00E76B69">
        <w:rPr>
          <w:rFonts w:ascii="Garamond" w:hAnsi="Garamond" w:cs="Times New Roman"/>
          <w:b/>
          <w:bCs/>
          <w:i/>
          <w:iCs/>
          <w:color w:val="000000"/>
          <w:sz w:val="24"/>
          <w:szCs w:val="24"/>
        </w:rPr>
        <w:t>C2 - Analiza e shkakut bazë të incidentit dhe ndjekja në vazhdimësi</w:t>
      </w:r>
    </w:p>
    <w:p w14:paraId="46AE02B6"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965C4">
        <w:rPr>
          <w:rFonts w:ascii="Garamond" w:hAnsi="Garamond" w:cs="Times New Roman"/>
          <w:b/>
          <w:bCs/>
          <w:color w:val="000000"/>
          <w:sz w:val="24"/>
          <w:szCs w:val="24"/>
        </w:rPr>
        <w:t>Cili ishte shkaku bazë (kryesor) i incidentit, nëse dihet tashmë</w:t>
      </w:r>
      <w:r w:rsidRPr="00E76B69">
        <w:rPr>
          <w:rFonts w:ascii="Garamond" w:hAnsi="Garamond" w:cs="Times New Roman"/>
          <w:b/>
          <w:bCs/>
          <w:color w:val="000000"/>
          <w:sz w:val="24"/>
          <w:szCs w:val="24"/>
        </w:rPr>
        <w:t>?</w:t>
      </w:r>
      <w:r w:rsidRPr="00E76B69">
        <w:rPr>
          <w:rFonts w:ascii="Garamond" w:hAnsi="Garamond" w:cs="Times New Roman"/>
          <w:color w:val="000000"/>
          <w:sz w:val="24"/>
          <w:szCs w:val="24"/>
        </w:rPr>
        <w:t xml:space="preserve"> Ju lutemi shpjegoni cili është shkaku bazë i incidentit ose, nëse nuk dihet ende, shkaku më i mundshëm. Mund të përzgjidhen edhe disa alternativa njëkohësisht, nga alternativat e mëposhtme. (Mbani në konsideratë që shkaku bazë i incidentit duhet të jetë i dallueshëm nga ndikimi/efekti i tij (incidentit)).</w:t>
      </w:r>
    </w:p>
    <w:p w14:paraId="1CAAE3A0"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Veprim keqdashës</w:t>
      </w:r>
      <w:r w:rsidRPr="00E76B69">
        <w:rPr>
          <w:rFonts w:ascii="Garamond" w:hAnsi="Garamond" w:cs="Times New Roman"/>
          <w:color w:val="000000"/>
          <w:sz w:val="24"/>
          <w:szCs w:val="24"/>
        </w:rPr>
        <w:t>: veprime të jashtme ose të brendshme që synojnë në mënyrë të qëllimshme ofruesin e shërbimeve të pagesave. Këto ndahen në kategoritë e mëposhtme:</w:t>
      </w:r>
    </w:p>
    <w:p w14:paraId="62EB2CFE" w14:textId="3AD87C2D"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Kod me qëllim keqdashës</w:t>
      </w:r>
      <w:r w:rsidRPr="00E76B69">
        <w:rPr>
          <w:rFonts w:ascii="Garamond" w:hAnsi="Garamond" w:cs="Times New Roman"/>
          <w:color w:val="000000"/>
          <w:sz w:val="24"/>
          <w:szCs w:val="24"/>
        </w:rPr>
        <w:t xml:space="preserve">: për shembull: një virus, </w:t>
      </w:r>
      <w:r w:rsidRPr="00E76B69">
        <w:rPr>
          <w:rFonts w:ascii="Garamond" w:hAnsi="Garamond" w:cs="Times New Roman"/>
          <w:i/>
          <w:iCs/>
          <w:color w:val="000000"/>
          <w:sz w:val="24"/>
          <w:szCs w:val="24"/>
        </w:rPr>
        <w:t>worm</w:t>
      </w:r>
      <w:r w:rsidRPr="00E76B69">
        <w:rPr>
          <w:rFonts w:ascii="Garamond" w:hAnsi="Garamond" w:cs="Times New Roman"/>
          <w:color w:val="000000"/>
          <w:sz w:val="24"/>
          <w:szCs w:val="24"/>
        </w:rPr>
        <w:t xml:space="preserve">, </w:t>
      </w:r>
      <w:r w:rsidRPr="00E76B69">
        <w:rPr>
          <w:rFonts w:ascii="Garamond" w:hAnsi="Garamond" w:cs="Times New Roman"/>
          <w:i/>
          <w:iCs/>
          <w:color w:val="000000"/>
          <w:sz w:val="24"/>
          <w:szCs w:val="24"/>
        </w:rPr>
        <w:t>Trojan</w:t>
      </w:r>
      <w:r w:rsidRPr="00E76B69">
        <w:rPr>
          <w:rFonts w:ascii="Garamond" w:hAnsi="Garamond" w:cs="Times New Roman"/>
          <w:color w:val="000000"/>
          <w:sz w:val="24"/>
          <w:szCs w:val="24"/>
        </w:rPr>
        <w:t xml:space="preserve">, </w:t>
      </w:r>
      <w:r w:rsidRPr="00E76B69">
        <w:rPr>
          <w:rFonts w:ascii="Garamond" w:hAnsi="Garamond" w:cs="Times New Roman"/>
          <w:i/>
          <w:iCs/>
          <w:color w:val="000000"/>
          <w:sz w:val="24"/>
          <w:szCs w:val="24"/>
        </w:rPr>
        <w:t>spyware</w:t>
      </w:r>
      <w:r w:rsidRPr="00E76B69">
        <w:rPr>
          <w:rFonts w:ascii="Garamond" w:hAnsi="Garamond" w:cs="Times New Roman"/>
          <w:color w:val="000000"/>
          <w:sz w:val="24"/>
          <w:szCs w:val="24"/>
        </w:rPr>
        <w:t>, etj.</w:t>
      </w:r>
    </w:p>
    <w:p w14:paraId="7329EB21"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Mbledhja e informacionit</w:t>
      </w:r>
      <w:r w:rsidRPr="00E76B69">
        <w:rPr>
          <w:rFonts w:ascii="Garamond" w:hAnsi="Garamond" w:cs="Times New Roman"/>
          <w:color w:val="000000"/>
          <w:sz w:val="24"/>
          <w:szCs w:val="24"/>
        </w:rPr>
        <w:t xml:space="preserve">: për shembull: skanimi, </w:t>
      </w:r>
      <w:r w:rsidRPr="00E76B69">
        <w:rPr>
          <w:rFonts w:ascii="Garamond" w:hAnsi="Garamond" w:cs="Times New Roman"/>
          <w:i/>
          <w:iCs/>
          <w:color w:val="000000"/>
          <w:sz w:val="24"/>
          <w:szCs w:val="24"/>
        </w:rPr>
        <w:t>sniffing</w:t>
      </w:r>
      <w:r w:rsidRPr="00E76B69">
        <w:rPr>
          <w:rFonts w:ascii="Garamond" w:hAnsi="Garamond" w:cs="Times New Roman"/>
          <w:color w:val="000000"/>
          <w:sz w:val="24"/>
          <w:szCs w:val="24"/>
        </w:rPr>
        <w:t>, inxhinieria sociale, etj.</w:t>
      </w:r>
    </w:p>
    <w:p w14:paraId="2A2E4F8B"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Ndërhyrjet</w:t>
      </w:r>
      <w:r w:rsidRPr="00E76B69">
        <w:rPr>
          <w:rFonts w:ascii="Garamond" w:hAnsi="Garamond" w:cs="Times New Roman"/>
          <w:color w:val="000000"/>
          <w:sz w:val="24"/>
          <w:szCs w:val="24"/>
        </w:rPr>
        <w:t xml:space="preserve">: për shembull: kompromentimi i llogarisë së privilegjuar, kompromentimi i llogarisë jo të privilegjuar, kompromentimi i aplikacionit, </w:t>
      </w:r>
      <w:r w:rsidRPr="00E76B69">
        <w:rPr>
          <w:rFonts w:ascii="Garamond" w:hAnsi="Garamond" w:cs="Times New Roman"/>
          <w:i/>
          <w:iCs/>
          <w:color w:val="000000"/>
          <w:sz w:val="24"/>
          <w:szCs w:val="24"/>
        </w:rPr>
        <w:t>bot</w:t>
      </w:r>
      <w:r w:rsidRPr="00E76B69">
        <w:rPr>
          <w:rFonts w:ascii="Garamond" w:hAnsi="Garamond" w:cs="Times New Roman"/>
          <w:color w:val="000000"/>
          <w:sz w:val="24"/>
          <w:szCs w:val="24"/>
        </w:rPr>
        <w:t>, etj.</w:t>
      </w:r>
    </w:p>
    <w:p w14:paraId="4DAE5964"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Sulmi i shpërndarë/sulmi i mohimit të shërbimit (D/DoS)</w:t>
      </w:r>
      <w:r w:rsidRPr="00E76B69">
        <w:rPr>
          <w:rFonts w:ascii="Garamond" w:hAnsi="Garamond" w:cs="Times New Roman"/>
          <w:color w:val="000000"/>
          <w:sz w:val="24"/>
          <w:szCs w:val="24"/>
        </w:rPr>
        <w:t xml:space="preserve">: një përpjekje për ta bërë një shërbim </w:t>
      </w:r>
      <w:r w:rsidRPr="00E76B69">
        <w:rPr>
          <w:rFonts w:ascii="Garamond" w:hAnsi="Garamond" w:cs="Times New Roman"/>
          <w:i/>
          <w:iCs/>
          <w:color w:val="000000"/>
          <w:sz w:val="24"/>
          <w:szCs w:val="24"/>
        </w:rPr>
        <w:t>online</w:t>
      </w:r>
      <w:r w:rsidRPr="00E76B69">
        <w:rPr>
          <w:rFonts w:ascii="Garamond" w:hAnsi="Garamond" w:cs="Times New Roman"/>
          <w:color w:val="000000"/>
          <w:sz w:val="24"/>
          <w:szCs w:val="24"/>
        </w:rPr>
        <w:t xml:space="preserve"> të padisponueshëm, duke e mbingarkuar me trafik nga burime të ndryshme.</w:t>
      </w:r>
    </w:p>
    <w:p w14:paraId="34A83FA0"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Veprimet e brendshme të qëllimshme</w:t>
      </w:r>
      <w:r w:rsidRPr="00E76B69">
        <w:rPr>
          <w:rFonts w:ascii="Garamond" w:hAnsi="Garamond" w:cs="Times New Roman"/>
          <w:color w:val="000000"/>
          <w:sz w:val="24"/>
          <w:szCs w:val="24"/>
        </w:rPr>
        <w:t xml:space="preserve">: për shembull: sabotimi, vjedhja. </w:t>
      </w:r>
    </w:p>
    <w:p w14:paraId="359D9EF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Dëmtimet e jashtme fizike të qëllimshme</w:t>
      </w:r>
      <w:r w:rsidRPr="00E76B69">
        <w:rPr>
          <w:rFonts w:ascii="Garamond" w:hAnsi="Garamond" w:cs="Times New Roman"/>
          <w:color w:val="000000"/>
          <w:sz w:val="24"/>
          <w:szCs w:val="24"/>
        </w:rPr>
        <w:t>: për shembull: sabotimi, sulmet fizike të ndërtesave/qendrave të të dhënave, etj.</w:t>
      </w:r>
    </w:p>
    <w:p w14:paraId="7AE91CC9"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Siguria e përmbajtjes së informacionit</w:t>
      </w:r>
      <w:r w:rsidRPr="00E76B69">
        <w:rPr>
          <w:rFonts w:ascii="Garamond" w:hAnsi="Garamond" w:cs="Times New Roman"/>
          <w:color w:val="000000"/>
          <w:sz w:val="24"/>
          <w:szCs w:val="24"/>
        </w:rPr>
        <w:t xml:space="preserve">: akses (hyrja) i paautorizuar në informacion, modifikim i paautorizuar i informacionit. </w:t>
      </w:r>
    </w:p>
    <w:p w14:paraId="5C0232CB"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 xml:space="preserve">Veprimet me qëllim mashtrimi: </w:t>
      </w:r>
      <w:r w:rsidRPr="00E76B69">
        <w:rPr>
          <w:rFonts w:ascii="Garamond" w:hAnsi="Garamond" w:cs="Times New Roman"/>
          <w:color w:val="000000"/>
          <w:sz w:val="24"/>
          <w:szCs w:val="24"/>
        </w:rPr>
        <w:t>përdorim i paautorizuar i burimeve, të drejtat e autorit (</w:t>
      </w:r>
      <w:r w:rsidRPr="00E76B69">
        <w:rPr>
          <w:rFonts w:ascii="Garamond" w:hAnsi="Garamond" w:cs="Times New Roman"/>
          <w:i/>
          <w:iCs/>
          <w:color w:val="000000"/>
          <w:sz w:val="24"/>
          <w:szCs w:val="24"/>
        </w:rPr>
        <w:t>copyright</w:t>
      </w:r>
      <w:r w:rsidRPr="00E76B69">
        <w:rPr>
          <w:rFonts w:ascii="Garamond" w:hAnsi="Garamond" w:cs="Times New Roman"/>
          <w:color w:val="000000"/>
          <w:sz w:val="24"/>
          <w:szCs w:val="24"/>
        </w:rPr>
        <w:t xml:space="preserve">), </w:t>
      </w:r>
      <w:r w:rsidRPr="00E76B69">
        <w:rPr>
          <w:rFonts w:ascii="Garamond" w:hAnsi="Garamond" w:cs="Times New Roman"/>
          <w:i/>
          <w:iCs/>
          <w:color w:val="000000"/>
          <w:sz w:val="24"/>
          <w:szCs w:val="24"/>
        </w:rPr>
        <w:t>masquerade</w:t>
      </w:r>
      <w:r w:rsidRPr="00E76B69">
        <w:rPr>
          <w:rFonts w:ascii="Garamond" w:hAnsi="Garamond" w:cs="Times New Roman"/>
          <w:color w:val="000000"/>
          <w:sz w:val="24"/>
          <w:szCs w:val="24"/>
        </w:rPr>
        <w:t xml:space="preserve">, </w:t>
      </w:r>
      <w:r w:rsidRPr="00E76B69">
        <w:rPr>
          <w:rFonts w:ascii="Garamond" w:hAnsi="Garamond" w:cs="Times New Roman"/>
          <w:i/>
          <w:iCs/>
          <w:color w:val="000000"/>
          <w:sz w:val="24"/>
          <w:szCs w:val="24"/>
        </w:rPr>
        <w:t>phishing</w:t>
      </w:r>
      <w:r w:rsidRPr="00E76B69">
        <w:rPr>
          <w:rFonts w:ascii="Garamond" w:hAnsi="Garamond" w:cs="Times New Roman"/>
          <w:color w:val="000000"/>
          <w:sz w:val="24"/>
          <w:szCs w:val="24"/>
        </w:rPr>
        <w:t>.</w:t>
      </w:r>
    </w:p>
    <w:p w14:paraId="5B63859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Të tjera</w:t>
      </w:r>
      <w:r w:rsidRPr="00E76B69">
        <w:rPr>
          <w:rFonts w:ascii="Garamond" w:hAnsi="Garamond" w:cs="Times New Roman"/>
          <w:color w:val="000000"/>
          <w:sz w:val="24"/>
          <w:szCs w:val="24"/>
        </w:rPr>
        <w:t xml:space="preserve"> (specifikoni): Shkaku i incidentit nuk është asnjëri nga të mësipërmit. Shpjegime të mëtejshme duhet të paraqiten në fushën ku teksti është i lirë dhe ofruesi i shërbimeve të pagesave paraqet informacionin e nevojshëm.</w:t>
      </w:r>
    </w:p>
    <w:p w14:paraId="1409B925" w14:textId="3990C484"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Dështimi i proceseve</w:t>
      </w:r>
      <w:r w:rsidRPr="00E76B69">
        <w:rPr>
          <w:rFonts w:ascii="Garamond" w:hAnsi="Garamond" w:cs="Times New Roman"/>
          <w:color w:val="000000"/>
          <w:sz w:val="24"/>
          <w:szCs w:val="24"/>
        </w:rPr>
        <w:t>: shkaku i incidentit ishte dizenjimi ose ekzekutimi i dobët i procesit të pagesës, i kontrolleve të proceseve mbështetëse (p.sh.</w:t>
      </w:r>
      <w:r w:rsidR="00BD41B0">
        <w:rPr>
          <w:rFonts w:ascii="Garamond" w:hAnsi="Garamond" w:cs="Times New Roman"/>
          <w:color w:val="000000"/>
          <w:sz w:val="24"/>
          <w:szCs w:val="24"/>
        </w:rPr>
        <w:t>:</w:t>
      </w:r>
      <w:r w:rsidRPr="00E76B69">
        <w:rPr>
          <w:rFonts w:ascii="Garamond" w:hAnsi="Garamond" w:cs="Times New Roman"/>
          <w:color w:val="000000"/>
          <w:sz w:val="24"/>
          <w:szCs w:val="24"/>
        </w:rPr>
        <w:t xml:space="preserve"> procesit për ndryshim/migrim, testim, konfigurim, kapacitet, monitorim). Këto ndahen në kategoritë e mëposhtme:</w:t>
      </w:r>
    </w:p>
    <w:p w14:paraId="54108380"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Monitorim dhe kontroll i pamjaftueshëm</w:t>
      </w:r>
      <w:r w:rsidRPr="00E76B69">
        <w:rPr>
          <w:rFonts w:ascii="Garamond" w:hAnsi="Garamond" w:cs="Times New Roman"/>
          <w:color w:val="000000"/>
          <w:sz w:val="24"/>
          <w:szCs w:val="24"/>
        </w:rPr>
        <w:t xml:space="preserve">: për shembull: në lidhje me ekzekutimin e operacioneve të subjektit, datat e skadencës së certifikatave; datën e skadencës së licencës, datat e skadencës së </w:t>
      </w:r>
      <w:r w:rsidRPr="00E76B69">
        <w:rPr>
          <w:rFonts w:ascii="Garamond" w:hAnsi="Garamond" w:cs="Times New Roman"/>
          <w:i/>
          <w:iCs/>
          <w:color w:val="000000"/>
          <w:sz w:val="24"/>
          <w:szCs w:val="24"/>
        </w:rPr>
        <w:t>patch</w:t>
      </w:r>
      <w:r w:rsidRPr="00E76B69">
        <w:rPr>
          <w:rFonts w:ascii="Garamond" w:hAnsi="Garamond" w:cs="Times New Roman"/>
          <w:color w:val="000000"/>
          <w:sz w:val="24"/>
          <w:szCs w:val="24"/>
        </w:rPr>
        <w:t>-it, kundërvlerat maksimale të përcaktuara, nivelet e plotësimit të bazës së të dhënave, administrimin e të drejtave të përdoruesve, parimin e kontrollit të dyfishtë, etj.</w:t>
      </w:r>
    </w:p>
    <w:p w14:paraId="1891B525"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Çështje të komunikimit</w:t>
      </w:r>
      <w:r w:rsidRPr="00E76B69">
        <w:rPr>
          <w:rFonts w:ascii="Garamond" w:hAnsi="Garamond" w:cs="Times New Roman"/>
          <w:color w:val="000000"/>
          <w:sz w:val="24"/>
          <w:szCs w:val="24"/>
        </w:rPr>
        <w:t>: për shembull: midis pjesëmarrësve të tregut ose brenda subjektit.</w:t>
      </w:r>
    </w:p>
    <w:p w14:paraId="28DF18A5"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Veprime të papërshtatshme</w:t>
      </w:r>
      <w:r w:rsidRPr="00E76B69">
        <w:rPr>
          <w:rFonts w:ascii="Garamond" w:hAnsi="Garamond" w:cs="Times New Roman"/>
          <w:color w:val="000000"/>
          <w:sz w:val="24"/>
          <w:szCs w:val="24"/>
        </w:rPr>
        <w:t xml:space="preserve">: për shembull: moskëmbimi i certifikatave, </w:t>
      </w:r>
      <w:r w:rsidRPr="00E76B69">
        <w:rPr>
          <w:rFonts w:ascii="Garamond" w:hAnsi="Garamond" w:cs="Times New Roman"/>
          <w:i/>
          <w:iCs/>
          <w:color w:val="000000"/>
          <w:sz w:val="24"/>
          <w:szCs w:val="24"/>
        </w:rPr>
        <w:t>cache</w:t>
      </w:r>
      <w:r w:rsidRPr="00E76B69">
        <w:rPr>
          <w:rFonts w:ascii="Garamond" w:hAnsi="Garamond" w:cs="Times New Roman"/>
          <w:color w:val="000000"/>
          <w:sz w:val="24"/>
          <w:szCs w:val="24"/>
        </w:rPr>
        <w:t xml:space="preserve"> është e mbushur, etj.</w:t>
      </w:r>
    </w:p>
    <w:p w14:paraId="11C1415E"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Administrimi i pamjaftueshëm i ndryshimeve</w:t>
      </w:r>
      <w:r w:rsidRPr="00E76B69">
        <w:rPr>
          <w:rFonts w:ascii="Garamond" w:hAnsi="Garamond" w:cs="Times New Roman"/>
          <w:color w:val="000000"/>
          <w:sz w:val="24"/>
          <w:szCs w:val="24"/>
        </w:rPr>
        <w:t xml:space="preserve">: për shembull: gabime të paidentifikuara të konfigurimit, </w:t>
      </w:r>
      <w:r w:rsidRPr="00E76B69">
        <w:rPr>
          <w:rFonts w:ascii="Garamond" w:hAnsi="Garamond" w:cs="Times New Roman"/>
          <w:i/>
          <w:iCs/>
          <w:color w:val="000000"/>
          <w:sz w:val="24"/>
          <w:szCs w:val="24"/>
        </w:rPr>
        <w:t>roll-out</w:t>
      </w:r>
      <w:r w:rsidRPr="00E76B69">
        <w:rPr>
          <w:rFonts w:ascii="Garamond" w:hAnsi="Garamond" w:cs="Times New Roman"/>
          <w:color w:val="000000"/>
          <w:sz w:val="24"/>
          <w:szCs w:val="24"/>
        </w:rPr>
        <w:t xml:space="preserve"> përfshirë përditësimet, probleme me mirëmbajtjen, gabime të papritura, etj.</w:t>
      </w:r>
    </w:p>
    <w:p w14:paraId="3DF57B4E"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Pamjaftueshmëri e procedurave të brendshme dhe dokumentacionit</w:t>
      </w:r>
      <w:r w:rsidRPr="00E76B69">
        <w:rPr>
          <w:rFonts w:ascii="Garamond" w:hAnsi="Garamond" w:cs="Times New Roman"/>
          <w:color w:val="000000"/>
          <w:sz w:val="24"/>
          <w:szCs w:val="24"/>
        </w:rPr>
        <w:t>: për shembull: mungesa e transparencës në lidhje me funksionalitetin, proceset dhe ndodhjen e mosfunksionimit, mungesa e dokumentacionit, etj.</w:t>
      </w:r>
    </w:p>
    <w:p w14:paraId="0D88361B"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Çështje të rimëkëmbjes</w:t>
      </w:r>
      <w:r w:rsidRPr="00E76B69">
        <w:rPr>
          <w:rFonts w:ascii="Garamond" w:hAnsi="Garamond" w:cs="Times New Roman"/>
          <w:color w:val="000000"/>
          <w:sz w:val="24"/>
          <w:szCs w:val="24"/>
        </w:rPr>
        <w:t xml:space="preserve">: për shembull: administrimi i situatave të emergjencës, masa të pamjaftueshme për krijimin e </w:t>
      </w:r>
      <w:r w:rsidRPr="00E76B69">
        <w:rPr>
          <w:rFonts w:ascii="Garamond" w:hAnsi="Garamond" w:cs="Times New Roman"/>
          <w:i/>
          <w:iCs/>
          <w:color w:val="000000"/>
          <w:sz w:val="24"/>
          <w:szCs w:val="24"/>
        </w:rPr>
        <w:t>backup</w:t>
      </w:r>
      <w:r w:rsidRPr="00E76B69">
        <w:rPr>
          <w:rFonts w:ascii="Garamond" w:hAnsi="Garamond" w:cs="Times New Roman"/>
          <w:color w:val="000000"/>
          <w:sz w:val="24"/>
          <w:szCs w:val="24"/>
        </w:rPr>
        <w:t xml:space="preserve"> (</w:t>
      </w:r>
      <w:r w:rsidRPr="00E76B69">
        <w:rPr>
          <w:rFonts w:ascii="Garamond" w:hAnsi="Garamond" w:cs="Times New Roman"/>
          <w:i/>
          <w:iCs/>
          <w:color w:val="000000"/>
          <w:sz w:val="24"/>
          <w:szCs w:val="24"/>
        </w:rPr>
        <w:t>inadequate redundancy</w:t>
      </w:r>
      <w:r w:rsidRPr="00E76B69">
        <w:rPr>
          <w:rFonts w:ascii="Garamond" w:hAnsi="Garamond" w:cs="Times New Roman"/>
          <w:color w:val="000000"/>
          <w:sz w:val="24"/>
          <w:szCs w:val="24"/>
        </w:rPr>
        <w:t>), etj.</w:t>
      </w:r>
    </w:p>
    <w:p w14:paraId="3D906A53"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Të tjera</w:t>
      </w:r>
      <w:r w:rsidRPr="00E76B69">
        <w:rPr>
          <w:rFonts w:ascii="Garamond" w:hAnsi="Garamond" w:cs="Times New Roman"/>
          <w:color w:val="000000"/>
          <w:sz w:val="24"/>
          <w:szCs w:val="24"/>
        </w:rPr>
        <w:t xml:space="preserve"> (specifikoni): shkaku i incidentit nuk është asnjëri nga të mësipërmit. Shpjegime të mëtejshme duhet të paraqiten në fushën ku teksti është i lirë dhe ofruesi i shërbimeve të pagesave paraqet informacionin e nevojshëm.</w:t>
      </w:r>
    </w:p>
    <w:p w14:paraId="684BB4B0"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Dështimi i sistemeve</w:t>
      </w:r>
      <w:r w:rsidRPr="00E76B69">
        <w:rPr>
          <w:rFonts w:ascii="Garamond" w:hAnsi="Garamond" w:cs="Times New Roman"/>
          <w:color w:val="000000"/>
          <w:sz w:val="24"/>
          <w:szCs w:val="24"/>
        </w:rPr>
        <w:t>: shkaku i incidentit shoqërohet me dizenjim, ekzekutim, përbërës, specifikime, integrim ose kompleksitet jo të përshtatshëm të sistemeve, rrjeteve, infrastrukturave dhe bazave të të dhënave që mbështesin veprimtarinë e pagesave. Këto ndahen në kategoritë e mëposhtme:</w:t>
      </w:r>
    </w:p>
    <w:p w14:paraId="3B5FA92B" w14:textId="3409F5A0"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Dështimi i pajisjeve kompjuterike (</w:t>
      </w:r>
      <w:r w:rsidRPr="00E76B69">
        <w:rPr>
          <w:rFonts w:ascii="Garamond" w:hAnsi="Garamond" w:cs="Times New Roman"/>
          <w:b/>
          <w:bCs/>
          <w:i/>
          <w:iCs/>
          <w:color w:val="000000"/>
          <w:sz w:val="24"/>
          <w:szCs w:val="24"/>
        </w:rPr>
        <w:t>hardware</w:t>
      </w:r>
      <w:r w:rsidRPr="00E76B69">
        <w:rPr>
          <w:rFonts w:ascii="Garamond" w:hAnsi="Garamond" w:cs="Times New Roman"/>
          <w:b/>
          <w:bCs/>
          <w:color w:val="000000"/>
          <w:sz w:val="24"/>
          <w:szCs w:val="24"/>
        </w:rPr>
        <w:t>)</w:t>
      </w:r>
      <w:r w:rsidRPr="00E76B69">
        <w:rPr>
          <w:rFonts w:ascii="Garamond" w:hAnsi="Garamond" w:cs="Times New Roman"/>
          <w:color w:val="000000"/>
          <w:sz w:val="24"/>
          <w:szCs w:val="24"/>
        </w:rPr>
        <w:t>: dështimi i pajisjeve fizike të teknologjisë që drejtojnë procesin dhe/ose ruajnë të dhënat që i nevojiten OSHP-ve për të kryer veprimtarinë e tyre të lidhur me pagesat (p</w:t>
      </w:r>
      <w:r w:rsidR="00BD41B0">
        <w:rPr>
          <w:rFonts w:ascii="Garamond" w:hAnsi="Garamond" w:cs="Times New Roman"/>
          <w:color w:val="000000"/>
          <w:sz w:val="24"/>
          <w:szCs w:val="24"/>
        </w:rPr>
        <w:t>.</w:t>
      </w:r>
      <w:r w:rsidRPr="00E76B69">
        <w:rPr>
          <w:rFonts w:ascii="Garamond" w:hAnsi="Garamond" w:cs="Times New Roman"/>
          <w:color w:val="000000"/>
          <w:sz w:val="24"/>
          <w:szCs w:val="24"/>
        </w:rPr>
        <w:t>sh. dështimi i disqeve të ngurtë (</w:t>
      </w:r>
      <w:r w:rsidRPr="00E76B69">
        <w:rPr>
          <w:rFonts w:ascii="Garamond" w:hAnsi="Garamond" w:cs="Times New Roman"/>
          <w:i/>
          <w:iCs/>
          <w:color w:val="000000"/>
          <w:sz w:val="24"/>
          <w:szCs w:val="24"/>
        </w:rPr>
        <w:t>hard drives</w:t>
      </w:r>
      <w:r w:rsidRPr="00E76B69">
        <w:rPr>
          <w:rFonts w:ascii="Garamond" w:hAnsi="Garamond" w:cs="Times New Roman"/>
          <w:color w:val="000000"/>
          <w:sz w:val="24"/>
          <w:szCs w:val="24"/>
        </w:rPr>
        <w:t>), qendrave të të dhënave, infrastrukturave të tjera, etj.).</w:t>
      </w:r>
    </w:p>
    <w:p w14:paraId="5FE9994E"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Dështimi i rrjeteve</w:t>
      </w:r>
      <w:r w:rsidRPr="00E76B69">
        <w:rPr>
          <w:rFonts w:ascii="Garamond" w:hAnsi="Garamond" w:cs="Times New Roman"/>
          <w:color w:val="000000"/>
          <w:sz w:val="24"/>
          <w:szCs w:val="24"/>
        </w:rPr>
        <w:t>: dështimi i rrjeteve publike ose private të telekomunikacionit, që lejojnë shkëmbimin e të dhënave dhe të informacionit (p.sh. nëpërmjet internetit), gjatë procesit të ekzekutimit të pagesës.</w:t>
      </w:r>
    </w:p>
    <w:p w14:paraId="1FAB3881"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Çështje të bazës së të dhënave</w:t>
      </w:r>
      <w:r w:rsidRPr="00E76B69">
        <w:rPr>
          <w:rFonts w:ascii="Garamond" w:hAnsi="Garamond" w:cs="Times New Roman"/>
          <w:color w:val="000000"/>
          <w:sz w:val="24"/>
          <w:szCs w:val="24"/>
        </w:rPr>
        <w:t>: struktura e të dhënave që ruan informacionin personal dhe atë të lidhur me kryerjen e pagesave, që nevojitet për ekzekutimin e transaksioneve të pagesave.</w:t>
      </w:r>
    </w:p>
    <w:p w14:paraId="06A36750"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Dështimi i programeve kompjuterike/aplikacioneve</w:t>
      </w:r>
      <w:r w:rsidRPr="00E76B69">
        <w:rPr>
          <w:rFonts w:ascii="Garamond" w:hAnsi="Garamond" w:cs="Times New Roman"/>
          <w:color w:val="000000"/>
          <w:sz w:val="24"/>
          <w:szCs w:val="24"/>
        </w:rPr>
        <w:t>: dështimi i programeve, sistemeve të operimit, etj. që mbështetin ofrimin e shërbimeve të pagesave nga ofruesit e shërbimeve të pagesave (për shembull: keqfunksionimi, funksionet e panjohura).</w:t>
      </w:r>
    </w:p>
    <w:p w14:paraId="45BF0F40"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Dëmtimi fizik</w:t>
      </w:r>
      <w:r w:rsidRPr="00E76B69">
        <w:rPr>
          <w:rFonts w:ascii="Garamond" w:hAnsi="Garamond" w:cs="Times New Roman"/>
          <w:color w:val="000000"/>
          <w:sz w:val="24"/>
          <w:szCs w:val="24"/>
        </w:rPr>
        <w:t>: për shembull: dëmtime të paqëllimshme të shkaktuara nga kushte të papërshtatshme, punë ndërtimore, etj.</w:t>
      </w:r>
    </w:p>
    <w:p w14:paraId="4DB8E403"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Të tjera</w:t>
      </w:r>
      <w:r w:rsidRPr="00E76B69">
        <w:rPr>
          <w:rFonts w:ascii="Garamond" w:hAnsi="Garamond" w:cs="Times New Roman"/>
          <w:color w:val="000000"/>
          <w:sz w:val="24"/>
          <w:szCs w:val="24"/>
        </w:rPr>
        <w:t xml:space="preserve"> (specifikoni): shkaku i incidentit nuk është asnjëri nga të mësipërmit. Shpjegime të mëtejshme duhet të paraqiten në fushën ku teksti është i lirë dhe ofruesi i shërbimeve të pagesave paraqet informacionin e nevojshëm.</w:t>
      </w:r>
    </w:p>
    <w:p w14:paraId="49103828"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Gabimet njerëzore</w:t>
      </w:r>
      <w:r w:rsidRPr="00E76B69">
        <w:rPr>
          <w:rFonts w:ascii="Garamond" w:hAnsi="Garamond" w:cs="Times New Roman"/>
          <w:color w:val="000000"/>
          <w:sz w:val="24"/>
          <w:szCs w:val="24"/>
        </w:rPr>
        <w:t>: incidenti është shkaktuar nga gabimi i paqëllimtë i një personi, qoftë si pjesë e procedurës së pagesës (p.sh. ngarkimi i skedarit të gabuar të grupeve të pagesave në sistemin e pagesave) ose i lidhur disi me procedurën e pagesës (p.sh. energjia elektrike ndërpritet aksidentalisht dhe aktiviteti i pagesës qëndron në pritje për t’u ekzekutuar). Këto ndahen në kategoritë e mëposhtme:</w:t>
      </w:r>
    </w:p>
    <w:p w14:paraId="0E47340C"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I paqëllimshëm</w:t>
      </w:r>
      <w:r w:rsidRPr="00E76B69">
        <w:rPr>
          <w:rFonts w:ascii="Garamond" w:hAnsi="Garamond" w:cs="Times New Roman"/>
          <w:color w:val="000000"/>
          <w:sz w:val="24"/>
          <w:szCs w:val="24"/>
        </w:rPr>
        <w:t>: për shembull: gabime, harresa, mungesa e eksperiencës dhe e njohurive.</w:t>
      </w:r>
    </w:p>
    <w:p w14:paraId="5CA457D8"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Mosveprim</w:t>
      </w:r>
      <w:r w:rsidRPr="00E76B69">
        <w:rPr>
          <w:rFonts w:ascii="Garamond" w:hAnsi="Garamond" w:cs="Times New Roman"/>
          <w:color w:val="000000"/>
          <w:sz w:val="24"/>
          <w:szCs w:val="24"/>
        </w:rPr>
        <w:t>: për shembull për shkak të mungesës së aftësive, njohurive, eksperiencës, informimit, etj.</w:t>
      </w:r>
    </w:p>
    <w:p w14:paraId="27CAEF1C"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Burime të pamjaftueshme</w:t>
      </w:r>
      <w:r w:rsidRPr="00E76B69">
        <w:rPr>
          <w:rFonts w:ascii="Garamond" w:hAnsi="Garamond" w:cs="Times New Roman"/>
          <w:color w:val="000000"/>
          <w:sz w:val="24"/>
          <w:szCs w:val="24"/>
        </w:rPr>
        <w:t>: për shembull: mungesa e burimeve njerëzore, disponueshmëria e stafit, etj.</w:t>
      </w:r>
    </w:p>
    <w:p w14:paraId="2F43BF64"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Të tjera</w:t>
      </w:r>
      <w:r w:rsidRPr="00E76B69">
        <w:rPr>
          <w:rFonts w:ascii="Garamond" w:hAnsi="Garamond" w:cs="Times New Roman"/>
          <w:color w:val="000000"/>
          <w:sz w:val="24"/>
          <w:szCs w:val="24"/>
        </w:rPr>
        <w:t xml:space="preserve"> (specifikoni): shkaku i incidentit nuk është asnjëri nga të mësipërmit. Shpjegime të mëtejshme duhet të paraqiten në fushën ku teksti është i lirë dhe ofruesi i shërbimeve të pagesave paraqet informacionin e nevojshëm.</w:t>
      </w:r>
    </w:p>
    <w:p w14:paraId="55123E56"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Ngjarje të jashtme</w:t>
      </w:r>
      <w:r w:rsidRPr="00E76B69">
        <w:rPr>
          <w:rFonts w:ascii="Garamond" w:hAnsi="Garamond" w:cs="Times New Roman"/>
          <w:color w:val="000000"/>
          <w:sz w:val="24"/>
          <w:szCs w:val="24"/>
        </w:rPr>
        <w:t>: shkaku i incidentit lidhet me ngjarje që janë përgjithësisht jashtë kontrollit të ofruesit të shërbimeve të pagesave. Këto ndahen në kategoritë e mëposhtme:</w:t>
      </w:r>
    </w:p>
    <w:p w14:paraId="37EE4F5F"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Dështimi i një furnitori/ofruesi të shërbimeve teknike</w:t>
      </w:r>
      <w:r w:rsidRPr="00E76B69">
        <w:rPr>
          <w:rFonts w:ascii="Garamond" w:hAnsi="Garamond" w:cs="Times New Roman"/>
          <w:color w:val="000000"/>
          <w:sz w:val="24"/>
          <w:szCs w:val="24"/>
        </w:rPr>
        <w:t>: për shembull: ndërprerja e energjisë elektrike, ndërprerja e internetit, çështje ligjore, çështje biznesi, varësitë në kryerjen e shërbimeve, etj.</w:t>
      </w:r>
    </w:p>
    <w:p w14:paraId="4C67B917" w14:textId="6FFB74E0"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Forca madhore</w:t>
      </w:r>
      <w:r w:rsidRPr="00E76B69">
        <w:rPr>
          <w:rFonts w:ascii="Garamond" w:hAnsi="Garamond" w:cs="Times New Roman"/>
          <w:color w:val="000000"/>
          <w:sz w:val="24"/>
          <w:szCs w:val="24"/>
        </w:rPr>
        <w:t>: për shembull: ndërprerja e energjisë elektrike, zjarret, shkaqe natyrore të tilla si</w:t>
      </w:r>
      <w:r w:rsidR="00BD41B0">
        <w:rPr>
          <w:rFonts w:ascii="Garamond" w:hAnsi="Garamond" w:cs="Times New Roman"/>
          <w:color w:val="000000"/>
          <w:sz w:val="24"/>
          <w:szCs w:val="24"/>
        </w:rPr>
        <w:t>:</w:t>
      </w:r>
      <w:r w:rsidRPr="00E76B69">
        <w:rPr>
          <w:rFonts w:ascii="Garamond" w:hAnsi="Garamond" w:cs="Times New Roman"/>
          <w:color w:val="000000"/>
          <w:sz w:val="24"/>
          <w:szCs w:val="24"/>
        </w:rPr>
        <w:t xml:space="preserve"> tërmeti, përmbytjet, reshje të dendura, erë e fortë, etj.</w:t>
      </w:r>
    </w:p>
    <w:p w14:paraId="42348F6E"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Të tjera</w:t>
      </w:r>
      <w:r w:rsidRPr="00E76B69">
        <w:rPr>
          <w:rFonts w:ascii="Garamond" w:hAnsi="Garamond" w:cs="Times New Roman"/>
          <w:color w:val="000000"/>
          <w:sz w:val="24"/>
          <w:szCs w:val="24"/>
        </w:rPr>
        <w:t xml:space="preserve"> (specifikoni): shkaku i incidentit nuk është asnjëri nga të mësipërmit. Shpjegime të mëtejshme duhet të paraqiten në fushën ku teksti është i lirë dhe ofruesi i shërbimeve të pagesave paraqet informacionin e nevojshëm.</w:t>
      </w:r>
    </w:p>
    <w:p w14:paraId="756F5443"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E76B69">
        <w:rPr>
          <w:rFonts w:ascii="Garamond" w:hAnsi="Garamond" w:cs="Times New Roman"/>
          <w:b/>
          <w:bCs/>
          <w:color w:val="000000"/>
          <w:sz w:val="24"/>
          <w:szCs w:val="24"/>
        </w:rPr>
        <w:t>Të tjera</w:t>
      </w:r>
      <w:r w:rsidRPr="00E76B69">
        <w:rPr>
          <w:rFonts w:ascii="Garamond" w:hAnsi="Garamond" w:cs="Times New Roman"/>
          <w:color w:val="000000"/>
          <w:sz w:val="24"/>
          <w:szCs w:val="24"/>
        </w:rPr>
        <w:t xml:space="preserve"> (specifikoni): shkaku i incidentit nuk është asnjëri nga të mësipërmit. Shpjegime të mëtejshme duhet të paraqiten në fushën ku teksti është i lirë dhe ofruesi i shërbimeve të pagesave paraqet informacionin e nevojshëm.</w:t>
      </w:r>
    </w:p>
    <w:p w14:paraId="4B007E5B"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color w:val="000000"/>
          <w:sz w:val="24"/>
          <w:szCs w:val="24"/>
        </w:rPr>
      </w:pPr>
      <w:r w:rsidRPr="00BD41B0">
        <w:rPr>
          <w:rFonts w:ascii="Garamond" w:hAnsi="Garamond" w:cs="Times New Roman"/>
          <w:b/>
          <w:bCs/>
          <w:color w:val="000000"/>
          <w:sz w:val="24"/>
          <w:szCs w:val="24"/>
        </w:rPr>
        <w:t>Informacion tjetër i lidhur me shkakun bazë të incidentit</w:t>
      </w:r>
      <w:r w:rsidRPr="00E76B69">
        <w:rPr>
          <w:rFonts w:ascii="Garamond" w:hAnsi="Garamond" w:cs="Times New Roman"/>
          <w:color w:val="000000"/>
          <w:sz w:val="24"/>
          <w:szCs w:val="24"/>
        </w:rPr>
        <w:t>: Ju lutemi, paraqisni çdo informacion shtesë mbi shkakun bazë të incidentit, përfshirë edhe konkluzionet paraprake të nxjerra nga analiza e shkakut bazë të incidentit.</w:t>
      </w:r>
    </w:p>
    <w:p w14:paraId="6CFC582D"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BD41B0">
        <w:rPr>
          <w:rFonts w:ascii="Garamond" w:hAnsi="Garamond" w:cs="Times New Roman"/>
          <w:b/>
          <w:bCs/>
          <w:color w:val="000000"/>
          <w:sz w:val="24"/>
          <w:szCs w:val="24"/>
        </w:rPr>
        <w:t>Veprimet/masat kryesore korrigjuese të marra ose të planifikuara, për të parandaluar përsëritjen e incidentit në të ardhmen, nëse njihen</w:t>
      </w:r>
      <w:r w:rsidRPr="00E76B69">
        <w:rPr>
          <w:rFonts w:ascii="Garamond" w:hAnsi="Garamond" w:cs="Times New Roman"/>
          <w:color w:val="000000"/>
          <w:sz w:val="24"/>
          <w:szCs w:val="24"/>
        </w:rPr>
        <w:t>: Ju lutemi, përshkruani veprimet kryesore që janë ndërmarrë ose janë planifikuar të ndërmerren për të parandaluar një përsëritje të incidentit në të ardhmen.</w:t>
      </w:r>
    </w:p>
    <w:p w14:paraId="27CF9E80"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i/>
          <w:iCs/>
          <w:color w:val="000000"/>
          <w:sz w:val="24"/>
          <w:szCs w:val="24"/>
        </w:rPr>
      </w:pPr>
      <w:r w:rsidRPr="00E76B69">
        <w:rPr>
          <w:rFonts w:ascii="Garamond" w:hAnsi="Garamond" w:cs="Times New Roman"/>
          <w:b/>
          <w:bCs/>
          <w:i/>
          <w:iCs/>
          <w:color w:val="000000"/>
          <w:sz w:val="24"/>
          <w:szCs w:val="24"/>
        </w:rPr>
        <w:t>C3 - Informacion shtesë</w:t>
      </w:r>
    </w:p>
    <w:p w14:paraId="63005A8E"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BD41B0">
        <w:rPr>
          <w:rFonts w:ascii="Garamond" w:hAnsi="Garamond" w:cs="Times New Roman"/>
          <w:b/>
          <w:bCs/>
          <w:color w:val="000000"/>
          <w:sz w:val="24"/>
          <w:szCs w:val="24"/>
        </w:rPr>
        <w:t>A është shkëmbyer informacion mbi incidentin me OSHP-të e tjera për qëllime informacioni</w:t>
      </w:r>
      <w:r w:rsidRPr="00BD41B0">
        <w:rPr>
          <w:rFonts w:ascii="Garamond" w:hAnsi="Garamond" w:cs="Times New Roman"/>
          <w:color w:val="000000"/>
          <w:sz w:val="24"/>
          <w:szCs w:val="24"/>
        </w:rPr>
        <w:t>? Ju lutemi, paraqisni n</w:t>
      </w:r>
      <w:r w:rsidRPr="00E76B69">
        <w:rPr>
          <w:rFonts w:ascii="Garamond" w:hAnsi="Garamond" w:cs="Times New Roman"/>
          <w:color w:val="000000"/>
          <w:sz w:val="24"/>
          <w:szCs w:val="24"/>
        </w:rPr>
        <w:t>jë përmbledhje se cilët OSHP janë njoftuar në mënyrë formale ose informale mbi incidentin, duke paraqitur detaje mbi OSHP-të që janë informuar mbi incidentin, informacionin që iu është vënë në dispozicion, si dhe arsyet e shkëmbimit të këtij informacioni.</w:t>
      </w:r>
    </w:p>
    <w:p w14:paraId="1F9EF36C"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color w:val="000000"/>
          <w:sz w:val="24"/>
          <w:szCs w:val="24"/>
        </w:rPr>
      </w:pPr>
      <w:r w:rsidRPr="00BD41B0">
        <w:rPr>
          <w:rFonts w:ascii="Garamond" w:hAnsi="Garamond" w:cs="Times New Roman"/>
          <w:b/>
          <w:bCs/>
          <w:color w:val="000000"/>
          <w:sz w:val="24"/>
          <w:szCs w:val="24"/>
        </w:rPr>
        <w:t>A është ndërmarrë ndonjë veprim ligjor kundër OSHP</w:t>
      </w:r>
      <w:r w:rsidRPr="00BD41B0">
        <w:rPr>
          <w:rFonts w:ascii="Garamond" w:hAnsi="Garamond" w:cs="Times New Roman"/>
          <w:color w:val="000000"/>
          <w:sz w:val="24"/>
          <w:szCs w:val="24"/>
        </w:rPr>
        <w:t>? Ju</w:t>
      </w:r>
      <w:r w:rsidRPr="00E76B69">
        <w:rPr>
          <w:rFonts w:ascii="Garamond" w:hAnsi="Garamond" w:cs="Times New Roman"/>
          <w:color w:val="000000"/>
          <w:sz w:val="24"/>
          <w:szCs w:val="24"/>
        </w:rPr>
        <w:t xml:space="preserve"> lutemi, tregoni nëse në kohën e plotësimit të raportit përfundimtar, OSHP-ja ka pësuar ndonjë veprim ligjor (p.sh. është dërguar në gjykatë ose ka humbur licencën e tij), si rezultat i incidentit.</w:t>
      </w:r>
    </w:p>
    <w:p w14:paraId="2FED370C" w14:textId="77777777" w:rsidR="008921A4" w:rsidRPr="00E76B69" w:rsidRDefault="008921A4" w:rsidP="00D023FD">
      <w:pPr>
        <w:widowControl w:val="0"/>
        <w:autoSpaceDE w:val="0"/>
        <w:autoSpaceDN w:val="0"/>
        <w:adjustRightInd w:val="0"/>
        <w:spacing w:after="0" w:line="240" w:lineRule="auto"/>
        <w:ind w:firstLine="284"/>
        <w:jc w:val="both"/>
        <w:rPr>
          <w:rFonts w:ascii="Garamond" w:hAnsi="Garamond" w:cs="Times New Roman"/>
          <w:b/>
          <w:bCs/>
          <w:color w:val="000000"/>
          <w:sz w:val="24"/>
          <w:szCs w:val="24"/>
        </w:rPr>
      </w:pPr>
      <w:r w:rsidRPr="00BD41B0">
        <w:rPr>
          <w:rFonts w:ascii="Garamond" w:hAnsi="Garamond" w:cs="Times New Roman"/>
          <w:b/>
          <w:bCs/>
          <w:color w:val="000000"/>
          <w:sz w:val="24"/>
          <w:szCs w:val="24"/>
        </w:rPr>
        <w:t>Vlerësimi i efektivitetit të masave të marra</w:t>
      </w:r>
      <w:r w:rsidRPr="00E76B69">
        <w:rPr>
          <w:rFonts w:ascii="Garamond" w:hAnsi="Garamond" w:cs="Times New Roman"/>
          <w:color w:val="000000"/>
          <w:sz w:val="24"/>
          <w:szCs w:val="24"/>
        </w:rPr>
        <w:t>: Ju lutemi paraqisni, ku është e mundur, një vetëvlerësim të efektivitetit të masave të marra gjatë kohëzgjatjes së incidentit, përfshirë edhe mësimet e nxjerra nga incidenti.</w:t>
      </w:r>
    </w:p>
    <w:p w14:paraId="3A65A5C5" w14:textId="77777777" w:rsidR="003C3138" w:rsidRPr="00E76B69" w:rsidRDefault="00D023FD" w:rsidP="00D023FD">
      <w:pPr>
        <w:widowControl w:val="0"/>
        <w:autoSpaceDE w:val="0"/>
        <w:autoSpaceDN w:val="0"/>
        <w:adjustRightInd w:val="0"/>
        <w:spacing w:after="0" w:line="240" w:lineRule="auto"/>
        <w:ind w:firstLine="284"/>
        <w:jc w:val="both"/>
        <w:rPr>
          <w:rFonts w:ascii="Garamond" w:hAnsi="Garamond"/>
          <w:sz w:val="24"/>
          <w:szCs w:val="24"/>
        </w:rPr>
      </w:pPr>
      <w:r w:rsidRPr="00E76B69">
        <w:rPr>
          <w:rFonts w:ascii="Garamond" w:hAnsi="Garamond" w:cs="Times New Roman"/>
          <w:b/>
          <w:bCs/>
          <w:color w:val="000000"/>
          <w:sz w:val="24"/>
          <w:szCs w:val="24"/>
        </w:rPr>
        <w:t xml:space="preserve"> </w:t>
      </w:r>
    </w:p>
    <w:sectPr w:rsidR="003C3138" w:rsidRPr="00E76B69" w:rsidSect="00635FDC">
      <w:pgSz w:w="11907" w:h="16840" w:code="9"/>
      <w:pgMar w:top="1418" w:right="1418" w:bottom="1418" w:left="1418" w:header="1304" w:footer="1134"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F4A7D" w14:textId="77777777" w:rsidR="0006279A" w:rsidRDefault="0006279A" w:rsidP="00635FDC">
      <w:pPr>
        <w:spacing w:after="0" w:line="240" w:lineRule="auto"/>
      </w:pPr>
      <w:r>
        <w:separator/>
      </w:r>
    </w:p>
  </w:endnote>
  <w:endnote w:type="continuationSeparator" w:id="0">
    <w:p w14:paraId="37D6EA72" w14:textId="77777777" w:rsidR="0006279A" w:rsidRDefault="0006279A" w:rsidP="00635FDC">
      <w:pPr>
        <w:spacing w:after="0" w:line="240" w:lineRule="auto"/>
      </w:pPr>
      <w:r>
        <w:continuationSeparator/>
      </w:r>
    </w:p>
  </w:endnote>
  <w:endnote w:type="continuationNotice" w:id="1">
    <w:p w14:paraId="7DF047CB" w14:textId="77777777" w:rsidR="0006279A" w:rsidRDefault="000627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90469" w14:textId="77777777" w:rsidR="0006279A" w:rsidRDefault="0006279A" w:rsidP="00635FDC">
      <w:pPr>
        <w:spacing w:after="0" w:line="240" w:lineRule="auto"/>
      </w:pPr>
      <w:r>
        <w:separator/>
      </w:r>
    </w:p>
  </w:footnote>
  <w:footnote w:type="continuationSeparator" w:id="0">
    <w:p w14:paraId="6F3AA44E" w14:textId="77777777" w:rsidR="0006279A" w:rsidRDefault="0006279A" w:rsidP="00635FDC">
      <w:pPr>
        <w:spacing w:after="0" w:line="240" w:lineRule="auto"/>
      </w:pPr>
      <w:r>
        <w:continuationSeparator/>
      </w:r>
    </w:p>
  </w:footnote>
  <w:footnote w:type="continuationNotice" w:id="1">
    <w:p w14:paraId="15B4DDC9" w14:textId="77777777" w:rsidR="0006279A" w:rsidRDefault="0006279A">
      <w:pPr>
        <w:spacing w:after="0" w:line="240" w:lineRule="auto"/>
      </w:pPr>
    </w:p>
  </w:footnote>
  <w:footnote w:id="2">
    <w:p w14:paraId="13EAB168" w14:textId="77777777" w:rsidR="0006279A" w:rsidRPr="00635FDC" w:rsidRDefault="0006279A" w:rsidP="00635FDC">
      <w:pPr>
        <w:pStyle w:val="FootnoteText"/>
        <w:spacing w:after="0" w:line="240" w:lineRule="auto"/>
        <w:jc w:val="both"/>
        <w:rPr>
          <w:rFonts w:ascii="Garamond" w:hAnsi="Garamond"/>
        </w:rPr>
      </w:pPr>
      <w:r w:rsidRPr="00635FDC">
        <w:rPr>
          <w:rStyle w:val="FootnoteReference"/>
          <w:rFonts w:ascii="Garamond" w:hAnsi="Garamond"/>
        </w:rPr>
        <w:footnoteRef/>
      </w:r>
      <w:r w:rsidRPr="00635FDC">
        <w:rPr>
          <w:rFonts w:ascii="Garamond" w:hAnsi="Garamond"/>
        </w:rPr>
        <w:t xml:space="preserve"> Kufiri në lidhje me kohëzgjatjen e incidentit për një periudhë më të gjatë se një orë zbatohet vetëm për incidentet operacionale që ndikojnë në aftësinë e ofruesit të shërbimeve të pagesave për të iniciuar dhe/ose procesuar transaksione.</w:t>
      </w:r>
    </w:p>
  </w:footnote>
  <w:footnote w:id="3">
    <w:p w14:paraId="2DA49642" w14:textId="4D17BC2A" w:rsidR="0006279A" w:rsidRPr="00635FDC" w:rsidRDefault="0006279A" w:rsidP="00635FDC">
      <w:pPr>
        <w:pStyle w:val="FootnoteText"/>
        <w:spacing w:after="0" w:line="240" w:lineRule="auto"/>
        <w:jc w:val="both"/>
        <w:rPr>
          <w:rFonts w:ascii="Garamond" w:hAnsi="Garamond"/>
        </w:rPr>
      </w:pPr>
      <w:r w:rsidRPr="00635FDC">
        <w:rPr>
          <w:rStyle w:val="FootnoteReference"/>
          <w:rFonts w:ascii="Garamond" w:hAnsi="Garamond"/>
        </w:rPr>
        <w:footnoteRef/>
      </w:r>
      <w:r w:rsidRPr="00635FDC">
        <w:rPr>
          <w:rFonts w:ascii="Garamond" w:hAnsi="Garamond"/>
        </w:rPr>
        <w:t xml:space="preserve"> Kapitali i nivelit 1, siç përcaktohet në rregulloren nr.</w:t>
      </w:r>
      <w:r>
        <w:rPr>
          <w:rFonts w:ascii="Garamond" w:hAnsi="Garamond"/>
        </w:rPr>
        <w:t xml:space="preserve"> </w:t>
      </w:r>
      <w:r w:rsidRPr="00635FDC">
        <w:rPr>
          <w:rFonts w:ascii="Garamond" w:hAnsi="Garamond"/>
        </w:rPr>
        <w:t>69/2014</w:t>
      </w:r>
      <w:r>
        <w:rPr>
          <w:rFonts w:ascii="Garamond" w:hAnsi="Garamond"/>
        </w:rPr>
        <w:t>,</w:t>
      </w:r>
      <w:r w:rsidRPr="00635FDC">
        <w:rPr>
          <w:rFonts w:ascii="Garamond" w:hAnsi="Garamond"/>
        </w:rPr>
        <w:t xml:space="preserve"> “Për kapitalin rregullator të bankës”.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1A4"/>
    <w:rsid w:val="00015DB6"/>
    <w:rsid w:val="0006279A"/>
    <w:rsid w:val="000B6756"/>
    <w:rsid w:val="00122FA3"/>
    <w:rsid w:val="00152A61"/>
    <w:rsid w:val="001836AE"/>
    <w:rsid w:val="00263F70"/>
    <w:rsid w:val="002C3D59"/>
    <w:rsid w:val="003B5DEA"/>
    <w:rsid w:val="003C3138"/>
    <w:rsid w:val="004068B0"/>
    <w:rsid w:val="00460908"/>
    <w:rsid w:val="005931EC"/>
    <w:rsid w:val="005B41BE"/>
    <w:rsid w:val="00635FDC"/>
    <w:rsid w:val="00760441"/>
    <w:rsid w:val="007753D0"/>
    <w:rsid w:val="007D39B1"/>
    <w:rsid w:val="008921A4"/>
    <w:rsid w:val="0094084D"/>
    <w:rsid w:val="00AB6C30"/>
    <w:rsid w:val="00B8686C"/>
    <w:rsid w:val="00BB2C55"/>
    <w:rsid w:val="00BD41B0"/>
    <w:rsid w:val="00C213F4"/>
    <w:rsid w:val="00C85813"/>
    <w:rsid w:val="00D023FD"/>
    <w:rsid w:val="00D2736B"/>
    <w:rsid w:val="00DF3EE9"/>
    <w:rsid w:val="00E76B69"/>
    <w:rsid w:val="00E82EF5"/>
    <w:rsid w:val="00E965C4"/>
    <w:rsid w:val="00F13A70"/>
    <w:rsid w:val="00F85D58"/>
    <w:rsid w:val="00FE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DBAE4"/>
  <w15:chartTrackingRefBased/>
  <w15:docId w15:val="{DDA0401B-96DB-45B8-9FF4-8AA5ECF9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921A4"/>
    <w:pPr>
      <w:autoSpaceDE w:val="0"/>
      <w:autoSpaceDN w:val="0"/>
      <w:adjustRightInd w:val="0"/>
      <w:spacing w:after="160" w:line="258" w:lineRule="atLeast"/>
    </w:pPr>
    <w:rPr>
      <w:rFonts w:ascii="Times New Roman" w:hAnsi="Times New Roman" w:cs="Times New Roman"/>
      <w:color w:val="000000"/>
      <w:sz w:val="20"/>
      <w:szCs w:val="20"/>
    </w:rPr>
  </w:style>
  <w:style w:type="character" w:customStyle="1" w:styleId="FootnoteTextChar">
    <w:name w:val="Footnote Text Char"/>
    <w:basedOn w:val="DefaultParagraphFont"/>
    <w:link w:val="FootnoteText"/>
    <w:uiPriority w:val="99"/>
    <w:rsid w:val="008921A4"/>
    <w:rPr>
      <w:rFonts w:ascii="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635FDC"/>
    <w:rPr>
      <w:vertAlign w:val="superscript"/>
    </w:rPr>
  </w:style>
  <w:style w:type="table" w:styleId="TableGrid">
    <w:name w:val="Table Grid"/>
    <w:basedOn w:val="TableNormal"/>
    <w:uiPriority w:val="59"/>
    <w:unhideWhenUsed/>
    <w:rsid w:val="00635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53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3D0"/>
  </w:style>
  <w:style w:type="paragraph" w:styleId="Footer">
    <w:name w:val="footer"/>
    <w:basedOn w:val="Normal"/>
    <w:link w:val="FooterChar"/>
    <w:uiPriority w:val="99"/>
    <w:unhideWhenUsed/>
    <w:rsid w:val="007753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emf"/><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BAE54EA08CF74FE6897330FD0228F3C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Nr_x002e__x0020_akti>
    <Data_x0020_e_x0020_Krijimit xmlns="0e656187-b300-4fb0-8bf4-3a50f872073c">2024-02-15T10:55:53Z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2024-02-14T00:00:00Z</Date_x0020_protokolli>
    <Titulli xmlns="0e656187-b300-4fb0-8bf4-3a50f872073c">Për miratimin e udhëzimit për raportimin e incidenteve madhore</Titulli>
    <Modifikuesi xmlns="0e656187-b300-4fb0-8bf4-3a50f872073c">Fjora.Cahani</Modifikuesi>
    <Nr_x002e__x0020_prot_x0020_QBZ xmlns="0e656187-b300-4fb0-8bf4-3a50f872073c">276/1</Nr_x002e__x0020_prot_x0020_QBZ>
    <Data_x0020_e_x0020_Modifikimit xmlns="0e656187-b300-4fb0-8bf4-3a50f872073c">2024-02-19T11:30:35Z</Data_x0020_e_x0020_Modifikimit>
    <Dekretuar xmlns="0e656187-b300-4fb0-8bf4-3a50f872073c">false</Dekretuar>
    <Data xmlns="0e656187-b300-4fb0-8bf4-3a50f872073c">2024-02-07T00:00:00Z</Data>
    <Nr_x002e__x0020_protokolli_x0020_i_x0020_aktit xmlns="0e656187-b300-4fb0-8bf4-3a50f872073c">737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BAE54EA08CF74FE6897330FD0228F3C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93BDD-C8EF-48BE-99F8-DA4D640B6CD0}">
  <ds:schemaRefs>
    <ds:schemaRef ds:uri="http://schemas.microsoft.com/sharepoint/v3/contenttype/forms"/>
  </ds:schemaRefs>
</ds:datastoreItem>
</file>

<file path=customXml/itemProps2.xml><?xml version="1.0" encoding="utf-8"?>
<ds:datastoreItem xmlns:ds="http://schemas.openxmlformats.org/officeDocument/2006/customXml" ds:itemID="{4C92255A-3D07-496A-BAEA-1F3BD5AEE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CB6BEE5-71F2-49EA-8D43-899ED932034A}">
  <ds:schemaRefs>
    <ds:schemaRef ds:uri="http://www.w3.org/XML/1998/namespace"/>
    <ds:schemaRef ds:uri="http://purl.org/dc/dcmitype/"/>
    <ds:schemaRef ds:uri="http://schemas.microsoft.com/office/2006/metadata/properties"/>
    <ds:schemaRef ds:uri="http://purl.org/dc/elements/1.1/"/>
    <ds:schemaRef ds:uri="http://schemas.openxmlformats.org/package/2006/metadata/core-properties"/>
    <ds:schemaRef ds:uri="http://purl.org/dc/terms/"/>
    <ds:schemaRef ds:uri="http://schemas.microsoft.com/office/2006/documentManagement/types"/>
    <ds:schemaRef ds:uri="0e656187-b300-4fb0-8bf4-3a50f872073c"/>
  </ds:schemaRefs>
</ds:datastoreItem>
</file>

<file path=customXml/itemProps4.xml><?xml version="1.0" encoding="utf-8"?>
<ds:datastoreItem xmlns:ds="http://schemas.openxmlformats.org/officeDocument/2006/customXml" ds:itemID="{0562BC12-E68A-42CF-80EB-ECBEF1561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A03F729-55A4-4771-8E90-B9061E73BB05}">
  <ds:schemaRefs>
    <ds:schemaRef ds:uri="http://schemas.microsoft.com/sharepoint/v3/contenttype/forms"/>
  </ds:schemaRefs>
</ds:datastoreItem>
</file>

<file path=customXml/itemProps6.xml><?xml version="1.0" encoding="utf-8"?>
<ds:datastoreItem xmlns:ds="http://schemas.openxmlformats.org/officeDocument/2006/customXml" ds:itemID="{BE6A94F1-DD27-47B7-8BC4-56ECAA18E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22</Pages>
  <Words>11629</Words>
  <Characters>66287</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Për miratimin e udhëzimit për raportimin e incidenteve madhore</vt:lpstr>
    </vt:vector>
  </TitlesOfParts>
  <Company/>
  <LinksUpToDate>false</LinksUpToDate>
  <CharactersWithSpaces>77761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udhëzimit për raportimin e incidenteve madhore</dc:title>
  <dc:creator>Nevila Samarxhi</dc:creator>
  <cp:lastModifiedBy>Entela Suli</cp:lastModifiedBy>
  <cp:revision>13</cp:revision>
  <dcterms:created xsi:type="dcterms:W3CDTF">2024-02-15T10:48:00Z</dcterms:created>
  <dcterms:modified xsi:type="dcterms:W3CDTF">2024-02-19T12:21:00Z</dcterms:modified>
</cp:coreProperties>
</file>