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27C30" w14:textId="77777777" w:rsidR="008659B4" w:rsidRPr="00980028" w:rsidRDefault="008659B4" w:rsidP="008659B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sz w:val="24"/>
          <w:szCs w:val="24"/>
          <w:lang w:val="sq-AL"/>
        </w:rPr>
        <w:t>VENDIM</w:t>
      </w:r>
    </w:p>
    <w:p w14:paraId="2862FDCD" w14:textId="77777777" w:rsidR="008659B4" w:rsidRPr="00980028" w:rsidRDefault="008659B4" w:rsidP="008659B4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sz w:val="24"/>
          <w:szCs w:val="24"/>
          <w:lang w:val="sq-AL"/>
        </w:rPr>
        <w:t>Nr. 29, datë 8</w:t>
      </w:r>
      <w:r w:rsidRPr="00980028">
        <w:rPr>
          <w:rFonts w:ascii="Garamond" w:hAnsi="Garamond"/>
          <w:b/>
          <w:bCs/>
          <w:sz w:val="24"/>
          <w:szCs w:val="24"/>
          <w:lang w:val="sq-AL"/>
        </w:rPr>
        <w:t>.</w:t>
      </w:r>
      <w:r w:rsidRPr="00980028">
        <w:rPr>
          <w:rFonts w:ascii="Garamond" w:hAnsi="Garamond" w:cs="Times New Roman"/>
          <w:b/>
          <w:bCs/>
          <w:sz w:val="24"/>
          <w:szCs w:val="24"/>
          <w:lang w:val="sq-AL"/>
        </w:rPr>
        <w:t>5</w:t>
      </w:r>
      <w:r w:rsidRPr="00980028">
        <w:rPr>
          <w:rFonts w:ascii="Garamond" w:hAnsi="Garamond"/>
          <w:b/>
          <w:bCs/>
          <w:sz w:val="24"/>
          <w:szCs w:val="24"/>
          <w:lang w:val="sq-AL"/>
        </w:rPr>
        <w:t>.</w:t>
      </w:r>
      <w:r w:rsidRPr="00980028">
        <w:rPr>
          <w:rFonts w:ascii="Garamond" w:hAnsi="Garamond" w:cs="Times New Roman"/>
          <w:b/>
          <w:bCs/>
          <w:sz w:val="24"/>
          <w:szCs w:val="24"/>
          <w:lang w:val="sq-AL"/>
        </w:rPr>
        <w:t>2024</w:t>
      </w:r>
    </w:p>
    <w:p w14:paraId="78AF7C6F" w14:textId="77777777" w:rsidR="008659B4" w:rsidRPr="00980028" w:rsidRDefault="008659B4" w:rsidP="008659B4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hAnsi="Garamond"/>
          <w:b/>
          <w:bCs/>
          <w:smallCaps/>
          <w:sz w:val="24"/>
          <w:szCs w:val="24"/>
          <w:lang w:val="sq-AL"/>
        </w:rPr>
      </w:pPr>
    </w:p>
    <w:p w14:paraId="5E5CB726" w14:textId="3A5D0C64" w:rsidR="008659B4" w:rsidRPr="00980028" w:rsidRDefault="00311D4F" w:rsidP="00980028">
      <w:pPr>
        <w:tabs>
          <w:tab w:val="left" w:pos="6300"/>
        </w:tabs>
        <w:spacing w:after="0" w:line="240" w:lineRule="auto"/>
        <w:jc w:val="center"/>
        <w:rPr>
          <w:rFonts w:ascii="Garamond" w:hAnsi="Garamond" w:cs="Times New Roman"/>
          <w:b/>
          <w:bCs/>
          <w:smallCaps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smallCaps/>
          <w:sz w:val="24"/>
          <w:szCs w:val="24"/>
          <w:lang w:val="sq-AL"/>
        </w:rPr>
        <w:t>PËR DISA NDRYSHIME NË RREGULLOREN “PËR</w:t>
      </w:r>
      <w:r w:rsidR="00980028" w:rsidRPr="00980028">
        <w:rPr>
          <w:rFonts w:ascii="Garamond" w:hAnsi="Garamond" w:cs="Times New Roman"/>
          <w:b/>
          <w:bCs/>
          <w:smallCap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b/>
          <w:bCs/>
          <w:smallCaps/>
          <w:sz w:val="24"/>
          <w:szCs w:val="24"/>
          <w:lang w:val="sq-AL"/>
        </w:rPr>
        <w:t>KRAHASUESHMËRINË E TARIFAVE TË LIDHURA ME LLOGARITË E PAGESAVE DHE PËR SHËRBIMIN E TRANSFERIMIT TË LLOGARIVE TË PAGESAVE”</w:t>
      </w:r>
    </w:p>
    <w:p w14:paraId="25EB134F" w14:textId="77777777" w:rsidR="008659B4" w:rsidRPr="00980028" w:rsidRDefault="008659B4" w:rsidP="008659B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465083C2" w14:textId="1EB1255B" w:rsidR="008659B4" w:rsidRPr="00980028" w:rsidRDefault="008659B4" w:rsidP="008659B4">
      <w:pPr>
        <w:pStyle w:val="BodyText2"/>
        <w:spacing w:after="0" w:line="240" w:lineRule="auto"/>
        <w:ind w:firstLine="284"/>
        <w:jc w:val="both"/>
        <w:rPr>
          <w:rFonts w:ascii="Garamond" w:hAnsi="Garamond"/>
          <w:lang w:val="sq-AL"/>
        </w:rPr>
      </w:pPr>
      <w:r w:rsidRPr="00980028">
        <w:rPr>
          <w:rFonts w:ascii="Garamond" w:hAnsi="Garamond"/>
          <w:lang w:val="sq-AL"/>
        </w:rPr>
        <w:t>Në bazë dhe për zbatim të nenit 12, shkronja “a”, dhe të nenit 43, shkronja “c”, të ligjit nr.</w:t>
      </w:r>
      <w:r w:rsidR="00980028">
        <w:rPr>
          <w:rFonts w:ascii="Garamond" w:hAnsi="Garamond"/>
          <w:lang w:val="sq-AL"/>
        </w:rPr>
        <w:t xml:space="preserve"> </w:t>
      </w:r>
      <w:r w:rsidRPr="00980028">
        <w:rPr>
          <w:rFonts w:ascii="Garamond" w:hAnsi="Garamond"/>
          <w:lang w:val="sq-AL"/>
        </w:rPr>
        <w:t>8269, datë 23.12.1997, “Për Bankën e Shqipërisë”, i ndryshuar; të nenit 53, pika 4, nenit 55, pika 1, shkronja “e”, të neneve 124 dhe 126 të ligjit nr. 9662, datë 18.12.2006, “Për bankat në Republikën e Shqipërisë”, i ndryshuar; të ligjit nr. 55/2020, datë 30.4.2020, “Për shërbimet e pagesave”; dhe të nenit 8, pika 3, nenit 14 dhe nenit 22 të ligjit nr. 100/2023, datë 14.12.2023, “Për llogarinë e pagesave me shërbime bazike”; Këshilli Mbikëqyrës i Bankës së Shqipërisë, me propozimin e Departamentit të Mbikëqyrjes,</w:t>
      </w:r>
    </w:p>
    <w:p w14:paraId="19DB7CF3" w14:textId="77777777" w:rsidR="008659B4" w:rsidRPr="00980028" w:rsidRDefault="008659B4" w:rsidP="008659B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14553718" w14:textId="77777777" w:rsidR="008659B4" w:rsidRPr="00980028" w:rsidRDefault="008659B4" w:rsidP="008659B4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hAnsi="Garamond" w:cs="Times New Roman"/>
          <w:smallCaps/>
          <w:sz w:val="24"/>
          <w:szCs w:val="24"/>
          <w:lang w:val="sq-AL"/>
        </w:rPr>
      </w:pPr>
      <w:r w:rsidRPr="00980028">
        <w:rPr>
          <w:rFonts w:ascii="Garamond" w:hAnsi="Garamond" w:cs="Times New Roman"/>
          <w:smallCaps/>
          <w:sz w:val="24"/>
          <w:szCs w:val="24"/>
          <w:lang w:val="sq-AL"/>
        </w:rPr>
        <w:t>VENDOSI:</w:t>
      </w:r>
    </w:p>
    <w:p w14:paraId="242F4BC4" w14:textId="77777777" w:rsidR="008659B4" w:rsidRPr="00980028" w:rsidRDefault="008659B4" w:rsidP="008659B4">
      <w:pPr>
        <w:tabs>
          <w:tab w:val="left" w:pos="6300"/>
        </w:tabs>
        <w:spacing w:after="0" w:line="240" w:lineRule="auto"/>
        <w:ind w:firstLine="284"/>
        <w:jc w:val="center"/>
        <w:rPr>
          <w:rFonts w:ascii="Garamond" w:hAnsi="Garamond"/>
          <w:smallCaps/>
          <w:sz w:val="24"/>
          <w:szCs w:val="24"/>
          <w:lang w:val="sq-AL"/>
        </w:rPr>
      </w:pPr>
    </w:p>
    <w:p w14:paraId="457A72F2" w14:textId="5829C258" w:rsidR="008659B4" w:rsidRPr="00980028" w:rsidRDefault="008659B4" w:rsidP="008659B4">
      <w:pPr>
        <w:tabs>
          <w:tab w:val="left" w:pos="420"/>
        </w:tabs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1.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>Në rregulloren “Për krahasueshmërinë e tarifave të lidhura me llogaritë e pagesave dhe për shërbimin e transferimit të llogarive të pagesave”, miratuar me vendimin e Këshillit Mbikëqyrës nr. 59, datë 21.12.2022, të bëhen ndryshimet e mëposhtme:</w:t>
      </w:r>
    </w:p>
    <w:p w14:paraId="4A1DCBF2" w14:textId="1BAFB13C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a)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Neni 1 ndryshon sipas përmbajtjes së mëposhtme: </w:t>
      </w:r>
    </w:p>
    <w:p w14:paraId="6BC38796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“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Objekti i kësaj rregulloreje është:</w:t>
      </w:r>
    </w:p>
    <w:p w14:paraId="473565A0" w14:textId="305B615F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a)</w:t>
      </w:r>
      <w:r w:rsidR="00311D4F"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përcaktimi i kërkesave për krahasueshmërinë dhe transparencën e tarifave që u ngarkohen konsumatorëve në llogaritë e tyre të pagesave dhe i kërkesave për transferimin e llogarive të pagesave ndërmjet ofruesve të shërbimeve të pagesave; </w:t>
      </w:r>
    </w:p>
    <w:p w14:paraId="668886C3" w14:textId="46AE3413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i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b)</w:t>
      </w:r>
      <w:r w:rsidR="00311D4F"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përcaktimi i kërkesave për krahasueshmërinë dhe transparencën e tarifave që u ngarkohen konsumatorëve në llogaritë e tyre të pagesave me shërbime bazike dhe i kërkesave për transferimin e llogarive të pagesave me shërbime bazike ndërmjet ofruesve të shërbimeve të pagesave; si dhe </w:t>
      </w:r>
    </w:p>
    <w:p w14:paraId="1EA6C64D" w14:textId="2AF54E63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c)</w:t>
      </w:r>
      <w:r w:rsidR="00311D4F"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përcaktimi i metodologjisë së përllogaritjes së tarifës së arsyeshme për shërbimet e ofruara në llogarinë e pagesave me shërbime bazike.”</w:t>
      </w:r>
      <w:r w:rsidRPr="00980028">
        <w:rPr>
          <w:rFonts w:ascii="Garamond" w:hAnsi="Garamond" w:cs="Times New Roman"/>
          <w:sz w:val="24"/>
          <w:szCs w:val="24"/>
          <w:lang w:val="sq-AL"/>
        </w:rPr>
        <w:t>;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</w:p>
    <w:p w14:paraId="7975514A" w14:textId="4BEB36BF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b)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Në nenin 2, pas togfjalëshit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“ligjit nr.</w:t>
      </w:r>
      <w:r w:rsidR="00D81AEA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55/2020 “Për shërbimet e pagesave””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, shtohet togfjalëshi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“, si dhe bankat dhe degët e bankave të huaja, sipas ligjit nr. 100/2023 “Për llogarinë e pagesave me shërbime bazike””</w:t>
      </w:r>
      <w:r w:rsidRPr="00980028">
        <w:rPr>
          <w:rFonts w:ascii="Garamond" w:hAnsi="Garamond" w:cs="Times New Roman"/>
          <w:sz w:val="24"/>
          <w:szCs w:val="24"/>
          <w:lang w:val="sq-AL"/>
        </w:rPr>
        <w:t>;</w:t>
      </w:r>
    </w:p>
    <w:p w14:paraId="6BDCB780" w14:textId="30FB8B05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c)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Neni 3, ndryshon sipas përmbajtjes së mëposhtme: </w:t>
      </w:r>
    </w:p>
    <w:p w14:paraId="0D7897F3" w14:textId="77777777" w:rsidR="008659B4" w:rsidRPr="00980028" w:rsidRDefault="008659B4" w:rsidP="008659B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“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Kjo rregullore nxirret në bazë dhe për zbatim të nenit 12, shkronja “a” dhe nenit 43, shkronja “c”, të ligjit nr. 8269, datë 23.12.1997, “Për Bankën e Shqipërisë”, i ndryshuar; të nenit 53, pika 4, nenit 55, pika 1, shkronja “e”, të neneve 124 dhe 126 të ligjit nr. 9662, datë 18.12.2006, “Për bankat në Republikën e Shqipërisë”, i ndryshuar (më poshtë ligji “Për bankat”); të ligjit nr. 55/2020, datë 30.4.2020, “Për shërbimet e pagesave” (më poshtë ligji “Për shërbimet e pagesave”) dhe të nenit 8, pika 3, nenit 14 dhe nenit 22 të ligjit nr. 100/2023, datë 14.12.2023, “Për llogarinë e pagesave me shërbime bazike” (më poshtë ligji “Për llogarinë e pagesave me shërbime bazike”).</w:t>
      </w:r>
      <w:r w:rsidRPr="00980028">
        <w:rPr>
          <w:rFonts w:ascii="Garamond" w:hAnsi="Garamond" w:cs="Times New Roman"/>
          <w:sz w:val="24"/>
          <w:szCs w:val="24"/>
          <w:lang w:val="sq-AL"/>
        </w:rPr>
        <w:t>”;</w:t>
      </w:r>
    </w:p>
    <w:p w14:paraId="08FD66DC" w14:textId="541F7460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d)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Në nenin 4 bëhen këto ndryshime: </w:t>
      </w:r>
    </w:p>
    <w:p w14:paraId="004F849C" w14:textId="509B9A88" w:rsidR="008659B4" w:rsidRPr="00980028" w:rsidRDefault="008659B4" w:rsidP="008659B4">
      <w:pPr>
        <w:pStyle w:val="ListParagraph"/>
        <w:tabs>
          <w:tab w:val="left" w:pos="108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i.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Pika 1, ndryshon sipas përmbajtjes së mëposhtme: </w:t>
      </w:r>
    </w:p>
    <w:p w14:paraId="3F987C08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“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1.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Termat e përdorur në këtë rregullore kanë të njëjtin kuptim me termat e përkufizuar sipas nenit 4 të ligjit “Për bankat”, nenit 5 të ligjit “Për shërbimet e pagesave” dhe nenit 5 të ligjit “Për llogarinë e pagesave me shërbime bazike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”.”; </w:t>
      </w:r>
      <w:r w:rsidRPr="00980028">
        <w:rPr>
          <w:rFonts w:ascii="Garamond" w:hAnsi="Garamond"/>
          <w:sz w:val="24"/>
          <w:szCs w:val="24"/>
          <w:lang w:val="sq-AL"/>
        </w:rPr>
        <w:t xml:space="preserve"> </w:t>
      </w:r>
    </w:p>
    <w:p w14:paraId="0BF7579E" w14:textId="75ABDCD9" w:rsidR="008659B4" w:rsidRPr="00980028" w:rsidRDefault="008659B4" w:rsidP="008659B4">
      <w:pPr>
        <w:pStyle w:val="ListParagraph"/>
        <w:tabs>
          <w:tab w:val="left" w:pos="1080"/>
        </w:tabs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ii.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në pikën 2, pas shkronjës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“a”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, shtohet shkronja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“a/1”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 me përmbajtjen e mëposhtme:</w:t>
      </w:r>
    </w:p>
    <w:p w14:paraId="49219A61" w14:textId="77777777" w:rsidR="008659B4" w:rsidRPr="00980028" w:rsidRDefault="008659B4" w:rsidP="008659B4">
      <w:pPr>
        <w:pStyle w:val="BodyText2"/>
        <w:tabs>
          <w:tab w:val="left" w:pos="1080"/>
        </w:tabs>
        <w:spacing w:after="0" w:line="240" w:lineRule="auto"/>
        <w:ind w:firstLine="284"/>
        <w:jc w:val="both"/>
        <w:rPr>
          <w:rFonts w:ascii="Garamond" w:hAnsi="Garamond"/>
          <w:i/>
          <w:iCs/>
          <w:lang w:val="sq-AL"/>
        </w:rPr>
      </w:pPr>
      <w:r w:rsidRPr="00980028">
        <w:rPr>
          <w:rFonts w:ascii="Garamond" w:hAnsi="Garamond"/>
          <w:i/>
          <w:iCs/>
          <w:lang w:val="sq-AL"/>
        </w:rPr>
        <w:t>“a/1) “llogari e pagesave me shërbime bazike” - do të ketë të njëjtin kuptim si në ligjin “Për llogarinë e pagesave me shërbime bazike”;”</w:t>
      </w:r>
      <w:r w:rsidRPr="00980028">
        <w:rPr>
          <w:rFonts w:ascii="Garamond" w:hAnsi="Garamond"/>
          <w:lang w:val="sq-AL"/>
        </w:rPr>
        <w:t>;</w:t>
      </w:r>
    </w:p>
    <w:p w14:paraId="26AE7C15" w14:textId="260D33E1" w:rsidR="008659B4" w:rsidRPr="00980028" w:rsidRDefault="008659B4" w:rsidP="008659B4">
      <w:pPr>
        <w:pStyle w:val="ListParagraph"/>
        <w:tabs>
          <w:tab w:val="left" w:pos="1080"/>
        </w:tabs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lastRenderedPageBreak/>
        <w:t>iii.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në pikën 2, shkronja “h”, togfjalëshi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“në ligjin nr. 9902, datë 17.4.2008, “Për mbrojtjen e konsumatorëve”, i ndryshuar”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, zëvendësohet me togfjalëshin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“në pikën 18 të nenit 5 të ligjit “Për shërbimet e pagesave”.”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; </w:t>
      </w:r>
    </w:p>
    <w:p w14:paraId="035F7743" w14:textId="752F048F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e)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Pas nenit 16, shtohet “KREU IV” dhe nenet 17 dhe 18 si pjesë përbërëse e </w:t>
      </w:r>
      <w:r w:rsidR="00D81AEA">
        <w:rPr>
          <w:rFonts w:ascii="Garamond" w:hAnsi="Garamond" w:cs="Times New Roman"/>
          <w:sz w:val="24"/>
          <w:szCs w:val="24"/>
          <w:lang w:val="sq-AL"/>
        </w:rPr>
        <w:t>k</w:t>
      </w:r>
      <w:r w:rsidRPr="00980028">
        <w:rPr>
          <w:rFonts w:ascii="Garamond" w:hAnsi="Garamond" w:cs="Times New Roman"/>
          <w:sz w:val="24"/>
          <w:szCs w:val="24"/>
          <w:lang w:val="sq-AL"/>
        </w:rPr>
        <w:t>reut IV,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me përmbajtjen e mëposhtme: </w:t>
      </w:r>
    </w:p>
    <w:p w14:paraId="006EFD64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1A5E714E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Cs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Cs/>
          <w:iCs/>
          <w:sz w:val="24"/>
          <w:szCs w:val="24"/>
          <w:lang w:val="sq-AL"/>
        </w:rPr>
        <w:t>“KREU IV</w:t>
      </w:r>
    </w:p>
    <w:p w14:paraId="342D8784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Cs/>
          <w:iCs/>
          <w:sz w:val="24"/>
          <w:szCs w:val="24"/>
          <w:lang w:val="sq-AL"/>
        </w:rPr>
        <w:t>KËRKESA PËR LLOGARINË E PAGESAVE ME SHËRBIME BAZIKE</w:t>
      </w:r>
    </w:p>
    <w:p w14:paraId="51B4A60C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Cs/>
          <w:sz w:val="24"/>
          <w:szCs w:val="24"/>
          <w:lang w:val="sq-AL"/>
        </w:rPr>
      </w:pPr>
    </w:p>
    <w:p w14:paraId="1A53050F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Cs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Cs/>
          <w:iCs/>
          <w:sz w:val="24"/>
          <w:szCs w:val="24"/>
          <w:lang w:val="sq-AL"/>
        </w:rPr>
        <w:t>Neni 17</w:t>
      </w:r>
    </w:p>
    <w:p w14:paraId="5C300151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/>
          <w:bCs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iCs/>
          <w:sz w:val="24"/>
          <w:szCs w:val="24"/>
          <w:lang w:val="sq-AL"/>
        </w:rPr>
        <w:t>Krahasueshmëria, transparenca e tarifave dhe transferimi i llogarive të pagesave me shërbime bazike</w:t>
      </w:r>
    </w:p>
    <w:p w14:paraId="38AF565F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</w:p>
    <w:p w14:paraId="5AAAD462" w14:textId="61952DE7" w:rsidR="008659B4" w:rsidRPr="00980028" w:rsidRDefault="008659B4" w:rsidP="00311D4F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 xml:space="preserve">Kërkesat e kreut I, II dhe III të kësaj rregulloreje për llogarinë e pagesave, zbatohen në të njëjtën mënyrë nga bankat, edhe për llogarinë e pagesave me shërbime bazike, në zbatim të kërkesave të nenit 14 të ligjit “Për llogarinë e pagesave me shërbime bazike”. </w:t>
      </w:r>
    </w:p>
    <w:p w14:paraId="330EF33A" w14:textId="77777777" w:rsidR="00311D4F" w:rsidRPr="00980028" w:rsidRDefault="00311D4F" w:rsidP="00311D4F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/>
          <w:bCs/>
          <w:iCs/>
          <w:sz w:val="24"/>
          <w:szCs w:val="24"/>
          <w:lang w:val="sq-AL"/>
        </w:rPr>
      </w:pPr>
    </w:p>
    <w:p w14:paraId="66A29D06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/>
          <w:bCs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Cs/>
          <w:iCs/>
          <w:sz w:val="24"/>
          <w:szCs w:val="24"/>
          <w:lang w:val="sq-AL"/>
        </w:rPr>
        <w:t>Neni 18</w:t>
      </w:r>
    </w:p>
    <w:p w14:paraId="076EDED4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center"/>
        <w:rPr>
          <w:rFonts w:ascii="Garamond" w:hAnsi="Garamond" w:cs="Times New Roman"/>
          <w:b/>
          <w:bCs/>
          <w:iCs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iCs/>
          <w:sz w:val="24"/>
          <w:szCs w:val="24"/>
          <w:lang w:val="sq-AL"/>
        </w:rPr>
        <w:t>Metodologjia e përllogaritjes së tarifës së arsyeshme për shërbimet e ofruara në llogarinë e pagesave me shërbime bazike</w:t>
      </w:r>
    </w:p>
    <w:p w14:paraId="436710DB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rPr>
          <w:rFonts w:ascii="Garamond" w:hAnsi="Garamond"/>
          <w:b/>
          <w:bCs/>
          <w:i/>
          <w:iCs/>
          <w:sz w:val="24"/>
          <w:szCs w:val="24"/>
          <w:lang w:val="sq-AL"/>
        </w:rPr>
      </w:pPr>
    </w:p>
    <w:p w14:paraId="57ADC8D1" w14:textId="77777777" w:rsidR="00311D4F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Bankat, në përllogaritjen e tarifës së arsyeshme për shërbimet e ofruara në llogarinë e pagesave me shërbime bazike, siç parashikohet në nenin 8, pika 3 të ligjit “Për llogarinë e pagesave me shërbime bazike”, bazohen në nivelin mesatar të tarifës së aplikuar nga banka, për të njëjtat shërbime të ofruara nëpërmjet një llogarie pagesash dhe në çdo rast tarifa e arsyeshme nuk tejkalon 50% të këtij niveli mesatar.”</w:t>
      </w:r>
      <w:r w:rsidRPr="00980028">
        <w:rPr>
          <w:rFonts w:ascii="Garamond" w:hAnsi="Garamond" w:cs="Times New Roman"/>
          <w:sz w:val="24"/>
          <w:szCs w:val="24"/>
          <w:lang w:val="sq-AL"/>
        </w:rPr>
        <w:t>;</w:t>
      </w:r>
    </w:p>
    <w:p w14:paraId="689C3F28" w14:textId="1CEF7070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f)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Kreu IV “Dispozita të fundit”, rinumërtohet si </w:t>
      </w:r>
      <w:r w:rsidR="00D81AEA">
        <w:rPr>
          <w:rFonts w:ascii="Garamond" w:hAnsi="Garamond" w:cs="Times New Roman"/>
          <w:sz w:val="24"/>
          <w:szCs w:val="24"/>
          <w:lang w:val="sq-AL"/>
        </w:rPr>
        <w:t>k</w:t>
      </w:r>
      <w:r w:rsidRPr="00980028">
        <w:rPr>
          <w:rFonts w:ascii="Garamond" w:hAnsi="Garamond" w:cs="Times New Roman"/>
          <w:sz w:val="24"/>
          <w:szCs w:val="24"/>
          <w:lang w:val="sq-AL"/>
        </w:rPr>
        <w:t>reu V;</w:t>
      </w:r>
    </w:p>
    <w:p w14:paraId="3D2826AE" w14:textId="71F997D6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g)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Neni 17 dhe neni 18, rinumërtohen përkatësisht si neni 19 dhe neni 20; </w:t>
      </w:r>
    </w:p>
    <w:p w14:paraId="43A99FBD" w14:textId="12A33308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h)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>Në nenin 19 të rinumërtuar, bëhen ndryshimet e mëposhtme:</w:t>
      </w:r>
    </w:p>
    <w:p w14:paraId="0F39A9AE" w14:textId="2A6C81E8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i.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titulli i nenit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“Ankesat e klientëve”,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 zëvendësohet me titullin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“Ankesat e konsumatorëve”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; </w:t>
      </w:r>
    </w:p>
    <w:p w14:paraId="54D465D1" w14:textId="3260728D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ii.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pas togfjalëshit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“për zgjidhjen e ankesave të konsumatorëve”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, shtohet togfjalëshi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“, përfshirë edhe ankesat në lidhje me llogarinë e pagesave me shërbime bazike.”</w:t>
      </w:r>
      <w:r w:rsidRPr="00980028">
        <w:rPr>
          <w:rFonts w:ascii="Garamond" w:hAnsi="Garamond" w:cs="Times New Roman"/>
          <w:sz w:val="24"/>
          <w:szCs w:val="24"/>
          <w:lang w:val="sq-AL"/>
        </w:rPr>
        <w:t>;</w:t>
      </w:r>
    </w:p>
    <w:p w14:paraId="506734C9" w14:textId="51D4C540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i)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Në nenin 20 të rinumërtuar, pas togfjalëshit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“në ligjin “Për shërbimet e pagesave””</w:t>
      </w:r>
      <w:r w:rsidRPr="00980028">
        <w:rPr>
          <w:rFonts w:ascii="Garamond" w:hAnsi="Garamond" w:cs="Times New Roman"/>
          <w:sz w:val="24"/>
          <w:szCs w:val="24"/>
          <w:lang w:val="sq-AL"/>
        </w:rPr>
        <w:t xml:space="preserve">, shtohet togfjalëshi </w:t>
      </w:r>
      <w:r w:rsidRPr="00980028">
        <w:rPr>
          <w:rFonts w:ascii="Garamond" w:hAnsi="Garamond" w:cs="Times New Roman"/>
          <w:i/>
          <w:iCs/>
          <w:sz w:val="24"/>
          <w:szCs w:val="24"/>
          <w:lang w:val="sq-AL"/>
        </w:rPr>
        <w:t>“, në ligjin “Për llogarinë e pagesave me shërbime bazike””.</w:t>
      </w:r>
      <w:r w:rsidRPr="00980028">
        <w:rPr>
          <w:rFonts w:ascii="Garamond" w:hAnsi="Garamond"/>
          <w:color w:val="00B0F0"/>
          <w:sz w:val="24"/>
          <w:szCs w:val="24"/>
          <w:lang w:val="sq-AL"/>
        </w:rPr>
        <w:t xml:space="preserve"> </w:t>
      </w:r>
    </w:p>
    <w:p w14:paraId="7739CA48" w14:textId="193A89FC" w:rsidR="008659B4" w:rsidRPr="00980028" w:rsidRDefault="008659B4" w:rsidP="008659B4">
      <w:pPr>
        <w:tabs>
          <w:tab w:val="left" w:pos="420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2.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>Ngarkohet Departamenti i Mbikëqyrjes për ndjekjen e zbatimit të këtij vendimi.</w:t>
      </w:r>
    </w:p>
    <w:p w14:paraId="783F4B87" w14:textId="3918CD7B" w:rsidR="008659B4" w:rsidRPr="00980028" w:rsidRDefault="008659B4" w:rsidP="008659B4">
      <w:pPr>
        <w:tabs>
          <w:tab w:val="left" w:pos="420"/>
        </w:tabs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3.</w:t>
      </w:r>
      <w:r w:rsidR="00311D4F" w:rsidRPr="00980028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980028">
        <w:rPr>
          <w:rFonts w:ascii="Garamond" w:hAnsi="Garamond" w:cs="Times New Roman"/>
          <w:sz w:val="24"/>
          <w:szCs w:val="24"/>
          <w:lang w:val="sq-AL"/>
        </w:rPr>
        <w:t>Ngarkohen Kabineti i Guvernatorit dhe Departamenti i Kërkimeve me publikimin e këtij vendimi, përkatësisht në Fletoren Zyrtare të Republikës së Shqipërisë dhe në Buletinin Zyrtar të Bankës së Shqipërisë.</w:t>
      </w:r>
    </w:p>
    <w:p w14:paraId="7B21757B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sz w:val="24"/>
          <w:szCs w:val="24"/>
          <w:lang w:val="sq-AL"/>
        </w:rPr>
        <w:t>Ky vendim hyn në fuqi 15 ditë pas botimit në Fletoren Zyrtare.</w:t>
      </w:r>
    </w:p>
    <w:p w14:paraId="4DA4DAFB" w14:textId="77777777" w:rsidR="008659B4" w:rsidRPr="00980028" w:rsidRDefault="008659B4" w:rsidP="008659B4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C0F159C" w14:textId="5865EC02" w:rsidR="008659B4" w:rsidRPr="00980028" w:rsidRDefault="008659B4" w:rsidP="00311D4F">
      <w:pPr>
        <w:tabs>
          <w:tab w:val="left" w:pos="2820"/>
          <w:tab w:val="left" w:pos="5499"/>
          <w:tab w:val="left" w:pos="8307"/>
        </w:tabs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  <w:lang w:val="sq-AL"/>
        </w:rPr>
      </w:pPr>
      <w:bookmarkStart w:id="0" w:name="_GoBack"/>
      <w:bookmarkEnd w:id="0"/>
      <w:r w:rsidRPr="00980028">
        <w:rPr>
          <w:rFonts w:ascii="Garamond" w:hAnsi="Garamond" w:cs="Times New Roman"/>
          <w:bCs/>
          <w:sz w:val="24"/>
          <w:szCs w:val="24"/>
          <w:lang w:val="sq-AL"/>
        </w:rPr>
        <w:t>KRYETAR</w:t>
      </w:r>
    </w:p>
    <w:p w14:paraId="535C6132" w14:textId="76F5D82F" w:rsidR="00017853" w:rsidRPr="00980028" w:rsidRDefault="00311D4F" w:rsidP="00311D4F">
      <w:pPr>
        <w:tabs>
          <w:tab w:val="left" w:pos="2820"/>
          <w:tab w:val="left" w:pos="5499"/>
          <w:tab w:val="left" w:pos="8307"/>
        </w:tabs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80028">
        <w:rPr>
          <w:rFonts w:ascii="Garamond" w:hAnsi="Garamond" w:cs="Times New Roman"/>
          <w:b/>
          <w:bCs/>
          <w:sz w:val="24"/>
          <w:szCs w:val="24"/>
          <w:lang w:val="sq-AL"/>
        </w:rPr>
        <w:t>Gent Sejko</w:t>
      </w:r>
    </w:p>
    <w:sectPr w:rsidR="00017853" w:rsidRPr="00980028" w:rsidSect="00017853">
      <w:pgSz w:w="11907" w:h="16839" w:code="9"/>
      <w:pgMar w:top="1440" w:right="1800" w:bottom="1440" w:left="1800" w:header="1138" w:footer="9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9704D" w14:textId="77777777" w:rsidR="005A049E" w:rsidRDefault="005A049E" w:rsidP="003773BE">
      <w:pPr>
        <w:spacing w:after="0" w:line="240" w:lineRule="auto"/>
      </w:pPr>
      <w:r>
        <w:separator/>
      </w:r>
    </w:p>
  </w:endnote>
  <w:endnote w:type="continuationSeparator" w:id="0">
    <w:p w14:paraId="3FE70795" w14:textId="77777777" w:rsidR="005A049E" w:rsidRDefault="005A049E" w:rsidP="003773BE">
      <w:pPr>
        <w:spacing w:after="0" w:line="240" w:lineRule="auto"/>
      </w:pPr>
      <w:r>
        <w:continuationSeparator/>
      </w:r>
    </w:p>
  </w:endnote>
  <w:endnote w:type="continuationNotice" w:id="1">
    <w:p w14:paraId="22F50DC3" w14:textId="77777777" w:rsidR="005A049E" w:rsidRDefault="005A04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16910" w14:textId="77777777" w:rsidR="005A049E" w:rsidRDefault="005A049E" w:rsidP="003773BE">
      <w:pPr>
        <w:spacing w:after="0" w:line="240" w:lineRule="auto"/>
      </w:pPr>
      <w:r>
        <w:separator/>
      </w:r>
    </w:p>
  </w:footnote>
  <w:footnote w:type="continuationSeparator" w:id="0">
    <w:p w14:paraId="6C628351" w14:textId="77777777" w:rsidR="005A049E" w:rsidRDefault="005A049E" w:rsidP="003773BE">
      <w:pPr>
        <w:spacing w:after="0" w:line="240" w:lineRule="auto"/>
      </w:pPr>
      <w:r>
        <w:continuationSeparator/>
      </w:r>
    </w:p>
  </w:footnote>
  <w:footnote w:type="continuationNotice" w:id="1">
    <w:p w14:paraId="3C32CAB8" w14:textId="77777777" w:rsidR="005A049E" w:rsidRDefault="005A049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40A61"/>
    <w:multiLevelType w:val="hybridMultilevel"/>
    <w:tmpl w:val="8F96E548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620F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F9454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215DC"/>
    <w:multiLevelType w:val="hybridMultilevel"/>
    <w:tmpl w:val="4AFE592E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E73BAC"/>
    <w:multiLevelType w:val="hybridMultilevel"/>
    <w:tmpl w:val="0D84C6F4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>
      <w:start w:val="1"/>
      <w:numFmt w:val="lowerRoman"/>
      <w:lvlText w:val="%3."/>
      <w:lvlJc w:val="right"/>
      <w:pPr>
        <w:ind w:left="3240" w:hanging="180"/>
      </w:pPr>
    </w:lvl>
    <w:lvl w:ilvl="3" w:tplc="0809000F">
      <w:start w:val="1"/>
      <w:numFmt w:val="decimal"/>
      <w:lvlText w:val="%4."/>
      <w:lvlJc w:val="left"/>
      <w:pPr>
        <w:ind w:left="3960" w:hanging="360"/>
      </w:pPr>
    </w:lvl>
    <w:lvl w:ilvl="4" w:tplc="08090019">
      <w:start w:val="1"/>
      <w:numFmt w:val="lowerLetter"/>
      <w:lvlText w:val="%5."/>
      <w:lvlJc w:val="left"/>
      <w:pPr>
        <w:ind w:left="4680" w:hanging="360"/>
      </w:pPr>
    </w:lvl>
    <w:lvl w:ilvl="5" w:tplc="0809001B">
      <w:start w:val="1"/>
      <w:numFmt w:val="lowerRoman"/>
      <w:lvlText w:val="%6."/>
      <w:lvlJc w:val="right"/>
      <w:pPr>
        <w:ind w:left="5400" w:hanging="180"/>
      </w:pPr>
    </w:lvl>
    <w:lvl w:ilvl="6" w:tplc="0809000F">
      <w:start w:val="1"/>
      <w:numFmt w:val="decimal"/>
      <w:lvlText w:val="%7."/>
      <w:lvlJc w:val="left"/>
      <w:pPr>
        <w:ind w:left="6120" w:hanging="360"/>
      </w:pPr>
    </w:lvl>
    <w:lvl w:ilvl="7" w:tplc="08090019">
      <w:start w:val="1"/>
      <w:numFmt w:val="lowerLetter"/>
      <w:lvlText w:val="%8."/>
      <w:lvlJc w:val="left"/>
      <w:pPr>
        <w:ind w:left="6840" w:hanging="360"/>
      </w:pPr>
    </w:lvl>
    <w:lvl w:ilvl="8" w:tplc="0809001B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5F3D08"/>
    <w:multiLevelType w:val="hybridMultilevel"/>
    <w:tmpl w:val="82F6B964"/>
    <w:lvl w:ilvl="0" w:tplc="04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761323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B00D1"/>
    <w:multiLevelType w:val="hybridMultilevel"/>
    <w:tmpl w:val="7F36BE1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743F5"/>
    <w:multiLevelType w:val="hybridMultilevel"/>
    <w:tmpl w:val="9BB865AE"/>
    <w:lvl w:ilvl="0" w:tplc="3530D160">
      <w:start w:val="1"/>
      <w:numFmt w:val="low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72F28"/>
    <w:multiLevelType w:val="hybridMultilevel"/>
    <w:tmpl w:val="6E44B4B6"/>
    <w:lvl w:ilvl="0" w:tplc="4EFC7D6E">
      <w:start w:val="1"/>
      <w:numFmt w:val="lowerRoman"/>
      <w:lvlText w:val="%1)"/>
      <w:lvlJc w:val="left"/>
      <w:pPr>
        <w:ind w:left="143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73338"/>
    <w:multiLevelType w:val="hybridMultilevel"/>
    <w:tmpl w:val="C3A89FEC"/>
    <w:lvl w:ilvl="0" w:tplc="9746DEB6">
      <w:start w:val="1"/>
      <w:numFmt w:val="lowerLetter"/>
      <w:lvlText w:val="%1)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B5E96"/>
    <w:multiLevelType w:val="hybridMultilevel"/>
    <w:tmpl w:val="1662025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B8709F1"/>
    <w:multiLevelType w:val="hybridMultilevel"/>
    <w:tmpl w:val="DE34F8B0"/>
    <w:lvl w:ilvl="0" w:tplc="588E9CAC">
      <w:start w:val="1000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3D40FB"/>
    <w:multiLevelType w:val="hybridMultilevel"/>
    <w:tmpl w:val="40CAE8F6"/>
    <w:lvl w:ilvl="0" w:tplc="24040FFC">
      <w:start w:val="1"/>
      <w:numFmt w:val="lowerRoman"/>
      <w:lvlText w:val="%1."/>
      <w:lvlJc w:val="right"/>
      <w:pPr>
        <w:tabs>
          <w:tab w:val="num" w:pos="900"/>
        </w:tabs>
        <w:ind w:left="900" w:hanging="18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2FBE55DC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C0987"/>
    <w:multiLevelType w:val="hybridMultilevel"/>
    <w:tmpl w:val="64B86E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874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501C7"/>
    <w:multiLevelType w:val="hybridMultilevel"/>
    <w:tmpl w:val="B40CE6AE"/>
    <w:lvl w:ilvl="0" w:tplc="210653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6" w15:restartNumberingAfterBreak="0">
    <w:nsid w:val="35E13BD4"/>
    <w:multiLevelType w:val="hybridMultilevel"/>
    <w:tmpl w:val="66E4B4DC"/>
    <w:lvl w:ilvl="0" w:tplc="0870EB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5ECF"/>
    <w:multiLevelType w:val="hybridMultilevel"/>
    <w:tmpl w:val="DCBA75B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E703FD"/>
    <w:multiLevelType w:val="hybridMultilevel"/>
    <w:tmpl w:val="9184F862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E25C6"/>
    <w:multiLevelType w:val="hybridMultilevel"/>
    <w:tmpl w:val="8A1CEC68"/>
    <w:lvl w:ilvl="0" w:tplc="2DEC3D50">
      <w:start w:val="4"/>
      <w:numFmt w:val="lowerRoman"/>
      <w:lvlText w:val="%1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E1B1C"/>
    <w:multiLevelType w:val="hybridMultilevel"/>
    <w:tmpl w:val="56B83B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E7028"/>
    <w:multiLevelType w:val="hybridMultilevel"/>
    <w:tmpl w:val="DBCA82D8"/>
    <w:lvl w:ilvl="0" w:tplc="04090017">
      <w:start w:val="1"/>
      <w:numFmt w:val="lowerLetter"/>
      <w:lvlText w:val="%1)"/>
      <w:lvlJc w:val="left"/>
      <w:pPr>
        <w:ind w:left="360" w:hanging="360"/>
      </w:pPr>
      <w:rPr>
        <w:sz w:val="22"/>
        <w:szCs w:val="22"/>
      </w:rPr>
    </w:lvl>
    <w:lvl w:ilvl="1" w:tplc="9D7C3FB0">
      <w:start w:val="1"/>
      <w:numFmt w:val="lowerLetter"/>
      <w:lvlText w:val="%2)"/>
      <w:lvlJc w:val="left"/>
      <w:pPr>
        <w:ind w:left="198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8991B63"/>
    <w:multiLevelType w:val="hybridMultilevel"/>
    <w:tmpl w:val="797CE952"/>
    <w:lvl w:ilvl="0" w:tplc="771857F0">
      <w:start w:val="3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4E3D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61CD1"/>
    <w:multiLevelType w:val="hybridMultilevel"/>
    <w:tmpl w:val="DC403ACC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41B2298"/>
    <w:multiLevelType w:val="hybridMultilevel"/>
    <w:tmpl w:val="B2029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186DF4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B7F0A3E"/>
    <w:multiLevelType w:val="hybridMultilevel"/>
    <w:tmpl w:val="7F36BE1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87F15"/>
    <w:multiLevelType w:val="hybridMultilevel"/>
    <w:tmpl w:val="0BF4F2DA"/>
    <w:lvl w:ilvl="0" w:tplc="04090017">
      <w:start w:val="1"/>
      <w:numFmt w:val="lowerLetter"/>
      <w:lvlText w:val="%1)"/>
      <w:lvlJc w:val="left"/>
      <w:pPr>
        <w:ind w:left="1260" w:hanging="360"/>
      </w:pPr>
      <w:rPr>
        <w:sz w:val="22"/>
        <w:szCs w:val="22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CC01B53"/>
    <w:multiLevelType w:val="hybridMultilevel"/>
    <w:tmpl w:val="CE8432F4"/>
    <w:lvl w:ilvl="0" w:tplc="2EE46CEA">
      <w:start w:val="1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587EA3"/>
    <w:multiLevelType w:val="hybridMultilevel"/>
    <w:tmpl w:val="14100356"/>
    <w:lvl w:ilvl="0" w:tplc="CDD624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C60E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3" w:tplc="04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FBB6F10"/>
    <w:multiLevelType w:val="hybridMultilevel"/>
    <w:tmpl w:val="AD8C51B6"/>
    <w:lvl w:ilvl="0" w:tplc="B8C60E8E">
      <w:start w:val="1"/>
      <w:numFmt w:val="lowerRoman"/>
      <w:lvlText w:val="%1."/>
      <w:lvlJc w:val="right"/>
      <w:pPr>
        <w:tabs>
          <w:tab w:val="num" w:pos="2160"/>
        </w:tabs>
        <w:ind w:left="2160" w:hanging="180"/>
      </w:pPr>
      <w:rPr>
        <w:rFonts w:ascii="Times New Roman" w:eastAsia="Arial Unicode MS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"/>
  </w:num>
  <w:num w:numId="4">
    <w:abstractNumId w:val="7"/>
  </w:num>
  <w:num w:numId="5">
    <w:abstractNumId w:val="11"/>
  </w:num>
  <w:num w:numId="6">
    <w:abstractNumId w:val="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28"/>
  </w:num>
  <w:num w:numId="11">
    <w:abstractNumId w:val="10"/>
  </w:num>
  <w:num w:numId="12">
    <w:abstractNumId w:val="24"/>
  </w:num>
  <w:num w:numId="13">
    <w:abstractNumId w:val="5"/>
  </w:num>
  <w:num w:numId="14">
    <w:abstractNumId w:val="1"/>
  </w:num>
  <w:num w:numId="15">
    <w:abstractNumId w:val="23"/>
  </w:num>
  <w:num w:numId="16">
    <w:abstractNumId w:val="31"/>
  </w:num>
  <w:num w:numId="17">
    <w:abstractNumId w:val="13"/>
  </w:num>
  <w:num w:numId="18">
    <w:abstractNumId w:val="18"/>
  </w:num>
  <w:num w:numId="19">
    <w:abstractNumId w:val="29"/>
  </w:num>
  <w:num w:numId="20">
    <w:abstractNumId w:val="3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6"/>
  </w:num>
  <w:num w:numId="24">
    <w:abstractNumId w:val="27"/>
  </w:num>
  <w:num w:numId="25">
    <w:abstractNumId w:val="9"/>
  </w:num>
  <w:num w:numId="26">
    <w:abstractNumId w:val="14"/>
  </w:num>
  <w:num w:numId="27">
    <w:abstractNumId w:val="14"/>
  </w:num>
  <w:num w:numId="28">
    <w:abstractNumId w:val="3"/>
  </w:num>
  <w:num w:numId="29">
    <w:abstractNumId w:val="15"/>
  </w:num>
  <w:num w:numId="30">
    <w:abstractNumId w:val="8"/>
  </w:num>
  <w:num w:numId="31">
    <w:abstractNumId w:val="22"/>
  </w:num>
  <w:num w:numId="32">
    <w:abstractNumId w:val="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3BE"/>
    <w:rsid w:val="00017853"/>
    <w:rsid w:val="00027CA7"/>
    <w:rsid w:val="00060BE3"/>
    <w:rsid w:val="0007546A"/>
    <w:rsid w:val="000D3A1E"/>
    <w:rsid w:val="000D4617"/>
    <w:rsid w:val="00107503"/>
    <w:rsid w:val="0011254C"/>
    <w:rsid w:val="0013031F"/>
    <w:rsid w:val="00142C40"/>
    <w:rsid w:val="001971AC"/>
    <w:rsid w:val="001A2E0F"/>
    <w:rsid w:val="002025D5"/>
    <w:rsid w:val="00242122"/>
    <w:rsid w:val="00263628"/>
    <w:rsid w:val="00302F7F"/>
    <w:rsid w:val="00307F11"/>
    <w:rsid w:val="00311D4F"/>
    <w:rsid w:val="00314BEE"/>
    <w:rsid w:val="00350FE1"/>
    <w:rsid w:val="00355E63"/>
    <w:rsid w:val="0037627D"/>
    <w:rsid w:val="003773BE"/>
    <w:rsid w:val="00385751"/>
    <w:rsid w:val="00387798"/>
    <w:rsid w:val="00395A0C"/>
    <w:rsid w:val="00395D37"/>
    <w:rsid w:val="003F3CCC"/>
    <w:rsid w:val="004253D0"/>
    <w:rsid w:val="004304FB"/>
    <w:rsid w:val="004540E6"/>
    <w:rsid w:val="004613E1"/>
    <w:rsid w:val="00491EBC"/>
    <w:rsid w:val="004C113C"/>
    <w:rsid w:val="004C1632"/>
    <w:rsid w:val="004F45F9"/>
    <w:rsid w:val="004F53BF"/>
    <w:rsid w:val="00501D3B"/>
    <w:rsid w:val="00515F53"/>
    <w:rsid w:val="005240B4"/>
    <w:rsid w:val="00542587"/>
    <w:rsid w:val="00550D91"/>
    <w:rsid w:val="00551CEE"/>
    <w:rsid w:val="00557CA7"/>
    <w:rsid w:val="00565ACE"/>
    <w:rsid w:val="005A049E"/>
    <w:rsid w:val="005C5C8C"/>
    <w:rsid w:val="005D08CE"/>
    <w:rsid w:val="005D378B"/>
    <w:rsid w:val="00612338"/>
    <w:rsid w:val="00613336"/>
    <w:rsid w:val="00646744"/>
    <w:rsid w:val="0065453E"/>
    <w:rsid w:val="0069003D"/>
    <w:rsid w:val="00691C44"/>
    <w:rsid w:val="006B05FF"/>
    <w:rsid w:val="006D2A4B"/>
    <w:rsid w:val="00743C9C"/>
    <w:rsid w:val="00765CCA"/>
    <w:rsid w:val="007A610E"/>
    <w:rsid w:val="007B10CD"/>
    <w:rsid w:val="007E4582"/>
    <w:rsid w:val="0082040A"/>
    <w:rsid w:val="008659B4"/>
    <w:rsid w:val="008A6F79"/>
    <w:rsid w:val="008C2D0B"/>
    <w:rsid w:val="008D08BE"/>
    <w:rsid w:val="009124DD"/>
    <w:rsid w:val="009200A4"/>
    <w:rsid w:val="00942F55"/>
    <w:rsid w:val="00973120"/>
    <w:rsid w:val="00980028"/>
    <w:rsid w:val="00982290"/>
    <w:rsid w:val="009928B6"/>
    <w:rsid w:val="009A1185"/>
    <w:rsid w:val="009A26C3"/>
    <w:rsid w:val="009B1B6D"/>
    <w:rsid w:val="009B287B"/>
    <w:rsid w:val="009B4C3F"/>
    <w:rsid w:val="009E74D8"/>
    <w:rsid w:val="00A16DFA"/>
    <w:rsid w:val="00A36745"/>
    <w:rsid w:val="00AF0352"/>
    <w:rsid w:val="00AF205A"/>
    <w:rsid w:val="00B140C9"/>
    <w:rsid w:val="00B32601"/>
    <w:rsid w:val="00B5046E"/>
    <w:rsid w:val="00B97A08"/>
    <w:rsid w:val="00BA29A3"/>
    <w:rsid w:val="00BB6548"/>
    <w:rsid w:val="00BF116B"/>
    <w:rsid w:val="00C6414F"/>
    <w:rsid w:val="00C82C79"/>
    <w:rsid w:val="00CA57EA"/>
    <w:rsid w:val="00CA695E"/>
    <w:rsid w:val="00CA6A00"/>
    <w:rsid w:val="00CF18C4"/>
    <w:rsid w:val="00D13C97"/>
    <w:rsid w:val="00D36035"/>
    <w:rsid w:val="00D41009"/>
    <w:rsid w:val="00D81AEA"/>
    <w:rsid w:val="00D863A2"/>
    <w:rsid w:val="00D9284E"/>
    <w:rsid w:val="00D9496A"/>
    <w:rsid w:val="00DC0589"/>
    <w:rsid w:val="00DE1DFC"/>
    <w:rsid w:val="00DE4189"/>
    <w:rsid w:val="00DF1D94"/>
    <w:rsid w:val="00E434A3"/>
    <w:rsid w:val="00E53A8E"/>
    <w:rsid w:val="00E65C0F"/>
    <w:rsid w:val="00E75867"/>
    <w:rsid w:val="00EC4957"/>
    <w:rsid w:val="00ED21DA"/>
    <w:rsid w:val="00ED2E3E"/>
    <w:rsid w:val="00EE1092"/>
    <w:rsid w:val="00F23620"/>
    <w:rsid w:val="00F26C15"/>
    <w:rsid w:val="00F37D7A"/>
    <w:rsid w:val="00F63C6F"/>
    <w:rsid w:val="00F824B2"/>
    <w:rsid w:val="00FA0AD6"/>
    <w:rsid w:val="00FB1D28"/>
    <w:rsid w:val="00FC2F27"/>
    <w:rsid w:val="00FC3C27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D267D94"/>
  <w15:chartTrackingRefBased/>
  <w15:docId w15:val="{32176C41-AD80-46AA-AA29-ED562CD8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65A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7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3BE"/>
  </w:style>
  <w:style w:type="paragraph" w:styleId="Footer">
    <w:name w:val="footer"/>
    <w:basedOn w:val="Normal"/>
    <w:link w:val="FooterChar"/>
    <w:unhideWhenUsed/>
    <w:rsid w:val="003773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73BE"/>
  </w:style>
  <w:style w:type="paragraph" w:styleId="ListParagraph">
    <w:name w:val="List Paragraph"/>
    <w:basedOn w:val="Normal"/>
    <w:link w:val="ListParagraphChar"/>
    <w:uiPriority w:val="34"/>
    <w:qFormat/>
    <w:rsid w:val="003773BE"/>
    <w:pPr>
      <w:spacing w:after="200" w:line="276" w:lineRule="auto"/>
      <w:ind w:left="720"/>
      <w:contextualSpacing/>
    </w:pPr>
  </w:style>
  <w:style w:type="paragraph" w:customStyle="1" w:styleId="Teksti2">
    <w:name w:val="Teksti 2"/>
    <w:basedOn w:val="Normal"/>
    <w:uiPriority w:val="99"/>
    <w:rsid w:val="003773BE"/>
    <w:pPr>
      <w:keepLines/>
      <w:suppressAutoHyphens/>
      <w:autoSpaceDE w:val="0"/>
      <w:autoSpaceDN w:val="0"/>
      <w:adjustRightInd w:val="0"/>
      <w:spacing w:after="0" w:line="280" w:lineRule="atLeast"/>
      <w:ind w:left="454" w:hanging="454"/>
      <w:jc w:val="both"/>
      <w:textAlignment w:val="center"/>
    </w:pPr>
    <w:rPr>
      <w:rFonts w:ascii="Futura Lt BT" w:hAnsi="Futura Lt BT" w:cs="Futura Lt BT"/>
      <w:color w:val="000000"/>
      <w:spacing w:val="1"/>
      <w:sz w:val="24"/>
      <w:szCs w:val="24"/>
    </w:rPr>
  </w:style>
  <w:style w:type="character" w:styleId="CommentReference">
    <w:name w:val="annotation reference"/>
    <w:basedOn w:val="DefaultParagraphFont"/>
    <w:unhideWhenUsed/>
    <w:rsid w:val="003773B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73BE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73BE"/>
    <w:rPr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773BE"/>
  </w:style>
  <w:style w:type="paragraph" w:styleId="BodyText3">
    <w:name w:val="Body Text 3"/>
    <w:basedOn w:val="Normal"/>
    <w:link w:val="BodyText3Char"/>
    <w:rsid w:val="003773BE"/>
    <w:pPr>
      <w:tabs>
        <w:tab w:val="left" w:pos="-720"/>
      </w:tabs>
      <w:spacing w:after="0" w:line="360" w:lineRule="atLeast"/>
      <w:jc w:val="both"/>
    </w:pPr>
    <w:rPr>
      <w:rFonts w:ascii="Arial" w:eastAsia="MS Mincho" w:hAnsi="Arial" w:cs="Times New Roman"/>
      <w:sz w:val="26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3773BE"/>
    <w:rPr>
      <w:rFonts w:ascii="Arial" w:eastAsia="MS Mincho" w:hAnsi="Arial" w:cs="Times New Roman"/>
      <w:sz w:val="26"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3773B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3773BE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3BE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565A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565ACE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565ACE"/>
    <w:pPr>
      <w:spacing w:after="120" w:line="240" w:lineRule="auto"/>
      <w:ind w:left="360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65ACE"/>
    <w:rPr>
      <w:rFonts w:ascii="Times New Roman" w:eastAsia="MS Mincho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65ACE"/>
    <w:rPr>
      <w:rFonts w:ascii="Arial" w:eastAsia="Times New Roman" w:hAnsi="Arial" w:cs="Arial"/>
      <w:b/>
      <w:bCs/>
      <w:kern w:val="32"/>
      <w:sz w:val="32"/>
      <w:szCs w:val="32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97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97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E1D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1DFC"/>
  </w:style>
  <w:style w:type="table" w:styleId="TableGrid">
    <w:name w:val="Table Grid"/>
    <w:basedOn w:val="TableNormal"/>
    <w:uiPriority w:val="39"/>
    <w:rsid w:val="00017853"/>
    <w:pPr>
      <w:spacing w:after="0" w:line="240" w:lineRule="auto"/>
    </w:pPr>
    <w:rPr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29</Nr_x002e__x0020_akti>
    <Data_x0020_e_x0020_Krijimit xmlns="0e656187-b300-4fb0-8bf4-3a50f872073c">2024-05-14T09:13:20Z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2024-05-13T00:00:00Z</Date_x0020_protokolli>
    <Titulli xmlns="0e656187-b300-4fb0-8bf4-3a50f872073c">Për disa ndryshime në rregulloren "Për krahasueshmërinë e tarifave të lidhur me llogaritë dhe për shërbimin e transferimit të llogarive të pagesave"</Titulli>
    <Modifikuesi xmlns="0e656187-b300-4fb0-8bf4-3a50f872073c">jorina.kryeziu</Modifikuesi>
    <Nr_x002e__x0020_prot_x0020_QBZ xmlns="0e656187-b300-4fb0-8bf4-3a50f872073c">841/1</Nr_x002e__x0020_prot_x0020_QBZ>
    <Data_x0020_e_x0020_Modifikimit xmlns="0e656187-b300-4fb0-8bf4-3a50f872073c">2024-05-14T10:02:23Z</Data_x0020_e_x0020_Modifikimit>
    <Dekretuar xmlns="0e656187-b300-4fb0-8bf4-3a50f872073c">false</Dekretuar>
    <Data xmlns="0e656187-b300-4fb0-8bf4-3a50f872073c">2024-05-08T00:00:00Z</Data>
    <Nr_x002e__x0020_protokolli_x0020_i_x0020_aktit xmlns="0e656187-b300-4fb0-8bf4-3a50f872073c">2086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641AAFEEFEE4C7BA5FDB6A6F91059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641AAFEEFEE4C7BA5FDB6A6F910593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D107B49-6EA1-47A1-B757-4328424CA82B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C927100-C79D-49A1-A388-DBB9EF561E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E1F2C-EB6D-40CA-AE84-8D6A19BC0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58591D2-6AEC-4C70-BDBA-064E3EFBD4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A90025-B7AA-4DBE-A0F7-A98B735D9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"Për krahasueshmërinë e tarifave të lidhur me llogaritë dhe për shërbimin e transferimit të llogarive të pagesave"</vt:lpstr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"Për krahasueshmërinë e tarifave të lidhur me llogaritë dhe për shërbimin e transferimit të llogarive të pagesave"</dc:title>
  <dc:creator>Elis Hoxha</dc:creator>
  <cp:lastModifiedBy>Amarilda Muja</cp:lastModifiedBy>
  <cp:revision>11</cp:revision>
  <cp:lastPrinted>2024-05-08T06:42:00Z</cp:lastPrinted>
  <dcterms:created xsi:type="dcterms:W3CDTF">2024-05-14T08:00:00Z</dcterms:created>
  <dcterms:modified xsi:type="dcterms:W3CDTF">2024-05-14T10:18:00Z</dcterms:modified>
</cp:coreProperties>
</file>