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15678" w14:textId="77777777" w:rsidR="0079088F" w:rsidRPr="00A61CE4" w:rsidRDefault="0079088F" w:rsidP="0079088F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66CBADEF" w14:textId="19EC4DCA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 2819, datë 27.6.2024</w:t>
      </w:r>
    </w:p>
    <w:p w14:paraId="2EDC88FC" w14:textId="77777777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</w:p>
    <w:p w14:paraId="5D7FF93F" w14:textId="30108426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Sot më datë 27.6.2024, pasi shqyrtova ankimin administrativ të subjektit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Albania”</w:t>
      </w:r>
      <w:r w:rsidR="0082079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sh.p.k.,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me anë të </w:t>
      </w:r>
      <w:r w:rsidR="009A019B">
        <w:rPr>
          <w:rFonts w:ascii="Garamond" w:eastAsiaTheme="minorHAnsi" w:hAnsi="Garamond"/>
          <w:color w:val="000000"/>
          <w:sz w:val="24"/>
          <w:szCs w:val="24"/>
          <w:lang w:val="sq-AL"/>
        </w:rPr>
        <w:t>t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ë cilit kërkohet shfuqizimi i vendimit </w:t>
      </w:r>
      <w:r w:rsidR="00820799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r.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2302, datë 23.5.2024</w:t>
      </w:r>
      <w:r w:rsidR="009A019B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9A019B">
        <w:rPr>
          <w:rFonts w:ascii="Garamond" w:eastAsiaTheme="minorHAnsi" w:hAnsi="Garamond"/>
          <w:color w:val="000000"/>
          <w:sz w:val="24"/>
          <w:szCs w:val="24"/>
          <w:lang w:val="sq-AL"/>
        </w:rPr>
        <w:t>“Për revokimin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e licencës së subjektit financiar jobankë </w:t>
      </w:r>
      <w:r w:rsidR="009A019B">
        <w:rPr>
          <w:rFonts w:ascii="Garamond" w:eastAsiaTheme="minorHAnsi" w:hAnsi="Garamond"/>
          <w:color w:val="000000"/>
          <w:sz w:val="24"/>
          <w:szCs w:val="24"/>
          <w:lang w:val="sq-AL"/>
        </w:rPr>
        <w:t>‘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Micro Credit Albania</w:t>
      </w:r>
      <w:r w:rsidR="009A019B">
        <w:rPr>
          <w:rFonts w:ascii="Garamond" w:eastAsiaTheme="minorHAnsi" w:hAnsi="Garamond"/>
          <w:color w:val="000000"/>
          <w:sz w:val="24"/>
          <w:szCs w:val="24"/>
          <w:lang w:val="sq-AL"/>
        </w:rPr>
        <w:t>’</w:t>
      </w:r>
      <w:r w:rsidR="00820799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sh.p.k.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”, dhe analizova historikun e licencimit dhe të ecurisë së procesit të mbikëqyrjes së subjektit financiar jobankë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Albania”</w:t>
      </w:r>
      <w:r w:rsidR="000C5AC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sh.p.k.</w:t>
      </w:r>
      <w:r w:rsidR="00920D7A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</w:p>
    <w:p w14:paraId="2A911A35" w14:textId="77777777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189CD97" w14:textId="4B83119B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VËREJ:</w:t>
      </w:r>
    </w:p>
    <w:p w14:paraId="6EA0DC50" w14:textId="77777777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2C30EDB0" w14:textId="77777777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I. Rrethanat e procedimit administrativ:</w:t>
      </w:r>
    </w:p>
    <w:p w14:paraId="6C6F0E8D" w14:textId="711498A8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Subjekti financiar jobankë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</w:t>
      </w:r>
      <w:r w:rsidR="002A61B1">
        <w:rPr>
          <w:rFonts w:ascii="Garamond" w:eastAsiaTheme="minorHAnsi" w:hAnsi="Garamond"/>
          <w:color w:val="000000"/>
          <w:sz w:val="24"/>
          <w:szCs w:val="24"/>
          <w:lang w:val="sq-AL"/>
        </w:rPr>
        <w:t>” sh.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p.k.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(MCA), është licencuar për kryerjen e veprimtarive financiare,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“të gjitha format e kredidhënies”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“shërbimeve këshilluese ndërmjetëse”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“shërbime të tjera ndihmëse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për veprimtarinë e kredidhënies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="0057187E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sipas licencës së dhënë nga Banka e Shqipërisë </w:t>
      </w:r>
      <w:r w:rsidR="00700CED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r. 38, datë 9.5.2016.</w:t>
      </w:r>
    </w:p>
    <w:p w14:paraId="1A4D1E35" w14:textId="09CD1061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Me </w:t>
      </w:r>
      <w:r w:rsidR="00700CED">
        <w:rPr>
          <w:rFonts w:ascii="Garamond" w:eastAsiaTheme="minorHAnsi" w:hAnsi="Garamond"/>
          <w:color w:val="000000"/>
          <w:sz w:val="24"/>
          <w:szCs w:val="24"/>
          <w:lang w:val="sq-AL"/>
        </w:rPr>
        <w:t>v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endimin nr. 5689, datë 19.12.2022</w:t>
      </w:r>
      <w:r w:rsidR="009168A4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Guvernatorit, veprimtaria e subjektit financiar jobankë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</w:t>
      </w:r>
      <w:r w:rsidR="002A61B1">
        <w:rPr>
          <w:rFonts w:ascii="Garamond" w:eastAsiaTheme="minorHAnsi" w:hAnsi="Garamond"/>
          <w:color w:val="000000"/>
          <w:sz w:val="24"/>
          <w:szCs w:val="24"/>
          <w:lang w:val="sq-AL"/>
        </w:rPr>
        <w:t>” sh.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p.k.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u</w:t>
      </w:r>
      <w:r w:rsidR="0057187E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pezullua deri </w:t>
      </w:r>
      <w:r w:rsidR="00300EEF">
        <w:rPr>
          <w:rFonts w:ascii="Garamond" w:eastAsiaTheme="minorHAnsi" w:hAnsi="Garamond"/>
          <w:color w:val="000000"/>
          <w:sz w:val="24"/>
          <w:szCs w:val="24"/>
          <w:lang w:val="sq-AL"/>
        </w:rPr>
        <w:t>m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ë 31.12.2023, për një periudhë 12</w:t>
      </w:r>
      <w:r w:rsidR="003B2005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mujore. </w:t>
      </w:r>
    </w:p>
    <w:p w14:paraId="7DEBC8FA" w14:textId="15520A70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Me vendimin nr. 644</w:t>
      </w:r>
      <w:r w:rsidR="000F291A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datë 6.2.2024</w:t>
      </w:r>
      <w:r w:rsidR="0068600D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Guvernatori i Bankës së Shqipërisë, për shkelje të përsëritura dhe të paadresuara nga ana e subjektit, vendosi të caktojë masën e pezullimit me kufizime të tjera shtesë të veprimtarive të përcaktuara në licencë për këtë subjekt deri </w:t>
      </w:r>
      <w:r w:rsidR="00300EEF">
        <w:rPr>
          <w:rFonts w:ascii="Garamond" w:eastAsiaTheme="minorHAnsi" w:hAnsi="Garamond"/>
          <w:color w:val="000000"/>
          <w:sz w:val="24"/>
          <w:szCs w:val="24"/>
          <w:lang w:val="sq-AL"/>
        </w:rPr>
        <w:t>m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ë datë 30.6.2024. </w:t>
      </w:r>
    </w:p>
    <w:p w14:paraId="2084D592" w14:textId="4C09215F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Me shkresën nr.</w:t>
      </w:r>
      <w:r w:rsidR="000F291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12287/1, datë 23.5.2024</w:t>
      </w:r>
      <w:r w:rsidR="0068600D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Prokurorisë pranë Gjykatës së Shkallës së Parë të Juridiksionit të Përgjithshëm Tiranë, Banka e Shqipërisë u vu në dijeni të faktit se ndaj ortakut Elda Ibro, të subjektit financiar jobankë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</w:t>
      </w:r>
      <w:r w:rsidR="002A61B1">
        <w:rPr>
          <w:rFonts w:ascii="Garamond" w:eastAsiaTheme="minorHAnsi" w:hAnsi="Garamond"/>
          <w:color w:val="000000"/>
          <w:sz w:val="24"/>
          <w:szCs w:val="24"/>
          <w:lang w:val="sq-AL"/>
        </w:rPr>
        <w:t>” sh.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p.k.,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është vendosur masa e sigurimit personal “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arrest shtëpie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” nga Gjykata e Shkallës së Parë e Juridiksionit të Përgjithshëm Tiranë.</w:t>
      </w:r>
    </w:p>
    <w:p w14:paraId="1EEC66D7" w14:textId="50D4276F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Në nenin 10, pika 1, shkronja “a”, e rregullores “Për licencimin dhe ushtrimin e veprimtarisë nga subjektet financiare jobanka”, miratuar me vendimin nr. 1, datë 17.1.2013, i ndryshuar, parashikohet se një ndër kriteret që duhet të plotësojnë në vazhdimësi subjektet financiare jobanka gjatë ushtrimit të veprimtarisë së tyre është që themeluesit/e subjektit të kenë reputacion të mirë.</w:t>
      </w:r>
    </w:p>
    <w:p w14:paraId="116E1634" w14:textId="47B3620E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rrjedhojë, pas informacionit të marrë nga Prokuroria, në zbatim të nenit 14, pika 1, shkronja “h”, të rregullores së mësipërme, si dhe bazuar në propozimin e Departamentit të Mbikëqyrjes, me vendimin </w:t>
      </w:r>
      <w:r w:rsidR="0079009A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r.</w:t>
      </w:r>
      <w:r w:rsidR="0079009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2302, datë 23.5.2024, Guvernatori i Bankës së Shqipërisë vendosi revokimin e licencës së subjektit financiar jobankë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</w:t>
      </w:r>
      <w:r w:rsidR="002A61B1">
        <w:rPr>
          <w:rFonts w:ascii="Garamond" w:eastAsiaTheme="minorHAnsi" w:hAnsi="Garamond"/>
          <w:color w:val="000000"/>
          <w:sz w:val="24"/>
          <w:szCs w:val="24"/>
          <w:lang w:val="sq-AL"/>
        </w:rPr>
        <w:t>” sh.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p.k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</w:p>
    <w:p w14:paraId="5F520CC3" w14:textId="7430BCBB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II. Pretendimet e paraqitura në </w:t>
      </w:r>
      <w:r w:rsidR="009168A4" w:rsidRPr="00A61CE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ankimin administrativ</w:t>
      </w:r>
      <w:r w:rsidRPr="00A61CE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:</w:t>
      </w:r>
    </w:p>
    <w:p w14:paraId="69C083A8" w14:textId="61CC5D45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Ndaj vendimit të mësipërm </w:t>
      </w:r>
      <w:r w:rsidR="0079009A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r.</w:t>
      </w:r>
      <w:r w:rsidR="0079009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2302, datë 23.5.2024</w:t>
      </w:r>
      <w:r w:rsidR="0027469B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për revokimin e licencës, ka paraqitur ankim subjekti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</w:t>
      </w:r>
      <w:r w:rsidR="002A61B1">
        <w:rPr>
          <w:rFonts w:ascii="Garamond" w:eastAsiaTheme="minorHAnsi" w:hAnsi="Garamond"/>
          <w:color w:val="000000"/>
          <w:sz w:val="24"/>
          <w:szCs w:val="24"/>
          <w:lang w:val="sq-AL"/>
        </w:rPr>
        <w:t>” sh.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p.k.,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ku ka parashtruar se: </w:t>
      </w:r>
    </w:p>
    <w:p w14:paraId="1987B6AD" w14:textId="13A528A8" w:rsidR="0079088F" w:rsidRPr="00A61CE4" w:rsidRDefault="0079088F" w:rsidP="0079088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1.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Banka e Shqipërisë nuk ka respektuar kushtet dhe kërkesat procedurat e parashikuara nga kuadri ligjor në lidhje me vendimmarrjen përkatëse, e cila në çdo rast ka qenë dispropocionale</w:t>
      </w:r>
      <w:r w:rsidR="0068600D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.</w:t>
      </w:r>
    </w:p>
    <w:p w14:paraId="3A490DC6" w14:textId="691DD333" w:rsidR="0079088F" w:rsidRPr="00A61CE4" w:rsidRDefault="0079088F" w:rsidP="0079088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2.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Ortakja e shoqërisë znj. Elda Ibro, nuk ka kompetenca administrative pranë shoqërisë MCA </w:t>
      </w:r>
      <w:r w:rsidR="00A61CE4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sh.p.k.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dhe pengesa, ndalimi ligjor, efektet negative janë lehtësisht të evitueshme (pa pasur ndikim negativ në shoqëri,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me kalimin e kuotës që zotëron ajo në shoqërinë MCA </w:t>
      </w:r>
      <w:r w:rsidR="00A61CE4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sh.p.k.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).</w:t>
      </w:r>
    </w:p>
    <w:p w14:paraId="2DE761E5" w14:textId="2FFF6E4C" w:rsidR="0079088F" w:rsidRPr="00A61CE4" w:rsidRDefault="0079088F" w:rsidP="0079088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3.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Prej fillimit të aktivitetit të shoqërisë MCA </w:t>
      </w:r>
      <w:r w:rsidR="00A61CE4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sh.p.k.,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duke bërë dallimin e pozitës procedurale të personit nën hetim, pasi çdo shtetas përfshirë dhe Presidentin e Republikës mund të jetë shtetas nën hetim sipas K.Pr.Penale, deri ditën e sotme asnjë punonjës, apo ortak i MCA </w:t>
      </w:r>
      <w:r w:rsidR="00A61CE4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sh.p.k.,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nuk i është komunikuar asnjë akuzë zyrtare që mund të ketë lidhje ose jo me aktivitetin e shoqërisë.</w:t>
      </w:r>
    </w:p>
    <w:p w14:paraId="37061626" w14:textId="21417320" w:rsidR="0079088F" w:rsidRPr="00A61CE4" w:rsidRDefault="0079088F" w:rsidP="0079088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4.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Prej fillimit të aktivitetit të shoqërisë MCA </w:t>
      </w:r>
      <w:r w:rsidR="00A61CE4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sh.p.k.,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duke bërë dallimin e legjislacionit civil me legjislacionin penal deri ditën e sotme nuk rezulton asnjë vendimmarrje gjyqësore që të ngarkojë MCA </w:t>
      </w:r>
      <w:r w:rsidR="00A61CE4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sh.p.k.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me detyrimin e kthimit të shumave monetare</w:t>
      </w:r>
      <w:r w:rsidR="002D1A06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të cilat janë sekuestruar në mënyrë të paligjshme, të parregullt, më shumë se sa parashikohet nga detyrimet kontraktuale, apo vendimet gjyqësore përkatëse. </w:t>
      </w:r>
    </w:p>
    <w:p w14:paraId="7F8C873E" w14:textId="77777777" w:rsidR="0079088F" w:rsidRPr="00A61CE4" w:rsidRDefault="0079088F" w:rsidP="0079088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4D2D54C0" w14:textId="66EA48F2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>Për sa më</w:t>
      </w:r>
      <w:r w:rsidR="0079009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sipër</w:t>
      </w:r>
      <w:r w:rsidR="002D1A06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kërkohet shfuqizimi i vendimit 2302</w:t>
      </w:r>
      <w:r w:rsidR="0079009A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datë 23.5.2024</w:t>
      </w:r>
      <w:r w:rsidR="0068600D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="0057187E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“Për revokimin e licencës së subjektit financiar jobank </w:t>
      </w:r>
      <w:r w:rsidR="008B231E">
        <w:rPr>
          <w:rFonts w:ascii="Garamond" w:eastAsiaTheme="minorHAnsi" w:hAnsi="Garamond"/>
          <w:color w:val="000000"/>
          <w:sz w:val="24"/>
          <w:szCs w:val="24"/>
          <w:lang w:val="sq-AL"/>
        </w:rPr>
        <w:t>‘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Micro Credit Albania</w:t>
      </w:r>
      <w:r w:rsidR="008B231E">
        <w:rPr>
          <w:rFonts w:ascii="Garamond" w:eastAsiaTheme="minorHAnsi" w:hAnsi="Garamond"/>
          <w:color w:val="000000"/>
          <w:sz w:val="24"/>
          <w:szCs w:val="24"/>
          <w:lang w:val="sq-AL"/>
        </w:rPr>
        <w:t>’</w:t>
      </w:r>
      <w:r w:rsidR="002A61B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sh.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p.k.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”. </w:t>
      </w:r>
    </w:p>
    <w:p w14:paraId="64EF8D13" w14:textId="77777777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III. Arsyetimi ligjor</w:t>
      </w:r>
    </w:p>
    <w:p w14:paraId="5503F961" w14:textId="77777777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1) Në lidhje me pretendimin e subjektit për mosrespektim të kërkesave procedurale në nxjerrjen e aktit administrativ.</w:t>
      </w:r>
    </w:p>
    <w:p w14:paraId="79C53327" w14:textId="316A2C63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Banka e Shqipërisë, me marrjen e njoftimit nga Prokuroria pranë Gjykatës së Shkallës së Parë të Juridiksionit të Përgjithshëm Tiranë, është vënë në dijeni të faktit se Gjykata e Shkallës së Parë e Juridiksionit të Përgjithshëm Tiranë kishte miratuar kërkesën e Prokurorisë për caktimin e masës së sigurimit personal për ortakun e vetëm të subjektit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</w:t>
      </w:r>
      <w:r w:rsidR="002A61B1">
        <w:rPr>
          <w:rFonts w:ascii="Garamond" w:eastAsiaTheme="minorHAnsi" w:hAnsi="Garamond"/>
          <w:color w:val="000000"/>
          <w:sz w:val="24"/>
          <w:szCs w:val="24"/>
          <w:lang w:val="sq-AL"/>
        </w:rPr>
        <w:t>” sh.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p.k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. Ky fakt, i cili në aktet rregullative sa i përket licencimit dhe</w:t>
      </w:r>
      <w:r w:rsidR="0068600D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rrjedhimisht</w:t>
      </w:r>
      <w:r w:rsidR="0068600D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mbajtjes së licencës gjatë ushtrimit të veprimtarisë nga subjekti, përbën një mbështetje të pakundërshtueshme që justifikon plotësisht vendimmarrjen e Bankës së Shqipërisë. </w:t>
      </w:r>
    </w:p>
    <w:p w14:paraId="797A541E" w14:textId="4519B039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Kjo vendimmarrje i është komunikuar subjektit nga Banka e Shqipërisë edhe pse në tentativat për të komunikuar me administratorin e subjektit është përballuar me “heshtje”. Subjekti ka qenë i ngarkuar nga Banka e Shqipërisë pas marrjes së vendimit nr. 644</w:t>
      </w:r>
      <w:r w:rsidR="002A61B1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datë 6.2.2024 të komunikonte rregullisht në lidhje me vijimin e përmbushjes së detyrimeve më të cilat u ngarkua nga ky vendim. Përpjekjeve të Bankës së Shqipërisë për të marrë informacion, administratori i subjektit nuk i është përgjigjur personalisht. Më tej, edhe dërgimi i vendimit për revokimin e licencës është kthyer mbrapsht 2 herë nga shërbimi postar, pasi subjekti nuk gjendej në adresat e deklaruara. Dorëzimi është bërë me korrier privat, dhe në këtë rast vetëm pas komunikimit me</w:t>
      </w:r>
      <w:r w:rsidR="0057187E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një punonjëse të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Albania”</w:t>
      </w:r>
      <w:r w:rsidR="002A61B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Fakti që Banka e Shqipërisë po shqyrton ankimin ndaj asaj vendimmarrje, konfirmon vullnetin e këtij institucioni për të respektuar gjithë detyrimet sa i përket procedimit administrativ. </w:t>
      </w:r>
    </w:p>
    <w:p w14:paraId="67C2DDD7" w14:textId="0439403B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2) Në lidhje me pretendimin që masa e sigurimit personal ndaj ortakut të shoqërisë, nuk c</w:t>
      </w:r>
      <w:r w:rsidR="002339F3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non vijueshmërinë e aktivitetit të subjektit arsyetoj se reputacioni i shoqërisë për shkak të masës ndaluese të marrë ndaj ortakut është i c</w:t>
      </w:r>
      <w:r w:rsidR="00747D84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nuar rëndë. Tjetërsimi i kuotës që zotëron ortaku i ndaluar me masë sigurimi nuk nënkupton që reputacioni i këtij subjekti është i pac</w:t>
      </w:r>
      <w:r w:rsidR="007F26CC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nueshëm sipas përcaktimeve rregullatore. Po ashtu, për aq kohë sa subjekti ka kohë që nuk përmbush asnjë nga detyrimet e ngarkuara nga Banka e Shqipërisë, krijoi bindjen se organet e shoqërisë nuk janë funksionale. Nga ana tjetër, fakti që komunikimi me administratorin e subjektit nuk ka funksionuar, kjo për faj të administratorit, më bind se pretendimi juaj për vijueshmërinë e veprimtarisë së shoqërisë nga administratori i saj është i pambështetur.</w:t>
      </w:r>
    </w:p>
    <w:p w14:paraId="39C57625" w14:textId="612E2D8D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3) Në lidhje me pretendimin tuaj se nuk ka ende një akuzë të komunikuar nga organi i hetimit, konfirmoj se vendimmarrja e Bankës së Shqipërisë është mbështetur tërësisht në kuadrin rregullativ në fuqi. Konkretisht</w:t>
      </w:r>
      <w:r w:rsidR="00DC5A21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rregullorja “Për licencimin dhe ushtrimin e veprimtarisë nga subjektet financiare jobanka” miratuar me vendimin nr.</w:t>
      </w:r>
      <w:r w:rsidR="00092862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bookmarkStart w:id="0" w:name="_GoBack"/>
      <w:bookmarkEnd w:id="0"/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1, datë 17.1.2013, i ndryshuar, parashikon kriteret dhe kushtet që duhet të përmbushin subjektet financiare jobanka, të cilat kërkojnë të licencohen nga Banka e Shqipërisë për ushtrimin e veprimtarive financiare. Këto kritere, janë të zbatueshme për t’u përmbushur jo vetëm në momentin e licencimit, por duhet që këto kritere të përmbushen në vijimësi gjatë gjithë veprimtarisë financiare të subjektit financiar jobankë. </w:t>
      </w:r>
    </w:p>
    <w:p w14:paraId="675238A3" w14:textId="41341637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Një ndër kriteret e rëndësishme për dhënien apo refuzimin e licencës është i parashikuar në nenin 10 të rregullores së licencimit dhe që lidhet me reputacionin e themeluesit (ortaku i vetëm) të shoqërisë. Më konkretisht, pika 1, e këtij neni përcakton:</w:t>
      </w:r>
      <w:r w:rsidR="0057187E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5853C531" w14:textId="7A5B8A60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“Banka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Shqipërisë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merr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vendim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për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dhënien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licencës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vetëm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kur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krijon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bindjen se subjekti plotëson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kërkesat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kësaj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rregulloreje,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për</w:t>
      </w:r>
      <w:r w:rsidR="00747D8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sa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="00747D8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u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përket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kushteve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të mëposhtme:</w:t>
      </w:r>
    </w:p>
    <w:p w14:paraId="1F5C4F37" w14:textId="64E03964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sz w:val="24"/>
          <w:szCs w:val="24"/>
          <w:lang w:val="sq-AL"/>
        </w:rPr>
      </w:pPr>
      <w:r w:rsidRPr="00DF4132">
        <w:rPr>
          <w:rFonts w:ascii="Garamond" w:eastAsiaTheme="minorHAnsi" w:hAnsi="Garamond"/>
          <w:bCs/>
          <w:i/>
          <w:iCs/>
          <w:sz w:val="24"/>
          <w:szCs w:val="24"/>
          <w:lang w:val="sq-AL"/>
        </w:rPr>
        <w:t>a)</w:t>
      </w:r>
      <w:r w:rsidR="0057187E"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themeluesit</w:t>
      </w:r>
      <w:r w:rsidR="0057187E"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e</w:t>
      </w:r>
      <w:r w:rsidR="0057187E"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subjektit</w:t>
      </w:r>
      <w:r w:rsidR="0057187E"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të</w:t>
      </w:r>
      <w:r w:rsidR="0057187E"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kenë</w:t>
      </w:r>
      <w:r w:rsidR="0057187E"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reputacion</w:t>
      </w:r>
      <w:r w:rsidR="0057187E"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të</w:t>
      </w:r>
      <w:r w:rsidR="0057187E"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mirë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,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burim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të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ligjshëm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të kontributeve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në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kapital,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veprimtari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të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ligjshme,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të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regjistruar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dhe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që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mund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të mbikëqyret, të kenë mundësi financiare për derdhjen e fondeve shtesë në qoftë se kapitali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bie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nën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nivelin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minimal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të kërkuar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nga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Banka e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Shqipërisë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ose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për realizimin e financimeve të nevojshme për vazhdimin e qëndrueshëm në kohë të veprimtarisë së subjektit;</w:t>
      </w:r>
    </w:p>
    <w:p w14:paraId="482401F2" w14:textId="3F3865FD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b)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kualifikimet,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përvoja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e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reputacioni</w:t>
      </w:r>
      <w:r w:rsidR="0057187E"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i</w:t>
      </w:r>
      <w:r w:rsidR="0057187E"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administratorit</w:t>
      </w:r>
      <w:r w:rsidR="0057187E"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dhe</w:t>
      </w:r>
      <w:r w:rsidR="0057187E"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i</w:t>
      </w:r>
      <w:r w:rsidR="0057187E"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themeluesve</w:t>
      </w:r>
      <w:r w:rsidR="0057187E"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me pjesëmarrje</w:t>
      </w:r>
      <w:r w:rsidR="0057187E"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>influencuese</w:t>
      </w:r>
      <w:r w:rsidR="0057187E" w:rsidRPr="00A61CE4">
        <w:rPr>
          <w:rFonts w:ascii="Garamond" w:eastAsiaTheme="minorHAnsi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të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jenë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të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përshtatshme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për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realizimin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e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planit</w:t>
      </w:r>
      <w:r w:rsidR="0057187E"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të biznesit.”</w:t>
      </w:r>
      <w:r w:rsidR="004979C1">
        <w:rPr>
          <w:rFonts w:ascii="Garamond" w:eastAsiaTheme="minorHAnsi" w:hAnsi="Garamond"/>
          <w:i/>
          <w:iCs/>
          <w:sz w:val="24"/>
          <w:szCs w:val="24"/>
          <w:lang w:val="sq-AL"/>
        </w:rPr>
        <w:t>.</w:t>
      </w:r>
    </w:p>
    <w:p w14:paraId="3FC0FF3B" w14:textId="77777777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sz w:val="24"/>
          <w:szCs w:val="24"/>
          <w:lang w:val="sq-AL"/>
        </w:rPr>
        <w:lastRenderedPageBreak/>
        <w:t>Ndërkohë, që pika 2 (nënpika 4), e po këtij neni të rregullores, bën një parashikim akoma më eksplicit, duke u shprehur:</w:t>
      </w:r>
    </w:p>
    <w:p w14:paraId="77688352" w14:textId="4479C36A" w:rsidR="0079088F" w:rsidRPr="00A61CE4" w:rsidRDefault="0057187E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="0079088F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“Banka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="0079088F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="0079088F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Shqipërisë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="0079088F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refuzon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="0079088F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dhënien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="0079088F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="0079088F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licencës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="0079088F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kur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="0079088F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nuk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="0079088F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plotësohen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="0079088F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kërkesat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="0079088F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e kësaj rregulloreje, në rastet e mëposhtme:</w:t>
      </w:r>
    </w:p>
    <w:p w14:paraId="5A51C9C7" w14:textId="5D994ACA" w:rsidR="0079088F" w:rsidRPr="00A61CE4" w:rsidRDefault="0079088F" w:rsidP="0079088F">
      <w:pPr>
        <w:tabs>
          <w:tab w:val="left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4.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/>
        </w:rPr>
        <w:t>vërtetohet se të paktën njëri nga themeluesit:</w:t>
      </w:r>
    </w:p>
    <w:p w14:paraId="0EB6C8D0" w14:textId="43840945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i.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/>
        </w:rPr>
        <w:t>është në ndjekje penale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ose është dënuar nga gjykata me vendim gjyqësor të formës së prerë për kryerjen e një vepre penale me rrezikshmëri të lartë shoqërore;</w:t>
      </w:r>
    </w:p>
    <w:p w14:paraId="15428E29" w14:textId="0A14F1F6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ii. </w:t>
      </w:r>
      <w:r w:rsidRPr="00A61CE4">
        <w:rPr>
          <w:rFonts w:ascii="Garamond" w:eastAsiaTheme="minorHAnsi" w:hAnsi="Garamond"/>
          <w:b/>
          <w:bCs/>
          <w:i/>
          <w:iCs/>
          <w:color w:val="000000"/>
          <w:sz w:val="24"/>
          <w:szCs w:val="24"/>
          <w:lang w:val="sq-AL"/>
        </w:rPr>
        <w:t>është në ndjekje penale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ose është dënuar nga gjykata me vendim gjyqësor të formës së prerë për kryerjen e një vepre penale që lidhet me pastrimin e</w:t>
      </w:r>
      <w:r w:rsidR="0057187E"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>parave ose me financimin e terrorizimit, dhe</w:t>
      </w:r>
    </w:p>
    <w:p w14:paraId="035A4158" w14:textId="3E315A5F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sz w:val="24"/>
          <w:szCs w:val="24"/>
          <w:lang w:val="sq-AL"/>
        </w:rPr>
        <w:t xml:space="preserve">Pra, reputacioni i themeluesit të shoqërisë është një ndër kriteret kryesore që duhet të përmbushi një subjekt financiar jobankë, për këtë arsye, pjesë e dokumentacionit të licencimit në nenin 8, pika 2, shkronja “f”, të rregullores së licencimit, parashikohet </w:t>
      </w:r>
      <w:r w:rsidRPr="00A61CE4">
        <w:rPr>
          <w:rFonts w:ascii="Garamond" w:eastAsiaTheme="minorHAnsi" w:hAnsi="Garamond"/>
          <w:b/>
          <w:bCs/>
          <w:sz w:val="24"/>
          <w:szCs w:val="24"/>
          <w:lang w:val="sq-AL"/>
        </w:rPr>
        <w:t>paraqitja e vërtetimit për themeluesit se personi nuk është në ndjekje penale.</w:t>
      </w:r>
    </w:p>
    <w:p w14:paraId="0BE97FEC" w14:textId="4C1EEC0E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sz w:val="24"/>
          <w:szCs w:val="24"/>
          <w:lang w:val="sq-AL"/>
        </w:rPr>
        <w:t>Ky kriter është i rëndësishëm të përmbushet jo vetën në periudhën e licencimit, por edhe gjatë gjithë veprimtarisë së subjektit, pasi vetë rregullorja në nenin 14 të saj parashikon se subjektit financiar i pezullohet apo i revokohet licenca, nëse nuk përmbush kushtet bazë për të cilat është licencuar dhe siç e përmendëm edhe më</w:t>
      </w:r>
      <w:r w:rsidR="00BA3890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sz w:val="24"/>
          <w:szCs w:val="24"/>
          <w:lang w:val="sq-AL"/>
        </w:rPr>
        <w:t>sipër, një ndër kushtet kryesore është reputacioni i themeluesit/drejtuesve të shoqërisë (ortaku i vetëm) të shoqërisë. Nëse ky reputacion c</w:t>
      </w:r>
      <w:r w:rsidR="0068600D">
        <w:rPr>
          <w:rFonts w:ascii="Garamond" w:eastAsiaTheme="minorHAnsi" w:hAnsi="Garamond"/>
          <w:sz w:val="24"/>
          <w:szCs w:val="24"/>
          <w:lang w:val="sq-AL"/>
        </w:rPr>
        <w:t>e</w:t>
      </w:r>
      <w:r w:rsidRPr="00A61CE4">
        <w:rPr>
          <w:rFonts w:ascii="Garamond" w:eastAsiaTheme="minorHAnsi" w:hAnsi="Garamond"/>
          <w:sz w:val="24"/>
          <w:szCs w:val="24"/>
          <w:lang w:val="sq-AL"/>
        </w:rPr>
        <w:t>nohet, atëherë subjekti nuk mund të ushtrojë veprimtarinë financiare për të cilën është licencuar, pasi bie një ndër kriteret kryesore të licencimit, që ka të bëjë me reputacionin e tij për të ushtruar veprimtaritë për të cilat është i licencuar.</w:t>
      </w:r>
    </w:p>
    <w:p w14:paraId="19EFA6E6" w14:textId="5AB0F1A6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sz w:val="24"/>
          <w:szCs w:val="24"/>
          <w:lang w:val="sq-AL"/>
        </w:rPr>
        <w:t xml:space="preserve">Vendimmarrja e Bankës së Shqipërisë për revokimin e licencës ndaj subjektit MCA, gjen mbështetje edhe nga ecuria e veprimeve procedurale të ndërmarra nga organi i akuzës. </w:t>
      </w:r>
    </w:p>
    <w:p w14:paraId="19E282EC" w14:textId="1328401A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sz w:val="24"/>
          <w:szCs w:val="24"/>
          <w:lang w:val="sq-AL"/>
        </w:rPr>
        <w:t>Me shkresën nr.</w:t>
      </w:r>
      <w:r w:rsidR="00BA3890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sz w:val="24"/>
          <w:szCs w:val="24"/>
          <w:lang w:val="sq-AL"/>
        </w:rPr>
        <w:t>12828 prot</w:t>
      </w:r>
      <w:r w:rsidR="00747D84">
        <w:rPr>
          <w:rFonts w:ascii="Garamond" w:eastAsiaTheme="minorHAnsi" w:hAnsi="Garamond"/>
          <w:sz w:val="24"/>
          <w:szCs w:val="24"/>
          <w:lang w:val="sq-AL"/>
        </w:rPr>
        <w:t>.</w:t>
      </w:r>
      <w:r w:rsidRPr="00A61CE4">
        <w:rPr>
          <w:rFonts w:ascii="Garamond" w:eastAsiaTheme="minorHAnsi" w:hAnsi="Garamond"/>
          <w:sz w:val="24"/>
          <w:szCs w:val="24"/>
          <w:lang w:val="sq-AL"/>
        </w:rPr>
        <w:t xml:space="preserve">, datë 29.5.2024, jemi informuar nga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Prokuroria e Juridiksionit të Përgjithshëm të Rrethit Gjyqësor Tiranë, për regjistrimin e procedimit penal për veprën penale “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 xml:space="preserve">Pastrimi i produkteve të veprës penale apo veprimtarisë kriminale” </w:t>
      </w:r>
      <w:r w:rsidRPr="00A61CE4">
        <w:rPr>
          <w:rFonts w:ascii="Garamond" w:eastAsiaTheme="minorHAnsi" w:hAnsi="Garamond"/>
          <w:sz w:val="24"/>
          <w:szCs w:val="24"/>
          <w:lang w:val="sq-AL"/>
        </w:rPr>
        <w:t xml:space="preserve">për vepra penale të dyshuara gjatë ushtrimit të aktivitetit financiar edhe të shoqërisë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Albania”</w:t>
      </w:r>
      <w:r w:rsidR="00BA389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sh.p.k.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ka urdhëruar sekuestrimin e llogarive bankare të kësaj shoqërie dhe të Elda Ibro dhe personat e lidhur me ta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.</w:t>
      </w:r>
    </w:p>
    <w:p w14:paraId="2D4715B9" w14:textId="6A9F676F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sz w:val="24"/>
          <w:szCs w:val="24"/>
          <w:lang w:val="sq-AL"/>
        </w:rPr>
        <w:t xml:space="preserve">4) Në lidhje me pretendimet në ankim </w:t>
      </w:r>
      <w:r w:rsidRPr="00A61CE4">
        <w:rPr>
          <w:rFonts w:ascii="Garamond" w:eastAsiaTheme="minorHAnsi" w:hAnsi="Garamond"/>
          <w:i/>
          <w:iCs/>
          <w:sz w:val="24"/>
          <w:szCs w:val="24"/>
          <w:lang w:val="sq-AL"/>
        </w:rPr>
        <w:t>se masa e revokimit është disproporcionale</w:t>
      </w:r>
      <w:r w:rsidRPr="00A61CE4">
        <w:rPr>
          <w:rFonts w:ascii="Garamond" w:eastAsiaTheme="minorHAnsi" w:hAnsi="Garamond"/>
          <w:sz w:val="24"/>
          <w:szCs w:val="24"/>
          <w:lang w:val="sq-AL"/>
        </w:rPr>
        <w:t xml:space="preserve">, pasi u informova edhe njëherë me hollësi rreth gjithë procesit të mbikëqyrjes të subjektit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Albania”</w:t>
      </w:r>
      <w:r w:rsidR="00BA389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sh.p.k.,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shkallën e shkeljeve të konstatuara në disa vite, mosreagimin e subjektit për të korrigjuar mangësitë e vërejtura, vlerësova edhe njëherë mbështetjen jo në fakte të provuara të pretendimit të subjektit për vendimmarrje joproporcionale të Bankës së Shqipërisë, dhe analizoj se:</w:t>
      </w:r>
    </w:p>
    <w:p w14:paraId="30DA62F0" w14:textId="2FD22C68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sz w:val="24"/>
          <w:szCs w:val="24"/>
          <w:lang w:val="sq-AL"/>
        </w:rPr>
        <w:t>Siç është përmendur edhe më</w:t>
      </w:r>
      <w:r w:rsidR="003650D9">
        <w:rPr>
          <w:rFonts w:ascii="Garamond" w:eastAsiaTheme="minorHAnsi" w:hAnsi="Garamond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sz w:val="24"/>
          <w:szCs w:val="24"/>
          <w:lang w:val="sq-AL"/>
        </w:rPr>
        <w:t xml:space="preserve">sipër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me </w:t>
      </w:r>
      <w:r w:rsidR="003650D9">
        <w:rPr>
          <w:rFonts w:ascii="Garamond" w:eastAsiaTheme="minorHAnsi" w:hAnsi="Garamond"/>
          <w:color w:val="000000"/>
          <w:sz w:val="24"/>
          <w:szCs w:val="24"/>
          <w:lang w:val="sq-AL"/>
        </w:rPr>
        <w:t>v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endimin nr. 5689</w:t>
      </w:r>
      <w:r w:rsidR="003650D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datë 19.12.2022</w:t>
      </w:r>
      <w:r w:rsidR="00B25E48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Guvernatorit, veprimtaria e subjektit financiar jobankë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</w:t>
      </w:r>
      <w:r w:rsidR="002A61B1">
        <w:rPr>
          <w:rFonts w:ascii="Garamond" w:eastAsiaTheme="minorHAnsi" w:hAnsi="Garamond"/>
          <w:color w:val="000000"/>
          <w:sz w:val="24"/>
          <w:szCs w:val="24"/>
          <w:lang w:val="sq-AL"/>
        </w:rPr>
        <w:t>” sh.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p.k.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ka qenë e pezulluar deri </w:t>
      </w:r>
      <w:r w:rsidR="00300EEF">
        <w:rPr>
          <w:rFonts w:ascii="Garamond" w:eastAsiaTheme="minorHAnsi" w:hAnsi="Garamond"/>
          <w:color w:val="000000"/>
          <w:sz w:val="24"/>
          <w:szCs w:val="24"/>
          <w:lang w:val="sq-AL"/>
        </w:rPr>
        <w:t>m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ë 31.12.2023, për një periudhë 12</w:t>
      </w:r>
      <w:r w:rsidR="003B2005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mujore. Gjatë kësaj periudhe subjekti u urdhërua të merrte masa për adresimin e plotë të të gjitha mangësive dhe rekomandimeve të evidentuara në raportin e ekzaminimit </w:t>
      </w:r>
      <w:r w:rsidR="00BA3890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r. 761/3 </w:t>
      </w:r>
      <w:r w:rsidR="00BA3890">
        <w:rPr>
          <w:rFonts w:ascii="Garamond" w:eastAsiaTheme="minorHAnsi" w:hAnsi="Garamond"/>
          <w:color w:val="000000"/>
          <w:sz w:val="24"/>
          <w:szCs w:val="24"/>
          <w:lang w:val="sq-AL"/>
        </w:rPr>
        <w:t>p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rot.</w:t>
      </w:r>
      <w:r w:rsidR="00BA3890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datë 25.11.2020 dhe në raportin e ekzaminimit </w:t>
      </w:r>
      <w:r w:rsidR="00700CED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r</w:t>
      </w:r>
      <w:r w:rsidR="00BA3890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  <w:r w:rsidR="00BA3890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6343/1 </w:t>
      </w:r>
      <w:r w:rsidR="00BA3890">
        <w:rPr>
          <w:rFonts w:ascii="Garamond" w:eastAsiaTheme="minorHAnsi" w:hAnsi="Garamond"/>
          <w:color w:val="000000"/>
          <w:sz w:val="24"/>
          <w:szCs w:val="24"/>
          <w:lang w:val="sq-AL"/>
        </w:rPr>
        <w:t>p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rot., datë 5.12.2022. Bankës së Shqipërisë i rezultoi se asnjë nga detyrat e lëna nuk u adresuan nga subjekti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Albania”</w:t>
      </w:r>
      <w:r w:rsidR="00BA3890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</w:t>
      </w:r>
    </w:p>
    <w:p w14:paraId="6D226E6A" w14:textId="2CFE6F38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Me </w:t>
      </w:r>
      <w:r w:rsidR="003650D9">
        <w:rPr>
          <w:rFonts w:ascii="Garamond" w:eastAsiaTheme="minorHAnsi" w:hAnsi="Garamond"/>
          <w:color w:val="000000"/>
          <w:sz w:val="24"/>
          <w:szCs w:val="24"/>
          <w:lang w:val="sq-AL"/>
        </w:rPr>
        <w:t>v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endimin nr. 644</w:t>
      </w:r>
      <w:r w:rsidR="003650D9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datë 6.2.2024</w:t>
      </w:r>
      <w:r w:rsidR="00B25E48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Guvernatorit, për shkelje të përsëritura dhe të paadresuara nga ana e subjektit, në mënyrë të përshkallëzuar Banka e Shqipërisë vendosi të kufizojë ushtrimin e të gjitha veprimtarive për të cilën subjekti ishte licencuar, përveç shitjes së portofolit të kredive që ky subjekt administronte. Kjo masë pezullimi e licencës i shtrinte efektet deri më datë 30.6.2024. Kjo në vijim të strategjisë të ushtrimit të veprimtarisë nga subjekti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</w:t>
      </w:r>
      <w:r w:rsidR="002A61B1">
        <w:rPr>
          <w:rFonts w:ascii="Garamond" w:eastAsiaTheme="minorHAnsi" w:hAnsi="Garamond"/>
          <w:color w:val="000000"/>
          <w:sz w:val="24"/>
          <w:szCs w:val="24"/>
          <w:lang w:val="sq-AL"/>
        </w:rPr>
        <w:t>” sh.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p.k.,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pasqyruar në vendimmarrjen e ortakut të vetëm të shoqërisë të datës 5.1.2024, sipas të cilit shoqëria do ta shist</w:t>
      </w:r>
      <w:r w:rsidR="0068600D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gjithë portofolin e kredisë që administronte.</w:t>
      </w:r>
      <w:r w:rsidR="0057187E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67461FC4" w14:textId="399C7EA4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dyja vendimet e mësipërme për pezullimin e veprimtarisë, nuk janë ankimuar në gjykatë nga subjekti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</w:t>
      </w:r>
      <w:r w:rsidR="002A61B1">
        <w:rPr>
          <w:rFonts w:ascii="Garamond" w:eastAsiaTheme="minorHAnsi" w:hAnsi="Garamond"/>
          <w:color w:val="000000"/>
          <w:sz w:val="24"/>
          <w:szCs w:val="24"/>
          <w:lang w:val="sq-AL"/>
        </w:rPr>
        <w:t>” sh.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p.k.</w:t>
      </w:r>
      <w:r w:rsidRPr="00A61CE4">
        <w:rPr>
          <w:rFonts w:ascii="Garamond" w:eastAsiaTheme="minorHAnsi" w:hAnsi="Garamond"/>
          <w:i/>
          <w:iCs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duke pranuar në këtë mënyrë se vendimmarrja e Bankës së Shqipërisë ka qenë e drejtë dhe në përputhje me natyrën dhe shkallën e shkeljeve të konstatuara. Siç edhe ka rezultuar, subjekti nuk mori asnjëherë masa për eliminimin e shkeljeve. Jo vetëm kaq, por ka rezultuar se subjekti nuk rezulton të ketë dhe nuk ka pa</w:t>
      </w:r>
      <w:r w:rsidR="00286560">
        <w:rPr>
          <w:rFonts w:ascii="Garamond" w:eastAsiaTheme="minorHAnsi" w:hAnsi="Garamond"/>
          <w:color w:val="000000"/>
          <w:sz w:val="24"/>
          <w:szCs w:val="24"/>
          <w:lang w:val="sq-AL"/>
        </w:rPr>
        <w:t>s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ur të angazhuar strukturat e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>nevojshme për eliminimin e këtyre shkeljeve, siç konfirmohet edhe nga konkluzionet e raportit të ekzaminimit të plotë, dorëzuar me shkresën nr. 799/3</w:t>
      </w:r>
      <w:r w:rsidR="00700CED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datë 25.1.2024. Edhe në mesazhin elektronik të datës 20.4.2024, të punonjëses së MCA</w:t>
      </w:r>
      <w:r w:rsidR="00F7412A">
        <w:rPr>
          <w:rFonts w:ascii="Garamond" w:eastAsiaTheme="minorHAnsi" w:hAnsi="Garamond"/>
          <w:color w:val="000000"/>
          <w:sz w:val="24"/>
          <w:szCs w:val="24"/>
          <w:lang w:val="sq-AL"/>
        </w:rPr>
        <w:t>-së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, nëpërmjet të cilit përcillet qëndrimi i ortakes së vetme të shoqërisë, z</w:t>
      </w:r>
      <w:r w:rsidR="00286560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j. Elda Ibro, i kërkohet Bankës së Shqipërisë të lejojë dorëzimin e licencës nga MCA</w:t>
      </w:r>
      <w:r w:rsidR="00B25E48">
        <w:rPr>
          <w:rFonts w:ascii="Garamond" w:eastAsiaTheme="minorHAnsi" w:hAnsi="Garamond"/>
          <w:color w:val="000000"/>
          <w:sz w:val="24"/>
          <w:szCs w:val="24"/>
          <w:lang w:val="sq-AL"/>
        </w:rPr>
        <w:t>-ja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dhe lirimin nga detyra të administratorit z. Andis Gjoka. </w:t>
      </w:r>
    </w:p>
    <w:p w14:paraId="3EA36BEE" w14:textId="218F91AA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Strategjia e vijueshmërisë të aktivitetit të subjektit për shitjen e të gjitha kredive te 4 subjekte, siç është pohuar prej vetë subjektit ka rezultuar e papërmbushur. Në analizë të arsyetimit të mësipërm, në balancë të vendimmarrjes së Bankës së Shqipërisë ndaj sjelljes tërësore të subjektit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</w:t>
      </w:r>
      <w:r w:rsidR="002A61B1">
        <w:rPr>
          <w:rFonts w:ascii="Garamond" w:eastAsiaTheme="minorHAnsi" w:hAnsi="Garamond"/>
          <w:color w:val="000000"/>
          <w:sz w:val="24"/>
          <w:szCs w:val="24"/>
          <w:lang w:val="sq-AL"/>
        </w:rPr>
        <w:t>” sh.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p.k.,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konstatoj se vendimmarrja e Bankës së Shqipërisë për revokimin e licencës ndaj këtij subjekti është e përshtatshme dhe gjendet plotësisht e mbështetur në aktet rregullative të cituara në këtë vendim.</w:t>
      </w:r>
    </w:p>
    <w:p w14:paraId="1E705764" w14:textId="676E5AEF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Bazuar në sa më sipër, vlerësoj se pretendimet e paraqitura në ankimin administrativ nga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</w:t>
      </w:r>
      <w:r w:rsidR="002A61B1">
        <w:rPr>
          <w:rFonts w:ascii="Garamond" w:eastAsiaTheme="minorHAnsi" w:hAnsi="Garamond"/>
          <w:color w:val="000000"/>
          <w:sz w:val="24"/>
          <w:szCs w:val="24"/>
          <w:lang w:val="sq-AL"/>
        </w:rPr>
        <w:t>” sh.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p.k.,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nuk janë të bazuara dhe nuk përbëjnë shkak për të marrë një vendim të ndryshëm nga ai me </w:t>
      </w:r>
      <w:r w:rsidR="00700CED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r. 2302, datë 23.5.2024.</w:t>
      </w:r>
    </w:p>
    <w:p w14:paraId="065A1FBD" w14:textId="77777777" w:rsidR="0057187E" w:rsidRPr="00A61CE4" w:rsidRDefault="0057187E" w:rsidP="007908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6D54735" w14:textId="2BC0C671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PËR KËTO ARSYE</w:t>
      </w:r>
      <w:r w:rsidR="009A6774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,</w:t>
      </w:r>
      <w:r w:rsidR="0057187E" w:rsidRPr="00A61CE4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 xml:space="preserve"> </w:t>
      </w:r>
    </w:p>
    <w:p w14:paraId="4F1998B7" w14:textId="77777777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240483DE" w14:textId="28575D42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93</w:t>
      </w:r>
      <w:r w:rsidR="009A6774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</w:t>
      </w:r>
      <w:r w:rsidR="00277B4B">
        <w:rPr>
          <w:rFonts w:ascii="Garamond" w:eastAsiaTheme="minorHAnsi" w:hAnsi="Garamond"/>
          <w:color w:val="000000"/>
          <w:sz w:val="24"/>
          <w:szCs w:val="24"/>
          <w:lang w:val="sq-AL"/>
        </w:rPr>
        <w:t>l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igjit nr.</w:t>
      </w:r>
      <w:r w:rsidR="001A132A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9662</w:t>
      </w:r>
      <w:r w:rsidR="00277B4B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datë 18.12.2006</w:t>
      </w:r>
      <w:r w:rsidR="00277B4B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</w:t>
      </w:r>
      <w:r w:rsidR="00B04788">
        <w:rPr>
          <w:rFonts w:ascii="Garamond" w:eastAsiaTheme="minorHAnsi" w:hAnsi="Garamond"/>
          <w:color w:val="000000"/>
          <w:sz w:val="24"/>
          <w:szCs w:val="24"/>
          <w:lang w:val="sq-AL"/>
        </w:rPr>
        <w:t>b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ankat në Republikën e Shqipërisë”, i ndryshuar</w:t>
      </w:r>
      <w:r w:rsidR="00277B4B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neneve 130</w:t>
      </w:r>
      <w:r w:rsidR="00277B4B">
        <w:rPr>
          <w:rFonts w:ascii="Garamond" w:eastAsiaTheme="minorHAnsi" w:hAnsi="Garamond"/>
          <w:color w:val="000000"/>
          <w:sz w:val="24"/>
          <w:szCs w:val="24"/>
          <w:lang w:val="sq-AL"/>
        </w:rPr>
        <w:t>–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140</w:t>
      </w:r>
      <w:r w:rsidR="000C2466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Kodit të Procedurave Administrative</w:t>
      </w:r>
      <w:r w:rsidR="009A6774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</w:p>
    <w:p w14:paraId="3931967B" w14:textId="77777777" w:rsidR="0057187E" w:rsidRPr="00A61CE4" w:rsidRDefault="0057187E" w:rsidP="007908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C4397E4" w14:textId="0F502590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VENDOSA:</w:t>
      </w:r>
      <w:r w:rsidR="0057187E" w:rsidRPr="00A61CE4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 xml:space="preserve"> </w:t>
      </w:r>
    </w:p>
    <w:p w14:paraId="2826E12B" w14:textId="77777777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7698F234" w14:textId="31F0F863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1.</w:t>
      </w:r>
      <w:r w:rsidR="0057187E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Refuzimin e ankimit si të pabazuar dhe lënien në fuqi të vendimit </w:t>
      </w:r>
      <w:r w:rsidR="00700CED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r.</w:t>
      </w:r>
      <w:r w:rsidR="00700CED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2302</w:t>
      </w:r>
      <w:r w:rsidR="002A617B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datë 23.5.2024</w:t>
      </w:r>
      <w:r w:rsidR="002A617B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për revokimin e licencës së subjektit financiar jobankë</w:t>
      </w:r>
      <w:r w:rsidR="0057187E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A61CE4">
        <w:rPr>
          <w:rFonts w:ascii="Garamond" w:eastAsiaTheme="minorHAnsi" w:hAnsi="Garamond"/>
          <w:color w:val="000000"/>
          <w:sz w:val="24"/>
          <w:szCs w:val="24"/>
          <w:lang w:val="sq-AL"/>
        </w:rPr>
        <w:t>“Micro Credit Albania</w:t>
      </w:r>
      <w:r w:rsidR="002A61B1">
        <w:rPr>
          <w:rFonts w:ascii="Garamond" w:eastAsiaTheme="minorHAnsi" w:hAnsi="Garamond"/>
          <w:color w:val="000000"/>
          <w:sz w:val="24"/>
          <w:szCs w:val="24"/>
          <w:lang w:val="sq-AL"/>
        </w:rPr>
        <w:t>” sh.</w:t>
      </w:r>
      <w:r w:rsidR="00A61CE4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p.k.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</w:p>
    <w:p w14:paraId="6490AEF2" w14:textId="43B555EF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2.</w:t>
      </w:r>
      <w:r w:rsidR="0057187E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Vendimi t’i njoftohet subjektit ankimues </w:t>
      </w:r>
      <w:r w:rsidR="00285739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Micro Credit Albania</w:t>
      </w:r>
      <w:r w:rsidR="00285739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sh.p.k. </w:t>
      </w:r>
    </w:p>
    <w:p w14:paraId="1D947613" w14:textId="4D2A6AE6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3.</w:t>
      </w:r>
      <w:r w:rsidR="0057187E"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>Kundër këtij vendimi mund të bëhet ankim në Gjykatë sipas ligjit.</w:t>
      </w:r>
    </w:p>
    <w:p w14:paraId="1D183E56" w14:textId="77777777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menjëherë dhe publikohet në Buletinin Zyrtar të Bankës së Shqipërisë dhe në Fletoren Zyrtare. </w:t>
      </w:r>
    </w:p>
    <w:p w14:paraId="461C233D" w14:textId="77777777" w:rsidR="0079088F" w:rsidRPr="00A61CE4" w:rsidRDefault="0079088F" w:rsidP="007908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2250EDD5" w14:textId="77777777" w:rsidR="0079088F" w:rsidRPr="00A61CE4" w:rsidRDefault="0079088F" w:rsidP="0057187E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ab/>
      </w:r>
      <w:r w:rsidRPr="00A61CE4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GUVERNATOR</w:t>
      </w:r>
    </w:p>
    <w:p w14:paraId="207EFA05" w14:textId="77777777" w:rsidR="0079088F" w:rsidRPr="00A61CE4" w:rsidRDefault="0079088F" w:rsidP="0057187E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A61CE4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ab/>
        <w:t>Gent Sejko</w:t>
      </w:r>
    </w:p>
    <w:sectPr w:rsidR="0079088F" w:rsidRPr="00A61CE4" w:rsidSect="00461AAE">
      <w:headerReference w:type="default" r:id="rId13"/>
      <w:footerReference w:type="default" r:id="rId14"/>
      <w:footerReference w:type="first" r:id="rId15"/>
      <w:pgSz w:w="11906" w:h="16838"/>
      <w:pgMar w:top="1440" w:right="1440" w:bottom="126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4B0B34" w14:textId="77777777" w:rsidR="00A61CE4" w:rsidRDefault="00A61CE4" w:rsidP="0078528A">
      <w:pPr>
        <w:spacing w:after="0" w:line="240" w:lineRule="auto"/>
      </w:pPr>
      <w:r>
        <w:separator/>
      </w:r>
    </w:p>
  </w:endnote>
  <w:endnote w:type="continuationSeparator" w:id="0">
    <w:p w14:paraId="4E0E457F" w14:textId="77777777" w:rsidR="00A61CE4" w:rsidRDefault="00A61CE4" w:rsidP="0078528A">
      <w:pPr>
        <w:spacing w:after="0" w:line="240" w:lineRule="auto"/>
      </w:pPr>
      <w:r>
        <w:continuationSeparator/>
      </w:r>
    </w:p>
  </w:endnote>
  <w:endnote w:type="continuationNotice" w:id="1">
    <w:p w14:paraId="7E55125C" w14:textId="77777777" w:rsidR="00A61CE4" w:rsidRDefault="00A61C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panose1 w:val="00000000000000000000"/>
    <w:charset w:val="EE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274755" w14:textId="77777777" w:rsidR="00A61CE4" w:rsidRDefault="00A61C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EEC23E" w14:textId="7F691B3E" w:rsidR="00A61CE4" w:rsidRDefault="00A61C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C079B8" w14:textId="77777777" w:rsidR="00A61CE4" w:rsidRDefault="00A61CE4" w:rsidP="0078528A">
      <w:pPr>
        <w:spacing w:after="0" w:line="240" w:lineRule="auto"/>
      </w:pPr>
      <w:r>
        <w:separator/>
      </w:r>
    </w:p>
  </w:footnote>
  <w:footnote w:type="continuationSeparator" w:id="0">
    <w:p w14:paraId="1B77D214" w14:textId="77777777" w:rsidR="00A61CE4" w:rsidRDefault="00A61CE4" w:rsidP="0078528A">
      <w:pPr>
        <w:spacing w:after="0" w:line="240" w:lineRule="auto"/>
      </w:pPr>
      <w:r>
        <w:continuationSeparator/>
      </w:r>
    </w:p>
  </w:footnote>
  <w:footnote w:type="continuationNotice" w:id="1">
    <w:p w14:paraId="7A470C9B" w14:textId="77777777" w:rsidR="00A61CE4" w:rsidRDefault="00A61C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A9374B" w14:textId="77777777" w:rsidR="00A61CE4" w:rsidRDefault="00A61CE4" w:rsidP="009B6632">
    <w:pPr>
      <w:pStyle w:val="Header"/>
      <w:tabs>
        <w:tab w:val="clear" w:pos="4513"/>
        <w:tab w:val="clear" w:pos="9026"/>
        <w:tab w:val="left" w:pos="382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140AA"/>
    <w:multiLevelType w:val="hybridMultilevel"/>
    <w:tmpl w:val="0B4E1A28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A1E1F"/>
    <w:multiLevelType w:val="hybridMultilevel"/>
    <w:tmpl w:val="90DA7B32"/>
    <w:lvl w:ilvl="0" w:tplc="415491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9D2A96"/>
    <w:multiLevelType w:val="hybridMultilevel"/>
    <w:tmpl w:val="9C3ACA74"/>
    <w:lvl w:ilvl="0" w:tplc="6DEC76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083ECC"/>
    <w:multiLevelType w:val="hybridMultilevel"/>
    <w:tmpl w:val="F8823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28A"/>
    <w:rsid w:val="00005A52"/>
    <w:rsid w:val="00007B2C"/>
    <w:rsid w:val="00017160"/>
    <w:rsid w:val="00025EC7"/>
    <w:rsid w:val="000715FB"/>
    <w:rsid w:val="00086EA5"/>
    <w:rsid w:val="000920F1"/>
    <w:rsid w:val="00092862"/>
    <w:rsid w:val="00094765"/>
    <w:rsid w:val="000B22F7"/>
    <w:rsid w:val="000C2466"/>
    <w:rsid w:val="000C5AC4"/>
    <w:rsid w:val="000D3AEA"/>
    <w:rsid w:val="000F291A"/>
    <w:rsid w:val="00141714"/>
    <w:rsid w:val="00142D6C"/>
    <w:rsid w:val="001501F8"/>
    <w:rsid w:val="00156AC9"/>
    <w:rsid w:val="001707F3"/>
    <w:rsid w:val="001A132A"/>
    <w:rsid w:val="001A510D"/>
    <w:rsid w:val="001B3E38"/>
    <w:rsid w:val="001E2AAF"/>
    <w:rsid w:val="00210FD0"/>
    <w:rsid w:val="0021572A"/>
    <w:rsid w:val="002339F3"/>
    <w:rsid w:val="002460FC"/>
    <w:rsid w:val="00250376"/>
    <w:rsid w:val="00251623"/>
    <w:rsid w:val="0027469B"/>
    <w:rsid w:val="00277B4B"/>
    <w:rsid w:val="002842E0"/>
    <w:rsid w:val="00285739"/>
    <w:rsid w:val="00286560"/>
    <w:rsid w:val="002A617B"/>
    <w:rsid w:val="002A61B1"/>
    <w:rsid w:val="002D12D6"/>
    <w:rsid w:val="002D1A06"/>
    <w:rsid w:val="002F2F26"/>
    <w:rsid w:val="00300EEF"/>
    <w:rsid w:val="003039F2"/>
    <w:rsid w:val="00327388"/>
    <w:rsid w:val="00334DD6"/>
    <w:rsid w:val="003376AD"/>
    <w:rsid w:val="00355CA4"/>
    <w:rsid w:val="003650D9"/>
    <w:rsid w:val="00380FCD"/>
    <w:rsid w:val="003A3C86"/>
    <w:rsid w:val="003A6532"/>
    <w:rsid w:val="003B2005"/>
    <w:rsid w:val="003C287D"/>
    <w:rsid w:val="003C2BD1"/>
    <w:rsid w:val="003D0FDE"/>
    <w:rsid w:val="003D1C53"/>
    <w:rsid w:val="003D5955"/>
    <w:rsid w:val="003D799C"/>
    <w:rsid w:val="003E3971"/>
    <w:rsid w:val="00445837"/>
    <w:rsid w:val="00447ED4"/>
    <w:rsid w:val="00461AAE"/>
    <w:rsid w:val="004648E2"/>
    <w:rsid w:val="004740AE"/>
    <w:rsid w:val="00494E7E"/>
    <w:rsid w:val="004979C1"/>
    <w:rsid w:val="004B63B1"/>
    <w:rsid w:val="004F3E66"/>
    <w:rsid w:val="004F50A2"/>
    <w:rsid w:val="004F5C17"/>
    <w:rsid w:val="004F640A"/>
    <w:rsid w:val="0050020C"/>
    <w:rsid w:val="00527156"/>
    <w:rsid w:val="0057187E"/>
    <w:rsid w:val="005855B2"/>
    <w:rsid w:val="0059261F"/>
    <w:rsid w:val="005A1C31"/>
    <w:rsid w:val="005A7CBE"/>
    <w:rsid w:val="005C14E6"/>
    <w:rsid w:val="005D6F48"/>
    <w:rsid w:val="005E6BB6"/>
    <w:rsid w:val="005F737B"/>
    <w:rsid w:val="00605342"/>
    <w:rsid w:val="00606D22"/>
    <w:rsid w:val="006132F6"/>
    <w:rsid w:val="0061391B"/>
    <w:rsid w:val="006369AB"/>
    <w:rsid w:val="006374AC"/>
    <w:rsid w:val="0064048B"/>
    <w:rsid w:val="00646ACC"/>
    <w:rsid w:val="00664C56"/>
    <w:rsid w:val="006653CB"/>
    <w:rsid w:val="00667784"/>
    <w:rsid w:val="00685BD3"/>
    <w:rsid w:val="0068600D"/>
    <w:rsid w:val="006A5E24"/>
    <w:rsid w:val="006D1661"/>
    <w:rsid w:val="006D517E"/>
    <w:rsid w:val="00700CED"/>
    <w:rsid w:val="007032E2"/>
    <w:rsid w:val="00704793"/>
    <w:rsid w:val="007133BC"/>
    <w:rsid w:val="00716988"/>
    <w:rsid w:val="00731A61"/>
    <w:rsid w:val="00734445"/>
    <w:rsid w:val="007351F0"/>
    <w:rsid w:val="007364E3"/>
    <w:rsid w:val="00747D84"/>
    <w:rsid w:val="00764137"/>
    <w:rsid w:val="00767307"/>
    <w:rsid w:val="00773EDE"/>
    <w:rsid w:val="0078528A"/>
    <w:rsid w:val="0079009A"/>
    <w:rsid w:val="0079088F"/>
    <w:rsid w:val="00793562"/>
    <w:rsid w:val="007B446B"/>
    <w:rsid w:val="007C1CE6"/>
    <w:rsid w:val="007C44C1"/>
    <w:rsid w:val="007F26CC"/>
    <w:rsid w:val="00820799"/>
    <w:rsid w:val="00822FE1"/>
    <w:rsid w:val="0084421E"/>
    <w:rsid w:val="008B231E"/>
    <w:rsid w:val="008C0602"/>
    <w:rsid w:val="008F63AD"/>
    <w:rsid w:val="009067CE"/>
    <w:rsid w:val="009168A4"/>
    <w:rsid w:val="00920D7A"/>
    <w:rsid w:val="00925160"/>
    <w:rsid w:val="00951EED"/>
    <w:rsid w:val="00957E99"/>
    <w:rsid w:val="00962B16"/>
    <w:rsid w:val="009800D6"/>
    <w:rsid w:val="00984EE4"/>
    <w:rsid w:val="00997BCF"/>
    <w:rsid w:val="009A019B"/>
    <w:rsid w:val="009A6774"/>
    <w:rsid w:val="009B6632"/>
    <w:rsid w:val="009B667E"/>
    <w:rsid w:val="009C08D7"/>
    <w:rsid w:val="009C2CB3"/>
    <w:rsid w:val="009D0268"/>
    <w:rsid w:val="009D07BC"/>
    <w:rsid w:val="009E1E18"/>
    <w:rsid w:val="00A053C9"/>
    <w:rsid w:val="00A14333"/>
    <w:rsid w:val="00A17C80"/>
    <w:rsid w:val="00A252E5"/>
    <w:rsid w:val="00A25BE9"/>
    <w:rsid w:val="00A37945"/>
    <w:rsid w:val="00A45BFC"/>
    <w:rsid w:val="00A61B7E"/>
    <w:rsid w:val="00A61CE4"/>
    <w:rsid w:val="00A664ED"/>
    <w:rsid w:val="00A958BB"/>
    <w:rsid w:val="00AB074D"/>
    <w:rsid w:val="00AB7F67"/>
    <w:rsid w:val="00AC02F2"/>
    <w:rsid w:val="00AC305B"/>
    <w:rsid w:val="00AC534E"/>
    <w:rsid w:val="00AC5860"/>
    <w:rsid w:val="00AD32E0"/>
    <w:rsid w:val="00AE6494"/>
    <w:rsid w:val="00AE7A34"/>
    <w:rsid w:val="00B04134"/>
    <w:rsid w:val="00B04788"/>
    <w:rsid w:val="00B101D6"/>
    <w:rsid w:val="00B25E48"/>
    <w:rsid w:val="00B32BFA"/>
    <w:rsid w:val="00B36939"/>
    <w:rsid w:val="00B775FA"/>
    <w:rsid w:val="00B80221"/>
    <w:rsid w:val="00B855C0"/>
    <w:rsid w:val="00B96355"/>
    <w:rsid w:val="00B97492"/>
    <w:rsid w:val="00BA16AF"/>
    <w:rsid w:val="00BA3890"/>
    <w:rsid w:val="00BD4DD8"/>
    <w:rsid w:val="00BF1FB5"/>
    <w:rsid w:val="00C43989"/>
    <w:rsid w:val="00C53D3E"/>
    <w:rsid w:val="00C65D99"/>
    <w:rsid w:val="00C70776"/>
    <w:rsid w:val="00C83AF7"/>
    <w:rsid w:val="00C95758"/>
    <w:rsid w:val="00CB0242"/>
    <w:rsid w:val="00CB048C"/>
    <w:rsid w:val="00CD0496"/>
    <w:rsid w:val="00CD4D35"/>
    <w:rsid w:val="00D00924"/>
    <w:rsid w:val="00D07C7F"/>
    <w:rsid w:val="00D12904"/>
    <w:rsid w:val="00D56A59"/>
    <w:rsid w:val="00D72A10"/>
    <w:rsid w:val="00D7364C"/>
    <w:rsid w:val="00D80D3B"/>
    <w:rsid w:val="00D92870"/>
    <w:rsid w:val="00DA7D4F"/>
    <w:rsid w:val="00DB3E27"/>
    <w:rsid w:val="00DC5A21"/>
    <w:rsid w:val="00DC7EBD"/>
    <w:rsid w:val="00DF4132"/>
    <w:rsid w:val="00E16C05"/>
    <w:rsid w:val="00E31D16"/>
    <w:rsid w:val="00E46A47"/>
    <w:rsid w:val="00E536CE"/>
    <w:rsid w:val="00E54BEC"/>
    <w:rsid w:val="00E74C96"/>
    <w:rsid w:val="00E770DB"/>
    <w:rsid w:val="00E95C4A"/>
    <w:rsid w:val="00EA0573"/>
    <w:rsid w:val="00EB38BA"/>
    <w:rsid w:val="00ED0FF7"/>
    <w:rsid w:val="00EE7F56"/>
    <w:rsid w:val="00F02A5A"/>
    <w:rsid w:val="00F10617"/>
    <w:rsid w:val="00F15B8E"/>
    <w:rsid w:val="00F1798E"/>
    <w:rsid w:val="00F47EEB"/>
    <w:rsid w:val="00F6382E"/>
    <w:rsid w:val="00F7412A"/>
    <w:rsid w:val="00FA000F"/>
    <w:rsid w:val="00FC2BE1"/>
    <w:rsid w:val="00FE318B"/>
    <w:rsid w:val="00FF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1A936DC"/>
  <w15:chartTrackingRefBased/>
  <w15:docId w15:val="{5D9EFEBB-5BF7-40BE-AF0E-983146999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528A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66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852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52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528A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852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528A"/>
    <w:rPr>
      <w:rFonts w:ascii="Calibri" w:eastAsia="Calibri" w:hAnsi="Calibri" w:cs="Times New Roman"/>
      <w:lang w:val="en-US"/>
    </w:rPr>
  </w:style>
  <w:style w:type="paragraph" w:customStyle="1" w:styleId="StyleHeading212ptBoldAfter4pt">
    <w:name w:val="Style Heading 2 + 12 pt Bold After:  4 pt"/>
    <w:basedOn w:val="Heading2"/>
    <w:autoRedefine/>
    <w:rsid w:val="009B6632"/>
    <w:pPr>
      <w:keepLines w:val="0"/>
      <w:spacing w:before="0" w:after="80" w:line="240" w:lineRule="auto"/>
      <w:jc w:val="center"/>
    </w:pPr>
    <w:rPr>
      <w:rFonts w:ascii="Times New Roman" w:eastAsia="Times New Roman" w:hAnsi="Times New Roman" w:cs="Times New Roman"/>
      <w:b/>
      <w:bCs/>
      <w:color w:val="auto"/>
      <w:sz w:val="24"/>
      <w:szCs w:val="20"/>
    </w:rPr>
  </w:style>
  <w:style w:type="paragraph" w:customStyle="1" w:styleId="StyleCenteredAfter4pt2">
    <w:name w:val="Style Centered After:  4 pt2"/>
    <w:basedOn w:val="Normal"/>
    <w:link w:val="StyleCenteredAfter4pt2Char"/>
    <w:autoRedefine/>
    <w:uiPriority w:val="99"/>
    <w:rsid w:val="009B6632"/>
    <w:pPr>
      <w:spacing w:after="80" w:line="240" w:lineRule="auto"/>
      <w:jc w:val="center"/>
    </w:pPr>
    <w:rPr>
      <w:rFonts w:ascii="Arial" w:eastAsia="Times New Roman" w:hAnsi="Arial" w:cs="Arial"/>
      <w:b/>
      <w:lang w:val="it-IT"/>
    </w:rPr>
  </w:style>
  <w:style w:type="character" w:customStyle="1" w:styleId="StyleCenteredAfter4pt2Char">
    <w:name w:val="Style Centered After:  4 pt2 Char"/>
    <w:basedOn w:val="DefaultParagraphFont"/>
    <w:link w:val="StyleCenteredAfter4pt2"/>
    <w:rsid w:val="009B6632"/>
    <w:rPr>
      <w:rFonts w:ascii="Arial" w:eastAsia="Times New Roman" w:hAnsi="Arial" w:cs="Arial"/>
      <w:b/>
      <w:lang w:val="it-IT"/>
    </w:rPr>
  </w:style>
  <w:style w:type="paragraph" w:customStyle="1" w:styleId="CarCharCharCharChar">
    <w:name w:val="Car Char Char Char Char"/>
    <w:basedOn w:val="Normal"/>
    <w:rsid w:val="009B6632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Default">
    <w:name w:val="Default"/>
    <w:uiPriority w:val="99"/>
    <w:rsid w:val="009B6632"/>
    <w:pPr>
      <w:autoSpaceDE w:val="0"/>
      <w:autoSpaceDN w:val="0"/>
      <w:adjustRightInd w:val="0"/>
      <w:spacing w:after="0" w:line="240" w:lineRule="auto"/>
    </w:pPr>
    <w:rPr>
      <w:rFonts w:ascii="Georgia" w:eastAsia="Times New Roman" w:hAnsi="Georgia" w:cs="Georgia"/>
      <w:color w:val="000000"/>
      <w:sz w:val="24"/>
      <w:szCs w:val="24"/>
      <w:lang w:val="en-US"/>
    </w:rPr>
  </w:style>
  <w:style w:type="paragraph" w:customStyle="1" w:styleId="Paragrafi">
    <w:name w:val="Paragrafi"/>
    <w:rsid w:val="009B6632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val="en-US"/>
    </w:rPr>
  </w:style>
  <w:style w:type="paragraph" w:styleId="FootnoteText">
    <w:name w:val="footnote text"/>
    <w:basedOn w:val="Normal"/>
    <w:link w:val="FootnoteTextChar"/>
    <w:semiHidden/>
    <w:rsid w:val="009B6632"/>
    <w:pPr>
      <w:spacing w:after="0" w:line="240" w:lineRule="auto"/>
    </w:pPr>
    <w:rPr>
      <w:rFonts w:ascii="Times New Roman" w:eastAsia="Times New Roman" w:hAnsi="Times New Roman"/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semiHidden/>
    <w:rsid w:val="009B6632"/>
    <w:rPr>
      <w:rFonts w:ascii="Times New Roman" w:eastAsia="Times New Roman" w:hAnsi="Times New Roman" w:cs="Times New Roman"/>
      <w:sz w:val="20"/>
      <w:szCs w:val="20"/>
      <w:lang w:val="sq-AL"/>
    </w:rPr>
  </w:style>
  <w:style w:type="character" w:styleId="FootnoteReference">
    <w:name w:val="footnote reference"/>
    <w:basedOn w:val="DefaultParagraphFont"/>
    <w:semiHidden/>
    <w:rsid w:val="009B6632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663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54B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4B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4BEC"/>
    <w:rPr>
      <w:rFonts w:ascii="Calibri" w:eastAsia="Calibri" w:hAnsi="Calibri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4B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4BEC"/>
    <w:rPr>
      <w:rFonts w:ascii="Calibri" w:eastAsia="Calibri" w:hAnsi="Calibri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4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4BEC"/>
    <w:rPr>
      <w:rFonts w:ascii="Segoe UI" w:eastAsia="Calibri" w:hAnsi="Segoe UI" w:cs="Segoe UI"/>
      <w:sz w:val="18"/>
      <w:szCs w:val="18"/>
      <w:lang w:val="en-US"/>
    </w:rPr>
  </w:style>
  <w:style w:type="paragraph" w:styleId="PlainText">
    <w:name w:val="Plain Text"/>
    <w:basedOn w:val="Normal"/>
    <w:link w:val="PlainTextChar"/>
    <w:uiPriority w:val="99"/>
    <w:unhideWhenUsed/>
    <w:rsid w:val="00764137"/>
    <w:pPr>
      <w:spacing w:after="0" w:line="240" w:lineRule="auto"/>
    </w:pPr>
    <w:rPr>
      <w:rFonts w:ascii="Arial" w:eastAsiaTheme="minorHAnsi" w:hAnsi="Arial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64137"/>
    <w:rPr>
      <w:rFonts w:ascii="Arial" w:hAnsi="Arial"/>
      <w:szCs w:val="21"/>
      <w:lang w:val="en-US"/>
    </w:rPr>
  </w:style>
  <w:style w:type="paragraph" w:customStyle="1" w:styleId="StyleHeading212ptBoldAf">
    <w:name w:val="Style Heading 2 + 12 pt Bold Af"/>
    <w:uiPriority w:val="99"/>
    <w:rsid w:val="0079088F"/>
    <w:pPr>
      <w:keepNext/>
      <w:keepLines/>
      <w:autoSpaceDE w:val="0"/>
      <w:autoSpaceDN w:val="0"/>
      <w:adjustRightInd w:val="0"/>
      <w:spacing w:before="40" w:after="80" w:line="330" w:lineRule="atLeast"/>
      <w:jc w:val="center"/>
    </w:pPr>
    <w:rPr>
      <w:rFonts w:ascii="Times New Roman" w:hAnsi="Times New Roman" w:cs="Times New Roman"/>
      <w:b/>
      <w:bCs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555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0262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27428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49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279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94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335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81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698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77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31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03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795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23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44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137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430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91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41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2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9640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68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79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45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16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675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98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8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486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192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752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88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44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0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129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0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8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17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84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14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02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394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80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076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8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167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60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92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602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769568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305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7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7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62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8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68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22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2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916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958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84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1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4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37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9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6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2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1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2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22850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3193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22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10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94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32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277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831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30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394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46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328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521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058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57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81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40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282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631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564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57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07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50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65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176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592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4990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95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343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50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16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654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02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60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69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8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44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940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183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3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12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07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94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756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8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65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3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89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904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94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700892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70840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622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7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54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46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0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683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7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3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6547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3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2819</Nr_x002e__x0020_akti>
    <Data_x0020_e_x0020_Krijimit xmlns="0e656187-b300-4fb0-8bf4-3a50f872073c">2024-07-03T14:12:53Z</Data_x0020_e_x0020_Krijimit>
    <URL xmlns="0e656187-b300-4fb0-8bf4-3a50f872073c" xsi:nil="true"/>
    <Institucion_x0020_Pergjegjes xmlns="0e656187-b300-4fb0-8bf4-3a50f872073c">http://qbz.gov.al/resource/authority/legal-institution/8|banka-e-shqiperise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2024-07-01T00:00:00Z</Date_x0020_protokolli>
    <Titulli xmlns="0e656187-b300-4fb0-8bf4-3a50f872073c">Për refuzimin e ankimit administrativ të subjektit “MICRO CREDIT ALBANIA” shpk.</Titulli>
    <Modifikuesi xmlns="0e656187-b300-4fb0-8bf4-3a50f872073c">Suada.Daci</Modifikuesi>
    <Nr_x002e__x0020_prot_x0020_QBZ xmlns="0e656187-b300-4fb0-8bf4-3a50f872073c">1188/1</Nr_x002e__x0020_prot_x0020_QBZ>
    <Data_x0020_e_x0020_Modifikimit xmlns="0e656187-b300-4fb0-8bf4-3a50f872073c">2024-07-03T14:28:49Z</Data_x0020_e_x0020_Modifikimit>
    <Dekretuar xmlns="0e656187-b300-4fb0-8bf4-3a50f872073c">false</Dekretuar>
    <Data xmlns="0e656187-b300-4fb0-8bf4-3a50f872073c">2024-06-27T00:00:00Z</Data>
    <Nr_x002e__x0020_protokolli_x0020_i_x0020_aktit xmlns="0e656187-b300-4fb0-8bf4-3a50f872073c">2819/1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BE8A6BC6584522A3B5A0FA2C4CBD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2BE8A6BC6584522A3B5A0FA2C4CBD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75DE2D-9220-467A-A586-B2C0554C5B85}">
  <ds:schemaRefs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2B21559-5B85-4E5E-B271-20EF0EF2DE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7D43A5-EFD7-49EF-8CF2-F41CD11A31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5850C38-BD33-4577-A0A7-5604BCC08B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6054AC-6258-4031-85A8-FCD48D84C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0F2D6BB-1BB4-46B4-A22A-E0C7D61BA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2228</Words>
  <Characters>12703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refuzimin e ankimit administrativ të subjektit “MICRO CREDIT ALBANIA” shpk.</vt:lpstr>
    </vt:vector>
  </TitlesOfParts>
  <Company/>
  <LinksUpToDate>false</LinksUpToDate>
  <CharactersWithSpaces>14902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refuzimin e ankimit administrativ të subjektit “MICRO CREDIT ALBANIA” shpk.</dc:title>
  <dc:creator>Joana Alla</dc:creator>
  <cp:lastModifiedBy>Jorina Kryeziu</cp:lastModifiedBy>
  <cp:revision>71</cp:revision>
  <cp:lastPrinted>2024-06-27T13:51:00Z</cp:lastPrinted>
  <dcterms:created xsi:type="dcterms:W3CDTF">2024-07-03T13:12:00Z</dcterms:created>
  <dcterms:modified xsi:type="dcterms:W3CDTF">2024-07-04T09:44:00Z</dcterms:modified>
</cp:coreProperties>
</file>