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EB634" w14:textId="77777777" w:rsidR="00DE43A0" w:rsidRPr="00F37230" w:rsidRDefault="00DE43A0" w:rsidP="00DE43A0">
      <w:pPr>
        <w:keepNext/>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F37230">
        <w:rPr>
          <w:rFonts w:ascii="Garamond" w:eastAsiaTheme="minorHAnsi" w:hAnsi="Garamond" w:cs="Garamond"/>
          <w:b/>
          <w:bCs/>
          <w:color w:val="000000"/>
          <w:sz w:val="24"/>
          <w:szCs w:val="24"/>
        </w:rPr>
        <w:t>VENDIM</w:t>
      </w:r>
    </w:p>
    <w:p w14:paraId="6AAB0B23" w14:textId="77777777" w:rsidR="00DE43A0" w:rsidRPr="00F37230" w:rsidRDefault="00DE43A0" w:rsidP="00DE43A0">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F37230">
        <w:rPr>
          <w:rFonts w:ascii="Garamond" w:eastAsiaTheme="minorHAnsi" w:hAnsi="Garamond" w:cs="Garamond"/>
          <w:b/>
          <w:bCs/>
          <w:color w:val="000000"/>
          <w:sz w:val="24"/>
          <w:szCs w:val="24"/>
        </w:rPr>
        <w:t>Nr. 2820, datë 27.6.2024</w:t>
      </w:r>
    </w:p>
    <w:p w14:paraId="603BCB64" w14:textId="7777777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p>
    <w:p w14:paraId="70F696D0" w14:textId="56EF0D18"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Sot më datë 27.6.2024, pasi shqyrtova ankimin administrativ të subjektit “</w:t>
      </w:r>
      <w:r w:rsidR="000148D4" w:rsidRPr="00F37230">
        <w:rPr>
          <w:rFonts w:ascii="Garamond" w:eastAsiaTheme="minorHAnsi" w:hAnsi="Garamond" w:cs="Garamond"/>
          <w:color w:val="000000"/>
          <w:sz w:val="24"/>
          <w:szCs w:val="24"/>
        </w:rPr>
        <w:t>Final</w:t>
      </w:r>
      <w:r w:rsidRPr="00F37230">
        <w:rPr>
          <w:rFonts w:ascii="Garamond" w:eastAsiaTheme="minorHAnsi" w:hAnsi="Garamond" w:cs="Garamond"/>
          <w:color w:val="000000"/>
          <w:sz w:val="24"/>
          <w:szCs w:val="24"/>
        </w:rPr>
        <w:t>” sh</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me anë të së cilit kërkohet shfuqizimi i vendimit </w:t>
      </w:r>
      <w:r w:rsidR="00F37230">
        <w:rPr>
          <w:rFonts w:ascii="Garamond" w:eastAsiaTheme="minorHAnsi" w:hAnsi="Garamond" w:cs="Garamond"/>
          <w:color w:val="000000"/>
          <w:sz w:val="24"/>
          <w:szCs w:val="24"/>
        </w:rPr>
        <w:t>n</w:t>
      </w:r>
      <w:r w:rsidRPr="00F37230">
        <w:rPr>
          <w:rFonts w:ascii="Garamond" w:eastAsiaTheme="minorHAnsi" w:hAnsi="Garamond" w:cs="Garamond"/>
          <w:color w:val="000000"/>
          <w:sz w:val="24"/>
          <w:szCs w:val="24"/>
        </w:rPr>
        <w:t>r.</w:t>
      </w:r>
      <w:r w:rsid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2303, datë 23.5.2024</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“Për revokimin e licencës së subjektit financiar jobankë </w:t>
      </w:r>
      <w:r w:rsidR="00F37230">
        <w:rPr>
          <w:rFonts w:ascii="Garamond" w:eastAsiaTheme="minorHAnsi" w:hAnsi="Garamond" w:cs="Garamond"/>
          <w:color w:val="000000"/>
          <w:sz w:val="24"/>
          <w:szCs w:val="24"/>
        </w:rPr>
        <w:t>‘</w:t>
      </w:r>
      <w:r w:rsidR="000148D4" w:rsidRPr="00F37230">
        <w:rPr>
          <w:rFonts w:ascii="Garamond" w:eastAsiaTheme="minorHAnsi" w:hAnsi="Garamond" w:cs="Garamond"/>
          <w:color w:val="000000"/>
          <w:sz w:val="24"/>
          <w:szCs w:val="24"/>
        </w:rPr>
        <w:t>Final</w:t>
      </w:r>
      <w:r w:rsidR="000148D4">
        <w:rPr>
          <w:rFonts w:ascii="Garamond" w:eastAsiaTheme="minorHAnsi" w:hAnsi="Garamond" w:cs="Garamond"/>
          <w:color w:val="000000"/>
          <w:sz w:val="24"/>
          <w:szCs w:val="24"/>
        </w:rPr>
        <w:t>’</w:t>
      </w:r>
      <w:r w:rsidR="000148D4" w:rsidRP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sh</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dhe analizova historikun e licencimit dhe të ecurisë së procesit të mbikëqyrjes së subjektit financiar jobankë “</w:t>
      </w:r>
      <w:r w:rsidR="000148D4" w:rsidRPr="00F37230">
        <w:rPr>
          <w:rFonts w:ascii="Garamond" w:eastAsiaTheme="minorHAnsi" w:hAnsi="Garamond" w:cs="Garamond"/>
          <w:color w:val="000000"/>
          <w:sz w:val="24"/>
          <w:szCs w:val="24"/>
        </w:rPr>
        <w:t>Final</w:t>
      </w:r>
      <w:r w:rsidRPr="00F37230">
        <w:rPr>
          <w:rFonts w:ascii="Garamond" w:eastAsiaTheme="minorHAnsi" w:hAnsi="Garamond" w:cs="Garamond"/>
          <w:color w:val="000000"/>
          <w:sz w:val="24"/>
          <w:szCs w:val="24"/>
        </w:rPr>
        <w:t>” sh</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w:t>
      </w:r>
      <w:r w:rsidR="00F37230">
        <w:rPr>
          <w:rFonts w:ascii="Garamond" w:eastAsiaTheme="minorHAnsi" w:hAnsi="Garamond" w:cs="Garamond"/>
          <w:color w:val="000000"/>
          <w:sz w:val="24"/>
          <w:szCs w:val="24"/>
        </w:rPr>
        <w:t>.</w:t>
      </w:r>
      <w:r w:rsidR="001123F2">
        <w:rPr>
          <w:rFonts w:ascii="Garamond" w:eastAsiaTheme="minorHAnsi" w:hAnsi="Garamond" w:cs="Garamond"/>
          <w:color w:val="000000"/>
          <w:sz w:val="24"/>
          <w:szCs w:val="24"/>
        </w:rPr>
        <w:t>,</w:t>
      </w:r>
    </w:p>
    <w:p w14:paraId="3F04A173" w14:textId="7777777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2FB2843B" w14:textId="258DD8E0" w:rsidR="00DE43A0" w:rsidRPr="00F37230" w:rsidRDefault="00DE43A0" w:rsidP="00DE43A0">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F37230">
        <w:rPr>
          <w:rFonts w:ascii="Garamond" w:eastAsiaTheme="minorHAnsi" w:hAnsi="Garamond" w:cs="Garamond"/>
          <w:bCs/>
          <w:color w:val="000000"/>
          <w:sz w:val="24"/>
          <w:szCs w:val="24"/>
        </w:rPr>
        <w:t>VËREJ:</w:t>
      </w:r>
    </w:p>
    <w:p w14:paraId="6E87A1E6" w14:textId="77777777" w:rsidR="00DE43A0" w:rsidRPr="00F37230" w:rsidRDefault="00DE43A0" w:rsidP="00DE43A0">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645AE5EB" w14:textId="77777777" w:rsidR="00DE43A0" w:rsidRPr="00F37230" w:rsidRDefault="00DE43A0" w:rsidP="00DE43A0">
      <w:pPr>
        <w:autoSpaceDE w:val="0"/>
        <w:autoSpaceDN w:val="0"/>
        <w:adjustRightInd w:val="0"/>
        <w:spacing w:after="0" w:line="240" w:lineRule="auto"/>
        <w:ind w:firstLine="284"/>
        <w:rPr>
          <w:rFonts w:ascii="Garamond" w:eastAsiaTheme="minorHAnsi" w:hAnsi="Garamond" w:cs="Garamond"/>
          <w:b/>
          <w:bCs/>
          <w:color w:val="000000"/>
          <w:sz w:val="24"/>
          <w:szCs w:val="24"/>
        </w:rPr>
      </w:pPr>
      <w:r w:rsidRPr="00F37230">
        <w:rPr>
          <w:rFonts w:ascii="Garamond" w:eastAsiaTheme="minorHAnsi" w:hAnsi="Garamond" w:cs="Garamond"/>
          <w:b/>
          <w:bCs/>
          <w:color w:val="000000"/>
          <w:sz w:val="24"/>
          <w:szCs w:val="24"/>
        </w:rPr>
        <w:t>I. Rrethanat e procedimit administrativ:</w:t>
      </w:r>
    </w:p>
    <w:p w14:paraId="643CECB6" w14:textId="562052C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Subjekti financiar jobankë “</w:t>
      </w:r>
      <w:r w:rsidR="000148D4" w:rsidRPr="00F37230">
        <w:rPr>
          <w:rFonts w:ascii="Garamond" w:eastAsiaTheme="minorHAnsi" w:hAnsi="Garamond" w:cs="Garamond"/>
          <w:color w:val="000000"/>
          <w:sz w:val="24"/>
          <w:szCs w:val="24"/>
        </w:rPr>
        <w:t>Final</w:t>
      </w:r>
      <w:r w:rsidRPr="00F37230">
        <w:rPr>
          <w:rFonts w:ascii="Garamond" w:eastAsiaTheme="minorHAnsi" w:hAnsi="Garamond" w:cs="Garamond"/>
          <w:color w:val="000000"/>
          <w:sz w:val="24"/>
          <w:szCs w:val="24"/>
        </w:rPr>
        <w:t>” sh</w:t>
      </w:r>
      <w:r w:rsidR="001123F2">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1123F2">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w:t>
      </w:r>
      <w:r w:rsidR="001123F2">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është licencuar për kryerjen e veprimtarive të qirasë financiare dhe të të gjitha formave të kredidhënies, sipas licencës së dhënë nga Banka e Shqipërisë </w:t>
      </w:r>
      <w:r w:rsidR="00F37230">
        <w:rPr>
          <w:rFonts w:ascii="Garamond" w:eastAsiaTheme="minorHAnsi" w:hAnsi="Garamond" w:cs="Garamond"/>
          <w:color w:val="000000"/>
          <w:sz w:val="24"/>
          <w:szCs w:val="24"/>
        </w:rPr>
        <w:t>n</w:t>
      </w:r>
      <w:r w:rsidRPr="00F37230">
        <w:rPr>
          <w:rFonts w:ascii="Garamond" w:eastAsiaTheme="minorHAnsi" w:hAnsi="Garamond" w:cs="Garamond"/>
          <w:color w:val="000000"/>
          <w:sz w:val="24"/>
          <w:szCs w:val="24"/>
        </w:rPr>
        <w:t>r. 11, datë 20.2.2009.</w:t>
      </w:r>
    </w:p>
    <w:p w14:paraId="3335EC39" w14:textId="63A1C1F1"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Me shkresën nr.</w:t>
      </w:r>
      <w:r w:rsidR="001123F2">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12287/1, datë 23.5.2024</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të Prokurorisë pranë Gjykatës së Shkallës së Parë të Juridiksionit të Përgjithshëm të Rrethit Gjyqësor Tiranë, Banka e Shqipërisë u vu në dijeni të faktit se ndaj ortakut</w:t>
      </w:r>
      <w:r w:rsidR="00E175AF">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Arben Meskuti, të subjektit financiar jobankë “</w:t>
      </w:r>
      <w:r w:rsidR="000148D4" w:rsidRPr="00F37230">
        <w:rPr>
          <w:rFonts w:ascii="Garamond" w:eastAsiaTheme="minorHAnsi" w:hAnsi="Garamond" w:cs="Garamond"/>
          <w:color w:val="000000"/>
          <w:sz w:val="24"/>
          <w:szCs w:val="24"/>
        </w:rPr>
        <w:t>Final</w:t>
      </w:r>
      <w:r w:rsidRPr="00F37230">
        <w:rPr>
          <w:rFonts w:ascii="Garamond" w:eastAsiaTheme="minorHAnsi" w:hAnsi="Garamond" w:cs="Garamond"/>
          <w:color w:val="000000"/>
          <w:sz w:val="24"/>
          <w:szCs w:val="24"/>
        </w:rPr>
        <w:t>” sh</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është vendosur masa e sigurimit personal “arrest në burg” nga Gjykata e Shkallës së Parë </w:t>
      </w:r>
      <w:r w:rsidR="001123F2" w:rsidRPr="00F37230">
        <w:rPr>
          <w:rFonts w:ascii="Garamond" w:eastAsiaTheme="minorHAnsi" w:hAnsi="Garamond" w:cs="Garamond"/>
          <w:color w:val="000000"/>
          <w:sz w:val="24"/>
          <w:szCs w:val="24"/>
        </w:rPr>
        <w:t>të</w:t>
      </w:r>
      <w:r w:rsidRPr="00F37230">
        <w:rPr>
          <w:rFonts w:ascii="Garamond" w:eastAsiaTheme="minorHAnsi" w:hAnsi="Garamond" w:cs="Garamond"/>
          <w:color w:val="000000"/>
          <w:sz w:val="24"/>
          <w:szCs w:val="24"/>
        </w:rPr>
        <w:t xml:space="preserve"> Juridiksionit të Përgjithshëm Tiranë.</w:t>
      </w:r>
      <w:r w:rsidR="00E175AF">
        <w:rPr>
          <w:rFonts w:ascii="Garamond" w:eastAsiaTheme="minorHAnsi" w:hAnsi="Garamond" w:cs="Garamond"/>
          <w:color w:val="000000"/>
          <w:sz w:val="24"/>
          <w:szCs w:val="24"/>
        </w:rPr>
        <w:t xml:space="preserve"> </w:t>
      </w:r>
    </w:p>
    <w:p w14:paraId="36B63384" w14:textId="6D2ED008" w:rsidR="00DE43A0" w:rsidRPr="00C93F57"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C93F57">
        <w:rPr>
          <w:rFonts w:ascii="Garamond" w:eastAsiaTheme="minorHAnsi" w:hAnsi="Garamond" w:cs="Garamond"/>
          <w:color w:val="000000"/>
          <w:sz w:val="24"/>
          <w:szCs w:val="24"/>
        </w:rPr>
        <w:t xml:space="preserve">Neni 10, pika 1, shkronja “a”, e rregullores “Për licencimin dhe ushtrimin e veprimtarisë nga subjektet financiare jobanka”, miratuar me vendimin nr. 1, datë 17.1.2013, </w:t>
      </w:r>
      <w:r w:rsidR="001123F2" w:rsidRPr="00C93F57">
        <w:rPr>
          <w:rFonts w:ascii="Garamond" w:eastAsiaTheme="minorHAnsi" w:hAnsi="Garamond" w:cs="Garamond"/>
          <w:color w:val="000000"/>
          <w:sz w:val="24"/>
          <w:szCs w:val="24"/>
        </w:rPr>
        <w:t>të</w:t>
      </w:r>
      <w:r w:rsidRPr="00C93F57">
        <w:rPr>
          <w:rFonts w:ascii="Garamond" w:eastAsiaTheme="minorHAnsi" w:hAnsi="Garamond" w:cs="Garamond"/>
          <w:color w:val="000000"/>
          <w:sz w:val="24"/>
          <w:szCs w:val="24"/>
        </w:rPr>
        <w:t xml:space="preserve"> ndryshuar, parashikon se një ndër kriteret që duhet të plotësojnë në vazhdimësi subjektet financiare jobanka gjatë ushtrimit të veprimtarisë së tyre është që themeluesit e subjektit të kenë reputacion të mirë. </w:t>
      </w:r>
    </w:p>
    <w:p w14:paraId="526A5362" w14:textId="6877A12A"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C93F57">
        <w:rPr>
          <w:rFonts w:ascii="Garamond" w:eastAsiaTheme="minorHAnsi" w:hAnsi="Garamond" w:cs="Garamond"/>
          <w:color w:val="000000"/>
          <w:sz w:val="24"/>
          <w:szCs w:val="24"/>
        </w:rPr>
        <w:t xml:space="preserve">Neni 10, pika 1, shkronja “a”, e rregullores “Për licencimin dhe ushtrimin e veprimtarisë nga subjektet financiare jobanka”, miratuar me vendimin nr. 1, datë 17.1.2013, </w:t>
      </w:r>
      <w:r w:rsidR="001123F2" w:rsidRPr="00C93F57">
        <w:rPr>
          <w:rFonts w:ascii="Garamond" w:eastAsiaTheme="minorHAnsi" w:hAnsi="Garamond" w:cs="Garamond"/>
          <w:color w:val="000000"/>
          <w:sz w:val="24"/>
          <w:szCs w:val="24"/>
        </w:rPr>
        <w:t>të</w:t>
      </w:r>
      <w:r w:rsidRPr="00C93F57">
        <w:rPr>
          <w:rFonts w:ascii="Garamond" w:eastAsiaTheme="minorHAnsi" w:hAnsi="Garamond" w:cs="Garamond"/>
          <w:color w:val="000000"/>
          <w:sz w:val="24"/>
          <w:szCs w:val="24"/>
        </w:rPr>
        <w:t xml:space="preserve"> ndryshuar, parashikon se një ndër kriteret që duhet të plotësojnë në vazhdimësi subjektet financiare jobanka gjatë ushtrimit të veprimtarisë së tyre është që themeluesit e subjektit të kenë reputacion të mirë.</w:t>
      </w:r>
    </w:p>
    <w:p w14:paraId="2F9AC9AB" w14:textId="6512D1BD"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Për rrjedhojë</w:t>
      </w:r>
      <w:r w:rsidR="001123F2">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në kushtet e informacionit të marrë nga Prokuroria, në zbatim të nenit 14, pika 1, shkronja “h”,</w:t>
      </w:r>
      <w:r w:rsidR="00E175AF">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 xml:space="preserve">të rregullores së mësipërme, si dhe bazuar në propozimin e Departamentit të Mbikëqyrjes, me vendimin </w:t>
      </w:r>
      <w:r w:rsidR="00F37230">
        <w:rPr>
          <w:rFonts w:ascii="Garamond" w:eastAsiaTheme="minorHAnsi" w:hAnsi="Garamond" w:cs="Garamond"/>
          <w:color w:val="000000"/>
          <w:sz w:val="24"/>
          <w:szCs w:val="24"/>
        </w:rPr>
        <w:t>n</w:t>
      </w:r>
      <w:r w:rsidRPr="00F37230">
        <w:rPr>
          <w:rFonts w:ascii="Garamond" w:eastAsiaTheme="minorHAnsi" w:hAnsi="Garamond" w:cs="Garamond"/>
          <w:color w:val="000000"/>
          <w:sz w:val="24"/>
          <w:szCs w:val="24"/>
        </w:rPr>
        <w:t>r.</w:t>
      </w:r>
      <w:r w:rsid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2303, datë 23.5.2024</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Guvernatori vendosi</w:t>
      </w:r>
      <w:r w:rsidR="001123F2">
        <w:rPr>
          <w:rFonts w:ascii="Garamond" w:eastAsiaTheme="minorHAnsi" w:hAnsi="Garamond" w:cs="Garamond"/>
          <w:color w:val="000000"/>
          <w:sz w:val="24"/>
          <w:szCs w:val="24"/>
        </w:rPr>
        <w:t xml:space="preserve"> p</w:t>
      </w:r>
      <w:r w:rsidRPr="00F37230">
        <w:rPr>
          <w:rFonts w:ascii="Garamond" w:eastAsiaTheme="minorHAnsi" w:hAnsi="Garamond" w:cs="Garamond"/>
          <w:color w:val="000000"/>
          <w:sz w:val="24"/>
          <w:szCs w:val="24"/>
        </w:rPr>
        <w:t>ër revokimin e licencës së subjektit financiar jobankë</w:t>
      </w:r>
      <w:r w:rsidR="00E175AF">
        <w:rPr>
          <w:rFonts w:ascii="Garamond" w:eastAsiaTheme="minorHAnsi" w:hAnsi="Garamond" w:cs="Garamond"/>
          <w:color w:val="000000"/>
          <w:sz w:val="24"/>
          <w:szCs w:val="24"/>
        </w:rPr>
        <w:t xml:space="preserve"> </w:t>
      </w:r>
      <w:r w:rsidR="001123F2">
        <w:rPr>
          <w:rFonts w:ascii="Garamond" w:eastAsiaTheme="minorHAnsi" w:hAnsi="Garamond" w:cs="Garamond"/>
          <w:color w:val="000000"/>
          <w:sz w:val="24"/>
          <w:szCs w:val="24"/>
        </w:rPr>
        <w:t>“</w:t>
      </w:r>
      <w:r w:rsidR="000148D4" w:rsidRPr="00F37230">
        <w:rPr>
          <w:rFonts w:ascii="Garamond" w:eastAsiaTheme="minorHAnsi" w:hAnsi="Garamond" w:cs="Garamond"/>
          <w:color w:val="000000"/>
          <w:sz w:val="24"/>
          <w:szCs w:val="24"/>
        </w:rPr>
        <w:t>Final</w:t>
      </w:r>
      <w:r w:rsidR="001123F2">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sh</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w:t>
      </w:r>
    </w:p>
    <w:p w14:paraId="71DCE363" w14:textId="1BF14441" w:rsidR="00DE43A0" w:rsidRPr="00F37230" w:rsidRDefault="00DE43A0" w:rsidP="00DE43A0">
      <w:pPr>
        <w:autoSpaceDE w:val="0"/>
        <w:autoSpaceDN w:val="0"/>
        <w:adjustRightInd w:val="0"/>
        <w:spacing w:after="0" w:line="240" w:lineRule="auto"/>
        <w:ind w:firstLine="284"/>
        <w:rPr>
          <w:rFonts w:ascii="Garamond" w:eastAsiaTheme="minorHAnsi" w:hAnsi="Garamond" w:cs="Garamond"/>
          <w:b/>
          <w:bCs/>
          <w:color w:val="000000"/>
          <w:sz w:val="24"/>
          <w:szCs w:val="24"/>
        </w:rPr>
      </w:pPr>
      <w:r w:rsidRPr="00F37230">
        <w:rPr>
          <w:rFonts w:ascii="Garamond" w:eastAsiaTheme="minorHAnsi" w:hAnsi="Garamond" w:cs="Garamond"/>
          <w:b/>
          <w:bCs/>
          <w:color w:val="000000"/>
          <w:sz w:val="24"/>
          <w:szCs w:val="24"/>
        </w:rPr>
        <w:t xml:space="preserve">II. Pretendimet e paraqitura në </w:t>
      </w:r>
      <w:r w:rsidR="00136640" w:rsidRPr="00F37230">
        <w:rPr>
          <w:rFonts w:ascii="Garamond" w:eastAsiaTheme="minorHAnsi" w:hAnsi="Garamond" w:cs="Garamond"/>
          <w:b/>
          <w:bCs/>
          <w:color w:val="000000"/>
          <w:sz w:val="24"/>
          <w:szCs w:val="24"/>
        </w:rPr>
        <w:t>ankimin administrativ</w:t>
      </w:r>
      <w:r w:rsidRPr="00F37230">
        <w:rPr>
          <w:rFonts w:ascii="Garamond" w:eastAsiaTheme="minorHAnsi" w:hAnsi="Garamond" w:cs="Garamond"/>
          <w:b/>
          <w:bCs/>
          <w:color w:val="000000"/>
          <w:sz w:val="24"/>
          <w:szCs w:val="24"/>
        </w:rPr>
        <w:t>:</w:t>
      </w:r>
    </w:p>
    <w:p w14:paraId="420C375D" w14:textId="3F794275"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 xml:space="preserve">Ndaj vendimit </w:t>
      </w:r>
      <w:r w:rsidR="00F37230">
        <w:rPr>
          <w:rFonts w:ascii="Garamond" w:eastAsiaTheme="minorHAnsi" w:hAnsi="Garamond" w:cs="Garamond"/>
          <w:color w:val="000000"/>
          <w:sz w:val="24"/>
          <w:szCs w:val="24"/>
        </w:rPr>
        <w:t>n</w:t>
      </w:r>
      <w:r w:rsidRPr="00F37230">
        <w:rPr>
          <w:rFonts w:ascii="Garamond" w:eastAsiaTheme="minorHAnsi" w:hAnsi="Garamond" w:cs="Garamond"/>
          <w:color w:val="000000"/>
          <w:sz w:val="24"/>
          <w:szCs w:val="24"/>
        </w:rPr>
        <w:t>r.</w:t>
      </w:r>
      <w:r w:rsid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2303, datë 23.5.2024</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“Për revokimin e licencës së </w:t>
      </w:r>
      <w:r w:rsidR="00136640" w:rsidRPr="00F37230">
        <w:rPr>
          <w:rFonts w:ascii="Garamond" w:eastAsiaTheme="minorHAnsi" w:hAnsi="Garamond" w:cs="Garamond"/>
          <w:color w:val="000000"/>
          <w:sz w:val="24"/>
          <w:szCs w:val="24"/>
        </w:rPr>
        <w:t>subjektit financiar jobankë</w:t>
      </w:r>
      <w:r w:rsidRPr="00F37230">
        <w:rPr>
          <w:rFonts w:ascii="Garamond" w:eastAsiaTheme="minorHAnsi" w:hAnsi="Garamond" w:cs="Garamond"/>
          <w:color w:val="000000"/>
          <w:sz w:val="24"/>
          <w:szCs w:val="24"/>
        </w:rPr>
        <w:t xml:space="preserve"> </w:t>
      </w:r>
      <w:r w:rsidR="00F37230">
        <w:rPr>
          <w:rFonts w:ascii="Garamond" w:eastAsiaTheme="minorHAnsi" w:hAnsi="Garamond" w:cs="Garamond"/>
          <w:color w:val="000000"/>
          <w:sz w:val="24"/>
          <w:szCs w:val="24"/>
        </w:rPr>
        <w:t>‘</w:t>
      </w:r>
      <w:r w:rsidR="000148D4" w:rsidRPr="00F37230">
        <w:rPr>
          <w:rFonts w:ascii="Garamond" w:eastAsiaTheme="minorHAnsi" w:hAnsi="Garamond" w:cs="Garamond"/>
          <w:color w:val="000000"/>
          <w:sz w:val="24"/>
          <w:szCs w:val="24"/>
        </w:rPr>
        <w:t>Final</w:t>
      </w:r>
      <w:r w:rsidR="000148D4">
        <w:rPr>
          <w:rFonts w:ascii="Garamond" w:eastAsiaTheme="minorHAnsi" w:hAnsi="Garamond" w:cs="Garamond"/>
          <w:color w:val="000000"/>
          <w:sz w:val="24"/>
          <w:szCs w:val="24"/>
        </w:rPr>
        <w:t>’</w:t>
      </w:r>
      <w:r w:rsidR="000148D4" w:rsidRP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sh</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 ka bërë ankim subjekti “</w:t>
      </w:r>
      <w:r w:rsidR="000148D4" w:rsidRPr="00F37230">
        <w:rPr>
          <w:rFonts w:ascii="Garamond" w:eastAsiaTheme="minorHAnsi" w:hAnsi="Garamond" w:cs="Garamond"/>
          <w:color w:val="000000"/>
          <w:sz w:val="24"/>
          <w:szCs w:val="24"/>
        </w:rPr>
        <w:t>Final</w:t>
      </w:r>
      <w:r w:rsidRPr="00F37230">
        <w:rPr>
          <w:rFonts w:ascii="Garamond" w:eastAsiaTheme="minorHAnsi" w:hAnsi="Garamond" w:cs="Garamond"/>
          <w:color w:val="000000"/>
          <w:sz w:val="24"/>
          <w:szCs w:val="24"/>
        </w:rPr>
        <w:t>” sh.p.k</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në të cilin ka parashtruar:</w:t>
      </w:r>
    </w:p>
    <w:p w14:paraId="56808474" w14:textId="7C100A01"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F37230">
        <w:rPr>
          <w:rFonts w:ascii="Garamond" w:eastAsiaTheme="minorHAnsi" w:hAnsi="Garamond" w:cs="Garamond"/>
          <w:i/>
          <w:iCs/>
          <w:color w:val="000000"/>
          <w:sz w:val="24"/>
          <w:szCs w:val="24"/>
        </w:rPr>
        <w:t>a.</w:t>
      </w:r>
      <w:r w:rsidR="00F63788" w:rsidRPr="00F3723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Vendimi për të cilin paraqesim ankim është marrë pa asnjë shkak ligjor</w:t>
      </w:r>
      <w:r w:rsidR="0013664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 xml:space="preserve">nënligjor apo në keqinterpretim të dispozitave rregullatore; </w:t>
      </w:r>
    </w:p>
    <w:p w14:paraId="3976CB6D" w14:textId="15BE9054"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F37230">
        <w:rPr>
          <w:rFonts w:ascii="Garamond" w:eastAsiaTheme="minorHAnsi" w:hAnsi="Garamond" w:cs="Garamond"/>
          <w:i/>
          <w:iCs/>
          <w:color w:val="000000"/>
          <w:sz w:val="24"/>
          <w:szCs w:val="24"/>
        </w:rPr>
        <w:t>b.</w:t>
      </w:r>
      <w:r w:rsidR="00F63788" w:rsidRPr="00F3723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Marrja e masës së sigurimit personal ndaj ortakut të vetëm të “</w:t>
      </w:r>
      <w:r w:rsidR="000148D4" w:rsidRPr="00F37230">
        <w:rPr>
          <w:rFonts w:ascii="Garamond" w:eastAsiaTheme="minorHAnsi" w:hAnsi="Garamond" w:cs="Garamond"/>
          <w:i/>
          <w:iCs/>
          <w:color w:val="000000"/>
          <w:sz w:val="24"/>
          <w:szCs w:val="24"/>
        </w:rPr>
        <w:t>Final</w:t>
      </w:r>
      <w:r w:rsidRPr="00F37230">
        <w:rPr>
          <w:rFonts w:ascii="Garamond" w:eastAsiaTheme="minorHAnsi" w:hAnsi="Garamond" w:cs="Garamond"/>
          <w:i/>
          <w:iCs/>
          <w:color w:val="000000"/>
          <w:sz w:val="24"/>
          <w:szCs w:val="24"/>
        </w:rPr>
        <w:t>” sh</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p</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k</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 Arben Meskuti:</w:t>
      </w:r>
    </w:p>
    <w:p w14:paraId="1D66EC0B" w14:textId="66024422"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F37230">
        <w:rPr>
          <w:rFonts w:ascii="Garamond" w:eastAsiaTheme="minorHAnsi" w:hAnsi="Garamond" w:cs="Garamond"/>
          <w:i/>
          <w:iCs/>
          <w:color w:val="000000"/>
          <w:sz w:val="24"/>
          <w:szCs w:val="24"/>
        </w:rPr>
        <w:t>1.</w:t>
      </w:r>
      <w:r w:rsidR="00F63788" w:rsidRPr="00F3723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nuk ka asnjë lidhje shkakësore, kohore, ligjore, funksionale me aktivitetin e “</w:t>
      </w:r>
      <w:r w:rsidR="000148D4" w:rsidRPr="00F37230">
        <w:rPr>
          <w:rFonts w:ascii="Garamond" w:eastAsiaTheme="minorHAnsi" w:hAnsi="Garamond" w:cs="Garamond"/>
          <w:i/>
          <w:iCs/>
          <w:color w:val="000000"/>
          <w:sz w:val="24"/>
          <w:szCs w:val="24"/>
        </w:rPr>
        <w:t>Final</w:t>
      </w:r>
      <w:r w:rsidRPr="00F37230">
        <w:rPr>
          <w:rFonts w:ascii="Garamond" w:eastAsiaTheme="minorHAnsi" w:hAnsi="Garamond" w:cs="Garamond"/>
          <w:i/>
          <w:iCs/>
          <w:color w:val="000000"/>
          <w:sz w:val="24"/>
          <w:szCs w:val="24"/>
        </w:rPr>
        <w:t>” sh</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p</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k</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 xml:space="preserve"> apo cilësinë e ortakut të vetëm të “</w:t>
      </w:r>
      <w:r w:rsidR="000148D4" w:rsidRPr="00F37230">
        <w:rPr>
          <w:rFonts w:ascii="Garamond" w:eastAsiaTheme="minorHAnsi" w:hAnsi="Garamond" w:cs="Garamond"/>
          <w:i/>
          <w:iCs/>
          <w:color w:val="000000"/>
          <w:sz w:val="24"/>
          <w:szCs w:val="24"/>
        </w:rPr>
        <w:t>Final</w:t>
      </w:r>
      <w:r w:rsidRPr="00F37230">
        <w:rPr>
          <w:rFonts w:ascii="Garamond" w:eastAsiaTheme="minorHAnsi" w:hAnsi="Garamond" w:cs="Garamond"/>
          <w:i/>
          <w:iCs/>
          <w:color w:val="000000"/>
          <w:sz w:val="24"/>
          <w:szCs w:val="24"/>
        </w:rPr>
        <w:t>” sh</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p</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k</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w:t>
      </w:r>
    </w:p>
    <w:p w14:paraId="107A1480" w14:textId="3AA32470"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F37230">
        <w:rPr>
          <w:rFonts w:ascii="Garamond" w:eastAsiaTheme="minorHAnsi" w:hAnsi="Garamond" w:cs="Garamond"/>
          <w:i/>
          <w:iCs/>
          <w:color w:val="000000"/>
          <w:sz w:val="24"/>
          <w:szCs w:val="24"/>
        </w:rPr>
        <w:t>2.</w:t>
      </w:r>
      <w:r w:rsidR="00F63788" w:rsidRPr="00F3723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nuk pa</w:t>
      </w:r>
      <w:r w:rsidR="00F37230">
        <w:rPr>
          <w:rFonts w:ascii="Garamond" w:eastAsiaTheme="minorHAnsi" w:hAnsi="Garamond" w:cs="Garamond"/>
          <w:i/>
          <w:iCs/>
          <w:color w:val="000000"/>
          <w:sz w:val="24"/>
          <w:szCs w:val="24"/>
        </w:rPr>
        <w:t>s</w:t>
      </w:r>
      <w:r w:rsidRPr="00F37230">
        <w:rPr>
          <w:rFonts w:ascii="Garamond" w:eastAsiaTheme="minorHAnsi" w:hAnsi="Garamond" w:cs="Garamond"/>
          <w:i/>
          <w:iCs/>
          <w:color w:val="000000"/>
          <w:sz w:val="24"/>
          <w:szCs w:val="24"/>
        </w:rPr>
        <w:t>sjell ndikim negativ në aktivitetin e ardhshëm të “</w:t>
      </w:r>
      <w:r w:rsidR="000148D4" w:rsidRPr="00F37230">
        <w:rPr>
          <w:rFonts w:ascii="Garamond" w:eastAsiaTheme="minorHAnsi" w:hAnsi="Garamond" w:cs="Garamond"/>
          <w:i/>
          <w:iCs/>
          <w:color w:val="000000"/>
          <w:sz w:val="24"/>
          <w:szCs w:val="24"/>
        </w:rPr>
        <w:t>Final</w:t>
      </w:r>
      <w:r w:rsidRPr="00F37230">
        <w:rPr>
          <w:rFonts w:ascii="Garamond" w:eastAsiaTheme="minorHAnsi" w:hAnsi="Garamond" w:cs="Garamond"/>
          <w:i/>
          <w:iCs/>
          <w:color w:val="000000"/>
          <w:sz w:val="24"/>
          <w:szCs w:val="24"/>
        </w:rPr>
        <w:t>” sh</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p</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k</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 xml:space="preserve"> apo të jetë ndikuar nga aktiviteti i deritanishëm i “</w:t>
      </w:r>
      <w:r w:rsidR="000148D4" w:rsidRPr="00F37230">
        <w:rPr>
          <w:rFonts w:ascii="Garamond" w:eastAsiaTheme="minorHAnsi" w:hAnsi="Garamond" w:cs="Garamond"/>
          <w:i/>
          <w:iCs/>
          <w:color w:val="000000"/>
          <w:sz w:val="24"/>
          <w:szCs w:val="24"/>
        </w:rPr>
        <w:t>Final</w:t>
      </w:r>
      <w:r w:rsidRPr="00F37230">
        <w:rPr>
          <w:rFonts w:ascii="Garamond" w:eastAsiaTheme="minorHAnsi" w:hAnsi="Garamond" w:cs="Garamond"/>
          <w:i/>
          <w:iCs/>
          <w:color w:val="000000"/>
          <w:sz w:val="24"/>
          <w:szCs w:val="24"/>
        </w:rPr>
        <w:t>” sh</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p</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k</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w:t>
      </w:r>
    </w:p>
    <w:p w14:paraId="36713650" w14:textId="550B0672"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F37230">
        <w:rPr>
          <w:rFonts w:ascii="Garamond" w:eastAsiaTheme="minorHAnsi" w:hAnsi="Garamond" w:cs="Garamond"/>
          <w:i/>
          <w:iCs/>
          <w:color w:val="000000"/>
          <w:sz w:val="24"/>
          <w:szCs w:val="24"/>
        </w:rPr>
        <w:t>3.</w:t>
      </w:r>
      <w:r w:rsidR="00F63788" w:rsidRPr="00F3723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pa paragjykuar vendimmarrjen e mëtejshme gjyqësore (duke prezumuar në çdo rast pafajësinë apo ndryshimin e masës së sigurimit) për z.</w:t>
      </w:r>
      <w:r w:rsidR="00F3723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Meskuti</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 xml:space="preserve"> në lidhje me masën e sigurimit personal, apo akuzën që ende nuk është komunikuar/ngritur, mund të ketë të njëjtin efekt negativ/pozitiv</w:t>
      </w:r>
      <w:r w:rsidR="0013664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(reversë) edhe në vendimmarrjen e mëtejshme të Bankës së Shqipërisë</w:t>
      </w:r>
      <w:r w:rsidR="00136640">
        <w:rPr>
          <w:rFonts w:ascii="Garamond" w:eastAsiaTheme="minorHAnsi" w:hAnsi="Garamond" w:cs="Garamond"/>
          <w:i/>
          <w:iCs/>
          <w:color w:val="000000"/>
          <w:sz w:val="24"/>
          <w:szCs w:val="24"/>
        </w:rPr>
        <w:t>;</w:t>
      </w:r>
    </w:p>
    <w:p w14:paraId="3D311C54" w14:textId="283A5E6A"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F37230">
        <w:rPr>
          <w:rFonts w:ascii="Garamond" w:eastAsiaTheme="minorHAnsi" w:hAnsi="Garamond" w:cs="Garamond"/>
          <w:i/>
          <w:iCs/>
          <w:color w:val="000000"/>
          <w:sz w:val="24"/>
          <w:szCs w:val="24"/>
        </w:rPr>
        <w:t>c.</w:t>
      </w:r>
      <w:r w:rsidR="00F63788" w:rsidRPr="00F3723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procedura administrative e ndjekur dhe vendimmarrja e Bankës së Shqipërisë (në vijim të kësaj procedure) konsiderojmë që nuk ka respektuar kuadrin rregullativ administrativ ligjor.</w:t>
      </w:r>
    </w:p>
    <w:p w14:paraId="6A334C3D" w14:textId="42B1828C"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Në përfundim, kërkohet shfuqizimi i vendimit nr.</w:t>
      </w:r>
      <w:r w:rsid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2303</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datë 23.5.2024</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“Për revokimin e licencës së </w:t>
      </w:r>
      <w:r w:rsidR="00136640" w:rsidRPr="00F37230">
        <w:rPr>
          <w:rFonts w:ascii="Garamond" w:eastAsiaTheme="minorHAnsi" w:hAnsi="Garamond" w:cs="Garamond"/>
          <w:color w:val="000000"/>
          <w:sz w:val="24"/>
          <w:szCs w:val="24"/>
        </w:rPr>
        <w:t xml:space="preserve">subjektit financiar jobankë </w:t>
      </w:r>
      <w:r w:rsidR="00F37230">
        <w:rPr>
          <w:rFonts w:ascii="Garamond" w:eastAsiaTheme="minorHAnsi" w:hAnsi="Garamond" w:cs="Garamond"/>
          <w:color w:val="000000"/>
          <w:sz w:val="24"/>
          <w:szCs w:val="24"/>
        </w:rPr>
        <w:t>‘</w:t>
      </w:r>
      <w:r w:rsidR="000148D4" w:rsidRPr="00F37230">
        <w:rPr>
          <w:rFonts w:ascii="Garamond" w:eastAsiaTheme="minorHAnsi" w:hAnsi="Garamond" w:cs="Garamond"/>
          <w:color w:val="000000"/>
          <w:sz w:val="24"/>
          <w:szCs w:val="24"/>
        </w:rPr>
        <w:t>Final</w:t>
      </w:r>
      <w:r w:rsidR="000148D4">
        <w:rPr>
          <w:rFonts w:ascii="Garamond" w:eastAsiaTheme="minorHAnsi" w:hAnsi="Garamond" w:cs="Garamond"/>
          <w:color w:val="000000"/>
          <w:sz w:val="24"/>
          <w:szCs w:val="24"/>
        </w:rPr>
        <w:t>’</w:t>
      </w:r>
      <w:r w:rsidR="000148D4" w:rsidRP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sh</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w:t>
      </w:r>
      <w:r w:rsidR="00F37230">
        <w:rPr>
          <w:rFonts w:ascii="Garamond" w:eastAsiaTheme="minorHAnsi" w:hAnsi="Garamond" w:cs="Garamond"/>
          <w:color w:val="000000"/>
          <w:sz w:val="24"/>
          <w:szCs w:val="24"/>
        </w:rPr>
        <w:t>.</w:t>
      </w:r>
    </w:p>
    <w:p w14:paraId="2E49B227" w14:textId="7777777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F37230">
        <w:rPr>
          <w:rFonts w:ascii="Garamond" w:eastAsiaTheme="minorHAnsi" w:hAnsi="Garamond" w:cs="Garamond"/>
          <w:b/>
          <w:bCs/>
          <w:color w:val="000000"/>
          <w:sz w:val="24"/>
          <w:szCs w:val="24"/>
        </w:rPr>
        <w:t>III. Arsyetimi ligjor</w:t>
      </w:r>
    </w:p>
    <w:p w14:paraId="5C444693" w14:textId="17B59009"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lastRenderedPageBreak/>
        <w:t>Rregullorja “Për licencimin dhe ushtrimin e veprimtarisë nga subjektet financiare jobanka”</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miratuar me vendimin nr.</w:t>
      </w:r>
      <w:r w:rsid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 xml:space="preserve">1, datë 17.1.2013, </w:t>
      </w:r>
      <w:r w:rsidR="00136640" w:rsidRPr="00F37230">
        <w:rPr>
          <w:rFonts w:ascii="Garamond" w:eastAsiaTheme="minorHAnsi" w:hAnsi="Garamond" w:cs="Garamond"/>
          <w:color w:val="000000"/>
          <w:sz w:val="24"/>
          <w:szCs w:val="24"/>
        </w:rPr>
        <w:t>të</w:t>
      </w:r>
      <w:r w:rsidRPr="00F37230">
        <w:rPr>
          <w:rFonts w:ascii="Garamond" w:eastAsiaTheme="minorHAnsi" w:hAnsi="Garamond" w:cs="Garamond"/>
          <w:color w:val="000000"/>
          <w:sz w:val="24"/>
          <w:szCs w:val="24"/>
        </w:rPr>
        <w:t xml:space="preserve"> ndryshuar, parashikon kriteret dhe kushtet që duhet të përmbushin subjektet financiare jobanka, të cilat kërkojnë të licencohen nga Banka e Shqipërisë për ushtrimin e veprimtarive financiare. Këto kritere janë të zbatueshme për t’u përmbushur jo vetëm në momentin e licencimit, por duhet që këto kritere të përmbush</w:t>
      </w:r>
      <w:r w:rsidR="00136640">
        <w:rPr>
          <w:rFonts w:ascii="Garamond" w:eastAsiaTheme="minorHAnsi" w:hAnsi="Garamond" w:cs="Garamond"/>
          <w:color w:val="000000"/>
          <w:sz w:val="24"/>
          <w:szCs w:val="24"/>
        </w:rPr>
        <w:t>e</w:t>
      </w:r>
      <w:r w:rsidRPr="00F37230">
        <w:rPr>
          <w:rFonts w:ascii="Garamond" w:eastAsiaTheme="minorHAnsi" w:hAnsi="Garamond" w:cs="Garamond"/>
          <w:color w:val="000000"/>
          <w:sz w:val="24"/>
          <w:szCs w:val="24"/>
        </w:rPr>
        <w:t>n në vijimësi</w:t>
      </w:r>
      <w:r w:rsidR="0013664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gjatë </w:t>
      </w:r>
      <w:r w:rsidR="00136640" w:rsidRPr="00F37230">
        <w:rPr>
          <w:rFonts w:ascii="Garamond" w:eastAsiaTheme="minorHAnsi" w:hAnsi="Garamond" w:cs="Garamond"/>
          <w:color w:val="000000"/>
          <w:sz w:val="24"/>
          <w:szCs w:val="24"/>
        </w:rPr>
        <w:t xml:space="preserve">të </w:t>
      </w:r>
      <w:r w:rsidRPr="00F37230">
        <w:rPr>
          <w:rFonts w:ascii="Garamond" w:eastAsiaTheme="minorHAnsi" w:hAnsi="Garamond" w:cs="Garamond"/>
          <w:color w:val="000000"/>
          <w:sz w:val="24"/>
          <w:szCs w:val="24"/>
        </w:rPr>
        <w:t>gjithë veprimtarisë financiare të subjektit financiar jobankë.</w:t>
      </w:r>
    </w:p>
    <w:p w14:paraId="3C41F7B7" w14:textId="217ED3CE"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Një ndër kriteret e rëndësishme për dhënien apo refuzimin e licencës është i parashikuar në nenin 10 të rregullores së licencimit dhe që lidhet me reputacionin e themeluesit (aksionarit) të shoqërisë. Më konkretisht, pika 1, e këtij neni përcakton:</w:t>
      </w:r>
    </w:p>
    <w:p w14:paraId="49C8FDA6" w14:textId="35538945"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sz w:val="24"/>
          <w:szCs w:val="24"/>
        </w:rPr>
      </w:pPr>
      <w:r w:rsidRPr="00F37230">
        <w:rPr>
          <w:rFonts w:ascii="Garamond" w:eastAsiaTheme="minorHAnsi" w:hAnsi="Garamond" w:cs="Garamond"/>
          <w:i/>
          <w:iCs/>
          <w:color w:val="000000"/>
          <w:sz w:val="24"/>
          <w:szCs w:val="24"/>
        </w:rPr>
        <w:t>“Banka</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e</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Shqipërisë</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merr</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vendim</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për</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dhënien</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e</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licencës</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vetëm</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kur</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krijon</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bindjen se subjekti plotëson</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kërkesat</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e</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kësaj</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rregulloreje,</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për</w:t>
      </w:r>
      <w:r w:rsidR="00F3723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sa</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i</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përket</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kushteve</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të mëposhtme:</w:t>
      </w:r>
    </w:p>
    <w:p w14:paraId="2553DB9E" w14:textId="3CC3BECB"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sz w:val="24"/>
          <w:szCs w:val="24"/>
        </w:rPr>
      </w:pPr>
      <w:r w:rsidRPr="00F37230">
        <w:rPr>
          <w:rFonts w:ascii="Garamond" w:eastAsiaTheme="minorHAnsi" w:hAnsi="Garamond" w:cs="Garamond"/>
          <w:b/>
          <w:bCs/>
          <w:i/>
          <w:iCs/>
          <w:color w:val="000000"/>
          <w:sz w:val="24"/>
          <w:szCs w:val="24"/>
        </w:rPr>
        <w:t>a)</w:t>
      </w:r>
      <w:r w:rsidR="00F63788" w:rsidRPr="00F37230">
        <w:rPr>
          <w:rFonts w:ascii="Garamond" w:eastAsiaTheme="minorHAnsi" w:hAnsi="Garamond" w:cs="Garamond"/>
          <w:b/>
          <w:bCs/>
          <w:i/>
          <w:iCs/>
          <w:color w:val="000000"/>
          <w:sz w:val="24"/>
          <w:szCs w:val="24"/>
        </w:rPr>
        <w:t xml:space="preserve"> </w:t>
      </w:r>
      <w:r w:rsidRPr="00F37230">
        <w:rPr>
          <w:rFonts w:ascii="Garamond" w:eastAsiaTheme="minorHAnsi" w:hAnsi="Garamond" w:cs="Garamond"/>
          <w:b/>
          <w:bCs/>
          <w:i/>
          <w:iCs/>
          <w:color w:val="000000"/>
          <w:sz w:val="24"/>
          <w:szCs w:val="24"/>
        </w:rPr>
        <w:t>themeluesit</w:t>
      </w:r>
      <w:r w:rsidR="00E175AF">
        <w:rPr>
          <w:rFonts w:ascii="Garamond" w:eastAsiaTheme="minorHAnsi" w:hAnsi="Garamond" w:cs="Garamond"/>
          <w:b/>
          <w:bCs/>
          <w:i/>
          <w:iCs/>
          <w:color w:val="000000"/>
          <w:sz w:val="24"/>
          <w:szCs w:val="24"/>
        </w:rPr>
        <w:t xml:space="preserve"> </w:t>
      </w:r>
      <w:r w:rsidRPr="00F37230">
        <w:rPr>
          <w:rFonts w:ascii="Garamond" w:eastAsiaTheme="minorHAnsi" w:hAnsi="Garamond" w:cs="Garamond"/>
          <w:b/>
          <w:bCs/>
          <w:i/>
          <w:iCs/>
          <w:color w:val="000000"/>
          <w:sz w:val="24"/>
          <w:szCs w:val="24"/>
        </w:rPr>
        <w:t>e</w:t>
      </w:r>
      <w:r w:rsidR="00E175AF">
        <w:rPr>
          <w:rFonts w:ascii="Garamond" w:eastAsiaTheme="minorHAnsi" w:hAnsi="Garamond" w:cs="Garamond"/>
          <w:b/>
          <w:bCs/>
          <w:i/>
          <w:iCs/>
          <w:color w:val="000000"/>
          <w:sz w:val="24"/>
          <w:szCs w:val="24"/>
        </w:rPr>
        <w:t xml:space="preserve"> </w:t>
      </w:r>
      <w:r w:rsidRPr="00F37230">
        <w:rPr>
          <w:rFonts w:ascii="Garamond" w:eastAsiaTheme="minorHAnsi" w:hAnsi="Garamond" w:cs="Garamond"/>
          <w:b/>
          <w:bCs/>
          <w:i/>
          <w:iCs/>
          <w:color w:val="000000"/>
          <w:sz w:val="24"/>
          <w:szCs w:val="24"/>
        </w:rPr>
        <w:t>subjektit</w:t>
      </w:r>
      <w:r w:rsidR="00E175AF">
        <w:rPr>
          <w:rFonts w:ascii="Garamond" w:eastAsiaTheme="minorHAnsi" w:hAnsi="Garamond" w:cs="Garamond"/>
          <w:b/>
          <w:bCs/>
          <w:i/>
          <w:iCs/>
          <w:color w:val="000000"/>
          <w:sz w:val="24"/>
          <w:szCs w:val="24"/>
        </w:rPr>
        <w:t xml:space="preserve"> </w:t>
      </w:r>
      <w:r w:rsidRPr="00F37230">
        <w:rPr>
          <w:rFonts w:ascii="Garamond" w:eastAsiaTheme="minorHAnsi" w:hAnsi="Garamond" w:cs="Garamond"/>
          <w:b/>
          <w:bCs/>
          <w:i/>
          <w:iCs/>
          <w:color w:val="000000"/>
          <w:sz w:val="24"/>
          <w:szCs w:val="24"/>
        </w:rPr>
        <w:t>të</w:t>
      </w:r>
      <w:r w:rsidR="00E175AF">
        <w:rPr>
          <w:rFonts w:ascii="Garamond" w:eastAsiaTheme="minorHAnsi" w:hAnsi="Garamond" w:cs="Garamond"/>
          <w:b/>
          <w:bCs/>
          <w:i/>
          <w:iCs/>
          <w:color w:val="000000"/>
          <w:sz w:val="24"/>
          <w:szCs w:val="24"/>
        </w:rPr>
        <w:t xml:space="preserve"> </w:t>
      </w:r>
      <w:r w:rsidRPr="00F37230">
        <w:rPr>
          <w:rFonts w:ascii="Garamond" w:eastAsiaTheme="minorHAnsi" w:hAnsi="Garamond" w:cs="Garamond"/>
          <w:b/>
          <w:bCs/>
          <w:i/>
          <w:iCs/>
          <w:color w:val="000000"/>
          <w:sz w:val="24"/>
          <w:szCs w:val="24"/>
        </w:rPr>
        <w:t>kenë</w:t>
      </w:r>
      <w:r w:rsidR="00E175AF">
        <w:rPr>
          <w:rFonts w:ascii="Garamond" w:eastAsiaTheme="minorHAnsi" w:hAnsi="Garamond" w:cs="Garamond"/>
          <w:b/>
          <w:bCs/>
          <w:i/>
          <w:iCs/>
          <w:color w:val="000000"/>
          <w:sz w:val="24"/>
          <w:szCs w:val="24"/>
        </w:rPr>
        <w:t xml:space="preserve"> </w:t>
      </w:r>
      <w:r w:rsidRPr="00F37230">
        <w:rPr>
          <w:rFonts w:ascii="Garamond" w:eastAsiaTheme="minorHAnsi" w:hAnsi="Garamond" w:cs="Garamond"/>
          <w:b/>
          <w:bCs/>
          <w:i/>
          <w:iCs/>
          <w:color w:val="000000"/>
          <w:sz w:val="24"/>
          <w:szCs w:val="24"/>
        </w:rPr>
        <w:t>reputacion</w:t>
      </w:r>
      <w:r w:rsidR="00E175AF">
        <w:rPr>
          <w:rFonts w:ascii="Garamond" w:eastAsiaTheme="minorHAnsi" w:hAnsi="Garamond" w:cs="Garamond"/>
          <w:b/>
          <w:bCs/>
          <w:i/>
          <w:iCs/>
          <w:color w:val="000000"/>
          <w:sz w:val="24"/>
          <w:szCs w:val="24"/>
        </w:rPr>
        <w:t xml:space="preserve"> </w:t>
      </w:r>
      <w:r w:rsidRPr="00F37230">
        <w:rPr>
          <w:rFonts w:ascii="Garamond" w:eastAsiaTheme="minorHAnsi" w:hAnsi="Garamond" w:cs="Garamond"/>
          <w:b/>
          <w:bCs/>
          <w:i/>
          <w:iCs/>
          <w:color w:val="000000"/>
          <w:sz w:val="24"/>
          <w:szCs w:val="24"/>
        </w:rPr>
        <w:t>të</w:t>
      </w:r>
      <w:r w:rsidR="00E175AF">
        <w:rPr>
          <w:rFonts w:ascii="Garamond" w:eastAsiaTheme="minorHAnsi" w:hAnsi="Garamond" w:cs="Garamond"/>
          <w:b/>
          <w:bCs/>
          <w:i/>
          <w:iCs/>
          <w:color w:val="000000"/>
          <w:sz w:val="24"/>
          <w:szCs w:val="24"/>
        </w:rPr>
        <w:t xml:space="preserve"> </w:t>
      </w:r>
      <w:r w:rsidRPr="00F37230">
        <w:rPr>
          <w:rFonts w:ascii="Garamond" w:eastAsiaTheme="minorHAnsi" w:hAnsi="Garamond" w:cs="Garamond"/>
          <w:b/>
          <w:bCs/>
          <w:i/>
          <w:iCs/>
          <w:color w:val="000000"/>
          <w:sz w:val="24"/>
          <w:szCs w:val="24"/>
        </w:rPr>
        <w:t>mirë</w:t>
      </w:r>
      <w:r w:rsidRPr="00F37230">
        <w:rPr>
          <w:rFonts w:ascii="Garamond" w:eastAsiaTheme="minorHAnsi" w:hAnsi="Garamond" w:cs="Garamond"/>
          <w:i/>
          <w:iCs/>
          <w:sz w:val="24"/>
          <w:szCs w:val="24"/>
        </w:rPr>
        <w:t>,</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burim</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të</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ligjshëm</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të kontributeve</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në</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kapital,</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veprimtari</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të</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ligjshme,</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të</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regjistruar</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dhe</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që</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mund</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të mbikëqyret, të kenë mundësi financiare për derdhjen e fondeve shtesë në qoftë se kapitali</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bie</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nën</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nivelin</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minimal</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të kërkuar</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nga</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Banka e</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Shqipërisë</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ose</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për realizimin e financimeve të nevojshme për vazhdimin e qëndrueshëm në kohë të veprimtarisë së subjektit;</w:t>
      </w:r>
    </w:p>
    <w:p w14:paraId="7B6D278F" w14:textId="69C2BF2A"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sz w:val="24"/>
          <w:szCs w:val="24"/>
        </w:rPr>
      </w:pPr>
      <w:r w:rsidRPr="00F37230">
        <w:rPr>
          <w:rFonts w:ascii="Garamond" w:eastAsiaTheme="minorHAnsi" w:hAnsi="Garamond" w:cs="Garamond"/>
          <w:i/>
          <w:iCs/>
          <w:color w:val="000000"/>
          <w:sz w:val="24"/>
          <w:szCs w:val="24"/>
        </w:rPr>
        <w:t>b)</w:t>
      </w:r>
      <w:r w:rsidR="00F63788" w:rsidRPr="00F37230">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kualifikimet,</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përvoja</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i/>
          <w:iCs/>
          <w:color w:val="000000"/>
          <w:sz w:val="24"/>
          <w:szCs w:val="24"/>
        </w:rPr>
        <w:t>e</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b/>
          <w:bCs/>
          <w:i/>
          <w:iCs/>
          <w:sz w:val="24"/>
          <w:szCs w:val="24"/>
        </w:rPr>
        <w:t>reputacioni</w:t>
      </w:r>
      <w:r w:rsidR="00E175AF">
        <w:rPr>
          <w:rFonts w:ascii="Garamond" w:eastAsiaTheme="minorHAnsi" w:hAnsi="Garamond" w:cs="Garamond"/>
          <w:b/>
          <w:bCs/>
          <w:i/>
          <w:iCs/>
          <w:sz w:val="24"/>
          <w:szCs w:val="24"/>
        </w:rPr>
        <w:t xml:space="preserve"> </w:t>
      </w:r>
      <w:r w:rsidRPr="00F37230">
        <w:rPr>
          <w:rFonts w:ascii="Garamond" w:eastAsiaTheme="minorHAnsi" w:hAnsi="Garamond" w:cs="Garamond"/>
          <w:b/>
          <w:bCs/>
          <w:i/>
          <w:iCs/>
          <w:sz w:val="24"/>
          <w:szCs w:val="24"/>
        </w:rPr>
        <w:t>i</w:t>
      </w:r>
      <w:r w:rsidR="00E175AF">
        <w:rPr>
          <w:rFonts w:ascii="Garamond" w:eastAsiaTheme="minorHAnsi" w:hAnsi="Garamond" w:cs="Garamond"/>
          <w:b/>
          <w:bCs/>
          <w:i/>
          <w:iCs/>
          <w:sz w:val="24"/>
          <w:szCs w:val="24"/>
        </w:rPr>
        <w:t xml:space="preserve"> </w:t>
      </w:r>
      <w:r w:rsidRPr="00F37230">
        <w:rPr>
          <w:rFonts w:ascii="Garamond" w:eastAsiaTheme="minorHAnsi" w:hAnsi="Garamond" w:cs="Garamond"/>
          <w:b/>
          <w:bCs/>
          <w:i/>
          <w:iCs/>
          <w:sz w:val="24"/>
          <w:szCs w:val="24"/>
        </w:rPr>
        <w:t>administratorit</w:t>
      </w:r>
      <w:r w:rsidR="00E175AF">
        <w:rPr>
          <w:rFonts w:ascii="Garamond" w:eastAsiaTheme="minorHAnsi" w:hAnsi="Garamond" w:cs="Garamond"/>
          <w:b/>
          <w:bCs/>
          <w:i/>
          <w:iCs/>
          <w:sz w:val="24"/>
          <w:szCs w:val="24"/>
        </w:rPr>
        <w:t xml:space="preserve"> </w:t>
      </w:r>
      <w:r w:rsidRPr="00F37230">
        <w:rPr>
          <w:rFonts w:ascii="Garamond" w:eastAsiaTheme="minorHAnsi" w:hAnsi="Garamond" w:cs="Garamond"/>
          <w:b/>
          <w:bCs/>
          <w:i/>
          <w:iCs/>
          <w:sz w:val="24"/>
          <w:szCs w:val="24"/>
        </w:rPr>
        <w:t>dhe</w:t>
      </w:r>
      <w:r w:rsidR="00E175AF">
        <w:rPr>
          <w:rFonts w:ascii="Garamond" w:eastAsiaTheme="minorHAnsi" w:hAnsi="Garamond" w:cs="Garamond"/>
          <w:b/>
          <w:bCs/>
          <w:i/>
          <w:iCs/>
          <w:sz w:val="24"/>
          <w:szCs w:val="24"/>
        </w:rPr>
        <w:t xml:space="preserve"> </w:t>
      </w:r>
      <w:r w:rsidRPr="00F37230">
        <w:rPr>
          <w:rFonts w:ascii="Garamond" w:eastAsiaTheme="minorHAnsi" w:hAnsi="Garamond" w:cs="Garamond"/>
          <w:b/>
          <w:bCs/>
          <w:i/>
          <w:iCs/>
          <w:sz w:val="24"/>
          <w:szCs w:val="24"/>
        </w:rPr>
        <w:t>i</w:t>
      </w:r>
      <w:r w:rsidR="00E175AF">
        <w:rPr>
          <w:rFonts w:ascii="Garamond" w:eastAsiaTheme="minorHAnsi" w:hAnsi="Garamond" w:cs="Garamond"/>
          <w:b/>
          <w:bCs/>
          <w:i/>
          <w:iCs/>
          <w:sz w:val="24"/>
          <w:szCs w:val="24"/>
        </w:rPr>
        <w:t xml:space="preserve"> </w:t>
      </w:r>
      <w:r w:rsidRPr="00F37230">
        <w:rPr>
          <w:rFonts w:ascii="Garamond" w:eastAsiaTheme="minorHAnsi" w:hAnsi="Garamond" w:cs="Garamond"/>
          <w:b/>
          <w:bCs/>
          <w:i/>
          <w:iCs/>
          <w:sz w:val="24"/>
          <w:szCs w:val="24"/>
        </w:rPr>
        <w:t>themeluesve</w:t>
      </w:r>
      <w:r w:rsidR="00E175AF">
        <w:rPr>
          <w:rFonts w:ascii="Garamond" w:eastAsiaTheme="minorHAnsi" w:hAnsi="Garamond" w:cs="Garamond"/>
          <w:b/>
          <w:bCs/>
          <w:i/>
          <w:iCs/>
          <w:sz w:val="24"/>
          <w:szCs w:val="24"/>
        </w:rPr>
        <w:t xml:space="preserve"> </w:t>
      </w:r>
      <w:r w:rsidRPr="00F37230">
        <w:rPr>
          <w:rFonts w:ascii="Garamond" w:eastAsiaTheme="minorHAnsi" w:hAnsi="Garamond" w:cs="Garamond"/>
          <w:b/>
          <w:bCs/>
          <w:i/>
          <w:iCs/>
          <w:sz w:val="24"/>
          <w:szCs w:val="24"/>
        </w:rPr>
        <w:t>me pjesëmarrje</w:t>
      </w:r>
      <w:r w:rsidR="00E175AF">
        <w:rPr>
          <w:rFonts w:ascii="Garamond" w:eastAsiaTheme="minorHAnsi" w:hAnsi="Garamond" w:cs="Garamond"/>
          <w:b/>
          <w:bCs/>
          <w:i/>
          <w:iCs/>
          <w:sz w:val="24"/>
          <w:szCs w:val="24"/>
        </w:rPr>
        <w:t xml:space="preserve"> </w:t>
      </w:r>
      <w:r w:rsidRPr="00F37230">
        <w:rPr>
          <w:rFonts w:ascii="Garamond" w:eastAsiaTheme="minorHAnsi" w:hAnsi="Garamond" w:cs="Garamond"/>
          <w:b/>
          <w:bCs/>
          <w:i/>
          <w:iCs/>
          <w:sz w:val="24"/>
          <w:szCs w:val="24"/>
        </w:rPr>
        <w:t>influencuese</w:t>
      </w:r>
      <w:r w:rsidR="00E175AF">
        <w:rPr>
          <w:rFonts w:ascii="Garamond" w:eastAsiaTheme="minorHAnsi" w:hAnsi="Garamond" w:cs="Garamond"/>
          <w:b/>
          <w:bCs/>
          <w:i/>
          <w:iCs/>
          <w:sz w:val="24"/>
          <w:szCs w:val="24"/>
        </w:rPr>
        <w:t xml:space="preserve"> </w:t>
      </w:r>
      <w:r w:rsidRPr="00F37230">
        <w:rPr>
          <w:rFonts w:ascii="Garamond" w:eastAsiaTheme="minorHAnsi" w:hAnsi="Garamond" w:cs="Garamond"/>
          <w:i/>
          <w:iCs/>
          <w:sz w:val="24"/>
          <w:szCs w:val="24"/>
        </w:rPr>
        <w:t>të</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jenë</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të</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përshtatshme</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për</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realizimin</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e</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planit</w:t>
      </w:r>
      <w:r w:rsidR="00E175AF">
        <w:rPr>
          <w:rFonts w:ascii="Garamond" w:eastAsiaTheme="minorHAnsi" w:hAnsi="Garamond" w:cs="Garamond"/>
          <w:i/>
          <w:iCs/>
          <w:sz w:val="24"/>
          <w:szCs w:val="24"/>
        </w:rPr>
        <w:t xml:space="preserve"> </w:t>
      </w:r>
      <w:r w:rsidRPr="00F37230">
        <w:rPr>
          <w:rFonts w:ascii="Garamond" w:eastAsiaTheme="minorHAnsi" w:hAnsi="Garamond" w:cs="Garamond"/>
          <w:i/>
          <w:iCs/>
          <w:sz w:val="24"/>
          <w:szCs w:val="24"/>
        </w:rPr>
        <w:t>të biznesit.”</w:t>
      </w:r>
      <w:r w:rsidR="00136640">
        <w:rPr>
          <w:rFonts w:ascii="Garamond" w:eastAsiaTheme="minorHAnsi" w:hAnsi="Garamond" w:cs="Garamond"/>
          <w:i/>
          <w:iCs/>
          <w:sz w:val="24"/>
          <w:szCs w:val="24"/>
        </w:rPr>
        <w:t>.</w:t>
      </w:r>
    </w:p>
    <w:p w14:paraId="2A2801C3" w14:textId="7777777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sz w:val="24"/>
          <w:szCs w:val="24"/>
        </w:rPr>
      </w:pPr>
      <w:r w:rsidRPr="00F37230">
        <w:rPr>
          <w:rFonts w:ascii="Garamond" w:eastAsiaTheme="minorHAnsi" w:hAnsi="Garamond" w:cs="Garamond"/>
          <w:sz w:val="24"/>
          <w:szCs w:val="24"/>
        </w:rPr>
        <w:t>Ndërkohë që pika 2 (nënpika 4), e po këtij neni të rregullores, bën një parashikim akoma më eksplicit, duke u shprehur:</w:t>
      </w:r>
    </w:p>
    <w:p w14:paraId="169236CB" w14:textId="347A4A10" w:rsidR="00DE43A0" w:rsidRPr="00F37230" w:rsidRDefault="00F63788"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F37230">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“Banka</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e</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Shqipërisë</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refuzon</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 xml:space="preserve">dhënien </w:t>
      </w:r>
      <w:r w:rsidR="00136640">
        <w:rPr>
          <w:rFonts w:ascii="Garamond" w:eastAsiaTheme="minorHAnsi" w:hAnsi="Garamond" w:cs="Garamond"/>
          <w:i/>
          <w:iCs/>
          <w:color w:val="000000"/>
          <w:sz w:val="24"/>
          <w:szCs w:val="24"/>
        </w:rPr>
        <w:t>e</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licencës</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kur</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nuk</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plotësohen</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kërkesat</w:t>
      </w:r>
      <w:r w:rsidR="00E175AF">
        <w:rPr>
          <w:rFonts w:ascii="Garamond" w:eastAsiaTheme="minorHAnsi" w:hAnsi="Garamond" w:cs="Garamond"/>
          <w:i/>
          <w:iCs/>
          <w:color w:val="000000"/>
          <w:sz w:val="24"/>
          <w:szCs w:val="24"/>
        </w:rPr>
        <w:t xml:space="preserve"> </w:t>
      </w:r>
      <w:r w:rsidR="00DE43A0" w:rsidRPr="00F37230">
        <w:rPr>
          <w:rFonts w:ascii="Garamond" w:eastAsiaTheme="minorHAnsi" w:hAnsi="Garamond" w:cs="Garamond"/>
          <w:i/>
          <w:iCs/>
          <w:color w:val="000000"/>
          <w:sz w:val="24"/>
          <w:szCs w:val="24"/>
        </w:rPr>
        <w:t>e kësaj rregulloreje, në rastet e mëposhtme:</w:t>
      </w:r>
    </w:p>
    <w:p w14:paraId="58D27989" w14:textId="62151EDA" w:rsidR="00DE43A0" w:rsidRPr="00F37230" w:rsidRDefault="00DE43A0" w:rsidP="00DE43A0">
      <w:pPr>
        <w:tabs>
          <w:tab w:val="left" w:pos="420"/>
        </w:tabs>
        <w:autoSpaceDE w:val="0"/>
        <w:autoSpaceDN w:val="0"/>
        <w:adjustRightInd w:val="0"/>
        <w:spacing w:after="0" w:line="240" w:lineRule="auto"/>
        <w:ind w:firstLine="284"/>
        <w:jc w:val="both"/>
        <w:rPr>
          <w:rFonts w:ascii="Garamond" w:eastAsiaTheme="minorHAnsi" w:hAnsi="Garamond" w:cs="Garamond"/>
          <w:b/>
          <w:bCs/>
          <w:i/>
          <w:iCs/>
          <w:color w:val="000000"/>
          <w:sz w:val="24"/>
          <w:szCs w:val="24"/>
        </w:rPr>
      </w:pPr>
      <w:r w:rsidRPr="00F37230">
        <w:rPr>
          <w:rFonts w:ascii="Garamond" w:eastAsiaTheme="minorHAnsi" w:hAnsi="Garamond" w:cs="Garamond"/>
          <w:i/>
          <w:iCs/>
          <w:color w:val="000000"/>
          <w:sz w:val="24"/>
          <w:szCs w:val="24"/>
        </w:rPr>
        <w:t>4.</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b/>
          <w:bCs/>
          <w:i/>
          <w:iCs/>
          <w:color w:val="000000"/>
          <w:sz w:val="24"/>
          <w:szCs w:val="24"/>
        </w:rPr>
        <w:t>vërtetohet se të paktën njëri nga themeluesit:</w:t>
      </w:r>
    </w:p>
    <w:p w14:paraId="1D8D6C91" w14:textId="3AC4CAC6"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F37230">
        <w:rPr>
          <w:rFonts w:ascii="Garamond" w:eastAsiaTheme="minorHAnsi" w:hAnsi="Garamond" w:cs="Garamond"/>
          <w:i/>
          <w:iCs/>
          <w:color w:val="000000"/>
          <w:sz w:val="24"/>
          <w:szCs w:val="24"/>
        </w:rPr>
        <w:t>i.</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b/>
          <w:bCs/>
          <w:i/>
          <w:iCs/>
          <w:color w:val="000000"/>
          <w:sz w:val="24"/>
          <w:szCs w:val="24"/>
        </w:rPr>
        <w:t>është në ndjekje penale</w:t>
      </w:r>
      <w:r w:rsidRPr="00F37230">
        <w:rPr>
          <w:rFonts w:ascii="Garamond" w:eastAsiaTheme="minorHAnsi" w:hAnsi="Garamond" w:cs="Garamond"/>
          <w:i/>
          <w:iCs/>
          <w:color w:val="000000"/>
          <w:sz w:val="24"/>
          <w:szCs w:val="24"/>
        </w:rPr>
        <w:t xml:space="preserve"> ose është dënuar nga gjykata me vendim gjyqësor të formës së prerë për kryerjen e një vepre penale me rrezikshmëri të lartë shoqërore;</w:t>
      </w:r>
    </w:p>
    <w:p w14:paraId="558AC174" w14:textId="2405A4CA"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F37230">
        <w:rPr>
          <w:rFonts w:ascii="Garamond" w:eastAsiaTheme="minorHAnsi" w:hAnsi="Garamond" w:cs="Garamond"/>
          <w:i/>
          <w:iCs/>
          <w:color w:val="000000"/>
          <w:sz w:val="24"/>
          <w:szCs w:val="24"/>
        </w:rPr>
        <w:t>ii.</w:t>
      </w:r>
      <w:r w:rsidR="00E175AF">
        <w:rPr>
          <w:rFonts w:ascii="Garamond" w:eastAsiaTheme="minorHAnsi" w:hAnsi="Garamond" w:cs="Garamond"/>
          <w:i/>
          <w:iCs/>
          <w:color w:val="000000"/>
          <w:sz w:val="24"/>
          <w:szCs w:val="24"/>
        </w:rPr>
        <w:t xml:space="preserve"> </w:t>
      </w:r>
      <w:r w:rsidRPr="00F37230">
        <w:rPr>
          <w:rFonts w:ascii="Garamond" w:eastAsiaTheme="minorHAnsi" w:hAnsi="Garamond" w:cs="Garamond"/>
          <w:b/>
          <w:bCs/>
          <w:i/>
          <w:iCs/>
          <w:color w:val="000000"/>
          <w:sz w:val="24"/>
          <w:szCs w:val="24"/>
        </w:rPr>
        <w:t>është në ndjekje penale</w:t>
      </w:r>
      <w:r w:rsidRPr="00F37230">
        <w:rPr>
          <w:rFonts w:ascii="Garamond" w:eastAsiaTheme="minorHAnsi" w:hAnsi="Garamond" w:cs="Garamond"/>
          <w:i/>
          <w:iCs/>
          <w:color w:val="000000"/>
          <w:sz w:val="24"/>
          <w:szCs w:val="24"/>
        </w:rPr>
        <w:t xml:space="preserve"> ose është dënuar nga gjykata </w:t>
      </w:r>
      <w:r w:rsidRPr="00C93F57">
        <w:rPr>
          <w:rFonts w:ascii="Garamond" w:eastAsiaTheme="minorHAnsi" w:hAnsi="Garamond" w:cs="Garamond"/>
          <w:i/>
          <w:iCs/>
          <w:color w:val="000000"/>
          <w:sz w:val="24"/>
          <w:szCs w:val="24"/>
        </w:rPr>
        <w:t>me vendim gjyqësor të formës së prerë për kryerjen e një vepre penale që lidhet me pastrimin e</w:t>
      </w:r>
      <w:r w:rsidR="00E175AF" w:rsidRPr="00C93F57">
        <w:rPr>
          <w:rFonts w:ascii="Garamond" w:eastAsiaTheme="minorHAnsi" w:hAnsi="Garamond" w:cs="Garamond"/>
          <w:i/>
          <w:iCs/>
          <w:color w:val="000000"/>
          <w:sz w:val="24"/>
          <w:szCs w:val="24"/>
        </w:rPr>
        <w:t xml:space="preserve"> </w:t>
      </w:r>
      <w:r w:rsidRPr="00C93F57">
        <w:rPr>
          <w:rFonts w:ascii="Garamond" w:eastAsiaTheme="minorHAnsi" w:hAnsi="Garamond" w:cs="Garamond"/>
          <w:i/>
          <w:iCs/>
          <w:color w:val="000000"/>
          <w:sz w:val="24"/>
          <w:szCs w:val="24"/>
        </w:rPr>
        <w:t>parave ose me financimin e terrorizimit</w:t>
      </w:r>
      <w:r w:rsidR="00BE5CFC" w:rsidRPr="00C93F57">
        <w:rPr>
          <w:rFonts w:ascii="Garamond" w:eastAsiaTheme="minorHAnsi" w:hAnsi="Garamond" w:cs="Garamond"/>
          <w:i/>
          <w:iCs/>
          <w:color w:val="000000"/>
          <w:sz w:val="24"/>
          <w:szCs w:val="24"/>
        </w:rPr>
        <w:t>;</w:t>
      </w:r>
      <w:r w:rsidRPr="00C93F57">
        <w:rPr>
          <w:rFonts w:ascii="Garamond" w:eastAsiaTheme="minorHAnsi" w:hAnsi="Garamond" w:cs="Garamond"/>
          <w:i/>
          <w:iCs/>
          <w:color w:val="000000"/>
          <w:sz w:val="24"/>
          <w:szCs w:val="24"/>
        </w:rPr>
        <w:t xml:space="preserve"> dhe</w:t>
      </w:r>
      <w:r w:rsidR="00BE5CFC" w:rsidRPr="00C93F57">
        <w:rPr>
          <w:rFonts w:ascii="Garamond" w:eastAsiaTheme="minorHAnsi" w:hAnsi="Garamond" w:cs="Garamond"/>
          <w:i/>
          <w:iCs/>
          <w:color w:val="000000"/>
          <w:sz w:val="24"/>
          <w:szCs w:val="24"/>
        </w:rPr>
        <w:t>”.</w:t>
      </w:r>
    </w:p>
    <w:p w14:paraId="0CF6947F" w14:textId="60A278D4"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b/>
          <w:bCs/>
          <w:sz w:val="24"/>
          <w:szCs w:val="24"/>
        </w:rPr>
      </w:pPr>
      <w:r w:rsidRPr="00F37230">
        <w:rPr>
          <w:rFonts w:ascii="Garamond" w:eastAsiaTheme="minorHAnsi" w:hAnsi="Garamond" w:cs="Garamond"/>
          <w:sz w:val="24"/>
          <w:szCs w:val="24"/>
        </w:rPr>
        <w:t xml:space="preserve">Pra, reputacioni i </w:t>
      </w:r>
      <w:r w:rsidR="00F37230" w:rsidRPr="00F37230">
        <w:rPr>
          <w:rFonts w:ascii="Garamond" w:eastAsiaTheme="minorHAnsi" w:hAnsi="Garamond" w:cs="Garamond"/>
          <w:sz w:val="24"/>
          <w:szCs w:val="24"/>
        </w:rPr>
        <w:t>themeluesve</w:t>
      </w:r>
      <w:r w:rsidRPr="00F37230">
        <w:rPr>
          <w:rFonts w:ascii="Garamond" w:eastAsiaTheme="minorHAnsi" w:hAnsi="Garamond" w:cs="Garamond"/>
          <w:sz w:val="24"/>
          <w:szCs w:val="24"/>
        </w:rPr>
        <w:t xml:space="preserve"> në vijim edhe i të gjithë anëtarëve të organeve drejtuese të shoqërisë, është një ndër kriteret kryesore që duhet të përmbushi një subjekt financiar jobankë, për këtë arsye, pjesë e dokumentacionit të licencimit në nenin 8, pika 2, shkronja “f”, e rregullores së licencimit, parashikohet </w:t>
      </w:r>
      <w:r w:rsidRPr="00F37230">
        <w:rPr>
          <w:rFonts w:ascii="Garamond" w:eastAsiaTheme="minorHAnsi" w:hAnsi="Garamond" w:cs="Garamond"/>
          <w:b/>
          <w:bCs/>
          <w:sz w:val="24"/>
          <w:szCs w:val="24"/>
        </w:rPr>
        <w:t>paraqitja e vërtetimit për themeluesit se personi nuk është në ndjekje penale.</w:t>
      </w:r>
    </w:p>
    <w:p w14:paraId="4EC48D4B" w14:textId="3C1F6BA5"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sz w:val="24"/>
          <w:szCs w:val="24"/>
        </w:rPr>
      </w:pPr>
      <w:r w:rsidRPr="00F37230">
        <w:rPr>
          <w:rFonts w:ascii="Garamond" w:eastAsiaTheme="minorHAnsi" w:hAnsi="Garamond" w:cs="Garamond"/>
          <w:sz w:val="24"/>
          <w:szCs w:val="24"/>
        </w:rPr>
        <w:t xml:space="preserve">Ky kriter është i rëndësishëm të përmbushet jo vetën në periudhën e licencimit, por edhe gjatë </w:t>
      </w:r>
      <w:r w:rsidR="00BE5CFC" w:rsidRPr="00F37230">
        <w:rPr>
          <w:rFonts w:ascii="Garamond" w:eastAsiaTheme="minorHAnsi" w:hAnsi="Garamond" w:cs="Garamond"/>
          <w:color w:val="000000"/>
          <w:sz w:val="24"/>
          <w:szCs w:val="24"/>
        </w:rPr>
        <w:t>të</w:t>
      </w:r>
      <w:r w:rsidR="00BE5CFC" w:rsidRPr="00F37230">
        <w:rPr>
          <w:rFonts w:ascii="Garamond" w:eastAsiaTheme="minorHAnsi" w:hAnsi="Garamond" w:cs="Garamond"/>
          <w:sz w:val="24"/>
          <w:szCs w:val="24"/>
        </w:rPr>
        <w:t xml:space="preserve"> </w:t>
      </w:r>
      <w:r w:rsidRPr="00F37230">
        <w:rPr>
          <w:rFonts w:ascii="Garamond" w:eastAsiaTheme="minorHAnsi" w:hAnsi="Garamond" w:cs="Garamond"/>
          <w:sz w:val="24"/>
          <w:szCs w:val="24"/>
        </w:rPr>
        <w:t>gjithë veprimtarisë së subjektit, pasi vetë rregullorja</w:t>
      </w:r>
      <w:r w:rsidR="00E175AF">
        <w:rPr>
          <w:rFonts w:ascii="Garamond" w:eastAsiaTheme="minorHAnsi" w:hAnsi="Garamond" w:cs="Garamond"/>
          <w:sz w:val="24"/>
          <w:szCs w:val="24"/>
        </w:rPr>
        <w:t>,</w:t>
      </w:r>
      <w:r w:rsidRPr="00F37230">
        <w:rPr>
          <w:rFonts w:ascii="Garamond" w:eastAsiaTheme="minorHAnsi" w:hAnsi="Garamond" w:cs="Garamond"/>
          <w:sz w:val="24"/>
          <w:szCs w:val="24"/>
        </w:rPr>
        <w:t xml:space="preserve"> në nenin 14 të saj parashikon se subjektit financiar i pezullohet apo i revokohet licenca, nëse nuk përmbush kushtet bazë për të cilat është licencuar dhe</w:t>
      </w:r>
      <w:r w:rsidR="00E175AF">
        <w:rPr>
          <w:rFonts w:ascii="Garamond" w:eastAsiaTheme="minorHAnsi" w:hAnsi="Garamond" w:cs="Garamond"/>
          <w:sz w:val="24"/>
          <w:szCs w:val="24"/>
        </w:rPr>
        <w:t>,</w:t>
      </w:r>
      <w:r w:rsidRPr="00F37230">
        <w:rPr>
          <w:rFonts w:ascii="Garamond" w:eastAsiaTheme="minorHAnsi" w:hAnsi="Garamond" w:cs="Garamond"/>
          <w:sz w:val="24"/>
          <w:szCs w:val="24"/>
        </w:rPr>
        <w:t xml:space="preserve"> siç e përmendëm edhe më</w:t>
      </w:r>
      <w:r w:rsidR="00F37230">
        <w:rPr>
          <w:rFonts w:ascii="Garamond" w:eastAsiaTheme="minorHAnsi" w:hAnsi="Garamond" w:cs="Garamond"/>
          <w:sz w:val="24"/>
          <w:szCs w:val="24"/>
        </w:rPr>
        <w:t xml:space="preserve"> </w:t>
      </w:r>
      <w:r w:rsidRPr="00F37230">
        <w:rPr>
          <w:rFonts w:ascii="Garamond" w:eastAsiaTheme="minorHAnsi" w:hAnsi="Garamond" w:cs="Garamond"/>
          <w:sz w:val="24"/>
          <w:szCs w:val="24"/>
        </w:rPr>
        <w:t>sipër</w:t>
      </w:r>
      <w:r w:rsidR="00E175AF">
        <w:rPr>
          <w:rFonts w:ascii="Garamond" w:eastAsiaTheme="minorHAnsi" w:hAnsi="Garamond" w:cs="Garamond"/>
          <w:sz w:val="24"/>
          <w:szCs w:val="24"/>
        </w:rPr>
        <w:t>,</w:t>
      </w:r>
      <w:r w:rsidRPr="00F37230">
        <w:rPr>
          <w:rFonts w:ascii="Garamond" w:eastAsiaTheme="minorHAnsi" w:hAnsi="Garamond" w:cs="Garamond"/>
          <w:sz w:val="24"/>
          <w:szCs w:val="24"/>
        </w:rPr>
        <w:t xml:space="preserve"> një ndër kushtet kryesore është reputacioni i themeluesit (ortakut) të shoqërisë. Nëse ky reputacion cenohet, atëherë subjekti nuk mund të ushtrojë veprimtarinë financiare për të cilën është licencuar pasi bie një nga kriteret kryesore të licencimit, që ka të bëjë me reputacionin e tij për të ushtruar veprimtarinë për të cilat është licencuar.</w:t>
      </w:r>
    </w:p>
    <w:p w14:paraId="3115C617" w14:textId="2AA4394A"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sz w:val="24"/>
          <w:szCs w:val="24"/>
        </w:rPr>
      </w:pPr>
      <w:r w:rsidRPr="00F37230">
        <w:rPr>
          <w:rFonts w:ascii="Garamond" w:eastAsiaTheme="minorHAnsi" w:hAnsi="Garamond" w:cs="Garamond"/>
          <w:sz w:val="24"/>
          <w:szCs w:val="24"/>
        </w:rPr>
        <w:t xml:space="preserve">Vendimmarrja e Bankës së Shqipërisë për revokimin e licencës të subjektit </w:t>
      </w:r>
      <w:r w:rsidR="00E175AF">
        <w:rPr>
          <w:rFonts w:ascii="Garamond" w:eastAsiaTheme="minorHAnsi" w:hAnsi="Garamond" w:cs="Garamond"/>
          <w:sz w:val="24"/>
          <w:szCs w:val="24"/>
        </w:rPr>
        <w:t>“</w:t>
      </w:r>
      <w:r w:rsidR="000148D4" w:rsidRPr="00F37230">
        <w:rPr>
          <w:rFonts w:ascii="Garamond" w:eastAsiaTheme="minorHAnsi" w:hAnsi="Garamond" w:cs="Garamond"/>
          <w:sz w:val="24"/>
          <w:szCs w:val="24"/>
        </w:rPr>
        <w:t>Final</w:t>
      </w:r>
      <w:r w:rsidR="00E175AF">
        <w:rPr>
          <w:rFonts w:ascii="Garamond" w:eastAsiaTheme="minorHAnsi" w:hAnsi="Garamond" w:cs="Garamond"/>
          <w:sz w:val="24"/>
          <w:szCs w:val="24"/>
        </w:rPr>
        <w:t>”</w:t>
      </w:r>
      <w:r w:rsidRPr="00F37230">
        <w:rPr>
          <w:rFonts w:ascii="Garamond" w:eastAsiaTheme="minorHAnsi" w:hAnsi="Garamond" w:cs="Garamond"/>
          <w:sz w:val="24"/>
          <w:szCs w:val="24"/>
        </w:rPr>
        <w:t xml:space="preserve"> sh.p.k</w:t>
      </w:r>
      <w:r w:rsidR="00F37230">
        <w:rPr>
          <w:rFonts w:ascii="Garamond" w:eastAsiaTheme="minorHAnsi" w:hAnsi="Garamond" w:cs="Garamond"/>
          <w:sz w:val="24"/>
          <w:szCs w:val="24"/>
        </w:rPr>
        <w:t>.</w:t>
      </w:r>
      <w:r w:rsidRPr="00F37230">
        <w:rPr>
          <w:rFonts w:ascii="Garamond" w:eastAsiaTheme="minorHAnsi" w:hAnsi="Garamond" w:cs="Garamond"/>
          <w:sz w:val="24"/>
          <w:szCs w:val="24"/>
        </w:rPr>
        <w:t xml:space="preserve"> dhe fakti që hetimi ndaj ortakut të vetëm të shoqërisë lidhet me veprimtarinë e këtij subjekti, gjen mbështetje edhe nga ecuria e veprimeve procedurale të ndërmarra nga organi i akuzës. Me shkresën nr.</w:t>
      </w:r>
      <w:r w:rsidR="00F37230">
        <w:rPr>
          <w:rFonts w:ascii="Garamond" w:eastAsiaTheme="minorHAnsi" w:hAnsi="Garamond" w:cs="Garamond"/>
          <w:sz w:val="24"/>
          <w:szCs w:val="24"/>
        </w:rPr>
        <w:t xml:space="preserve"> </w:t>
      </w:r>
      <w:r w:rsidRPr="00F37230">
        <w:rPr>
          <w:rFonts w:ascii="Garamond" w:eastAsiaTheme="minorHAnsi" w:hAnsi="Garamond" w:cs="Garamond"/>
          <w:sz w:val="24"/>
          <w:szCs w:val="24"/>
        </w:rPr>
        <w:t>12828 prot</w:t>
      </w:r>
      <w:r w:rsidR="00F37230">
        <w:rPr>
          <w:rFonts w:ascii="Garamond" w:eastAsiaTheme="minorHAnsi" w:hAnsi="Garamond" w:cs="Garamond"/>
          <w:sz w:val="24"/>
          <w:szCs w:val="24"/>
        </w:rPr>
        <w:t>.</w:t>
      </w:r>
      <w:r w:rsidRPr="00F37230">
        <w:rPr>
          <w:rFonts w:ascii="Garamond" w:eastAsiaTheme="minorHAnsi" w:hAnsi="Garamond" w:cs="Garamond"/>
          <w:sz w:val="24"/>
          <w:szCs w:val="24"/>
        </w:rPr>
        <w:t xml:space="preserve">, datë 29.5.2024, jemi informuar nga </w:t>
      </w:r>
      <w:r w:rsidRPr="00F37230">
        <w:rPr>
          <w:rFonts w:ascii="Garamond" w:eastAsiaTheme="minorHAnsi" w:hAnsi="Garamond" w:cs="Garamond"/>
          <w:color w:val="000000"/>
          <w:sz w:val="24"/>
          <w:szCs w:val="24"/>
        </w:rPr>
        <w:t>Prokuroria e Juridiksionit të Përgjithshëm të Rrethit Gjyqësor Tiranë për regjistrimin e procedimit penal pë</w:t>
      </w:r>
      <w:r w:rsidRPr="00F37230">
        <w:rPr>
          <w:rFonts w:ascii="Garamond" w:eastAsiaTheme="minorHAnsi" w:hAnsi="Garamond" w:cs="Garamond"/>
          <w:sz w:val="24"/>
          <w:szCs w:val="24"/>
        </w:rPr>
        <w:t xml:space="preserve">r veprën penale </w:t>
      </w:r>
      <w:r w:rsidRPr="00F37230">
        <w:rPr>
          <w:rFonts w:ascii="Garamond" w:eastAsiaTheme="minorHAnsi" w:hAnsi="Garamond" w:cs="Garamond"/>
          <w:i/>
          <w:iCs/>
          <w:sz w:val="24"/>
          <w:szCs w:val="24"/>
        </w:rPr>
        <w:t xml:space="preserve">“Pastrimin e produkteve të veprës penale apo veprimtarisë kriminale” për vepra penale të dyshuara gjatë ushtrimit të aktivitetit financiar edhe të shoqërisë </w:t>
      </w:r>
      <w:r w:rsidRPr="00F37230">
        <w:rPr>
          <w:rFonts w:ascii="Garamond" w:eastAsiaTheme="minorHAnsi" w:hAnsi="Garamond" w:cs="Garamond"/>
          <w:i/>
          <w:iCs/>
          <w:color w:val="000000"/>
          <w:sz w:val="24"/>
          <w:szCs w:val="24"/>
        </w:rPr>
        <w:t>“</w:t>
      </w:r>
      <w:r w:rsidR="000148D4" w:rsidRPr="00F37230">
        <w:rPr>
          <w:rFonts w:ascii="Garamond" w:eastAsiaTheme="minorHAnsi" w:hAnsi="Garamond" w:cs="Garamond"/>
          <w:i/>
          <w:iCs/>
          <w:color w:val="000000"/>
          <w:sz w:val="24"/>
          <w:szCs w:val="24"/>
        </w:rPr>
        <w:t>Final</w:t>
      </w:r>
      <w:r w:rsidRPr="00F37230">
        <w:rPr>
          <w:rFonts w:ascii="Garamond" w:eastAsiaTheme="minorHAnsi" w:hAnsi="Garamond" w:cs="Garamond"/>
          <w:i/>
          <w:iCs/>
          <w:color w:val="000000"/>
          <w:sz w:val="24"/>
          <w:szCs w:val="24"/>
        </w:rPr>
        <w:t>” sh</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p</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k</w:t>
      </w:r>
      <w:r w:rsidR="00F37230">
        <w:rPr>
          <w:rFonts w:ascii="Garamond" w:eastAsiaTheme="minorHAnsi" w:hAnsi="Garamond" w:cs="Garamond"/>
          <w:i/>
          <w:iCs/>
          <w:color w:val="000000"/>
          <w:sz w:val="24"/>
          <w:szCs w:val="24"/>
        </w:rPr>
        <w:t>.,</w:t>
      </w:r>
      <w:r w:rsidRPr="00F37230">
        <w:rPr>
          <w:rFonts w:ascii="Garamond" w:eastAsiaTheme="minorHAnsi" w:hAnsi="Garamond" w:cs="Garamond"/>
          <w:i/>
          <w:iCs/>
          <w:color w:val="000000"/>
          <w:sz w:val="24"/>
          <w:szCs w:val="24"/>
        </w:rPr>
        <w:t xml:space="preserve"> </w:t>
      </w:r>
      <w:r w:rsidRPr="00F37230">
        <w:rPr>
          <w:rFonts w:ascii="Garamond" w:eastAsiaTheme="minorHAnsi" w:hAnsi="Garamond" w:cs="Garamond"/>
          <w:sz w:val="24"/>
          <w:szCs w:val="24"/>
        </w:rPr>
        <w:t>si dhe ka urdhëruar bllokimin e llogarive bankare ndër të tjera edhe të kësaj shoqërie, ortakut të vetëm të saj Arben Meskuti dhe personat e lidhur me t</w:t>
      </w:r>
      <w:r w:rsidR="00E175AF">
        <w:rPr>
          <w:rFonts w:ascii="Garamond" w:eastAsiaTheme="minorHAnsi" w:hAnsi="Garamond" w:cs="Garamond"/>
          <w:sz w:val="24"/>
          <w:szCs w:val="24"/>
        </w:rPr>
        <w:t>ë</w:t>
      </w:r>
      <w:r w:rsidRPr="00F37230">
        <w:rPr>
          <w:rFonts w:ascii="Garamond" w:eastAsiaTheme="minorHAnsi" w:hAnsi="Garamond" w:cs="Garamond"/>
          <w:sz w:val="24"/>
          <w:szCs w:val="24"/>
        </w:rPr>
        <w:t>.</w:t>
      </w:r>
    </w:p>
    <w:p w14:paraId="333ADA14" w14:textId="569B9F2F"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sz w:val="24"/>
          <w:szCs w:val="24"/>
        </w:rPr>
      </w:pPr>
      <w:r w:rsidRPr="00F37230">
        <w:rPr>
          <w:rFonts w:ascii="Garamond" w:eastAsiaTheme="minorHAnsi" w:hAnsi="Garamond" w:cs="Garamond"/>
          <w:sz w:val="24"/>
          <w:szCs w:val="24"/>
        </w:rPr>
        <w:t xml:space="preserve">Në analizë të arsyetimit të mësipërm, konstatoj se vendimmarrja e Bankës së Shqipërisë për revokimin e licencës së këtij subjekti është e </w:t>
      </w:r>
      <w:r w:rsidR="00F37230" w:rsidRPr="00F37230">
        <w:rPr>
          <w:rFonts w:ascii="Garamond" w:eastAsiaTheme="minorHAnsi" w:hAnsi="Garamond" w:cs="Garamond"/>
          <w:sz w:val="24"/>
          <w:szCs w:val="24"/>
        </w:rPr>
        <w:t>përshtatshme</w:t>
      </w:r>
      <w:r w:rsidRPr="00F37230">
        <w:rPr>
          <w:rFonts w:ascii="Garamond" w:eastAsiaTheme="minorHAnsi" w:hAnsi="Garamond" w:cs="Garamond"/>
          <w:sz w:val="24"/>
          <w:szCs w:val="24"/>
        </w:rPr>
        <w:t xml:space="preserve"> dhe gjendet plotësisht e mbështetur në aktet rregullative të cituara në këtë vendim.</w:t>
      </w:r>
    </w:p>
    <w:p w14:paraId="26CD69A9" w14:textId="39DB9A38"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lastRenderedPageBreak/>
        <w:t>Bazuar në sa më sipër, vlerësoj se pretendimet e paraqitura në ankimin administrativ nga “</w:t>
      </w:r>
      <w:r w:rsidR="000148D4" w:rsidRPr="00F37230">
        <w:rPr>
          <w:rFonts w:ascii="Garamond" w:eastAsiaTheme="minorHAnsi" w:hAnsi="Garamond" w:cs="Garamond"/>
          <w:color w:val="000000"/>
          <w:sz w:val="24"/>
          <w:szCs w:val="24"/>
        </w:rPr>
        <w:t>Final</w:t>
      </w:r>
      <w:r w:rsidRPr="00F37230">
        <w:rPr>
          <w:rFonts w:ascii="Garamond" w:eastAsiaTheme="minorHAnsi" w:hAnsi="Garamond" w:cs="Garamond"/>
          <w:color w:val="000000"/>
          <w:sz w:val="24"/>
          <w:szCs w:val="24"/>
        </w:rPr>
        <w:t>” sh</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nuk janë të bazuara dhe nuk përbëjnë shkak për të marrë një vendim të ndryshëm nga ai me nr.</w:t>
      </w:r>
      <w:r w:rsid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2303, datë 23.5.2024</w:t>
      </w:r>
      <w:r w:rsidR="001123F2">
        <w:rPr>
          <w:rFonts w:ascii="Garamond" w:eastAsiaTheme="minorHAnsi" w:hAnsi="Garamond" w:cs="Garamond"/>
          <w:sz w:val="24"/>
          <w:szCs w:val="24"/>
        </w:rPr>
        <w:t>.</w:t>
      </w:r>
    </w:p>
    <w:p w14:paraId="315B3BAE" w14:textId="7777777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140D6066" w14:textId="2E93869D" w:rsidR="00DE43A0" w:rsidRPr="00F37230" w:rsidRDefault="00DE43A0" w:rsidP="00DE43A0">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F37230">
        <w:rPr>
          <w:rFonts w:ascii="Garamond" w:eastAsiaTheme="minorHAnsi" w:hAnsi="Garamond" w:cs="Garamond"/>
          <w:bCs/>
          <w:color w:val="000000"/>
          <w:sz w:val="24"/>
          <w:szCs w:val="24"/>
        </w:rPr>
        <w:t>PËR KËTO ARSYE:</w:t>
      </w:r>
      <w:r w:rsidR="00E175AF">
        <w:rPr>
          <w:rFonts w:ascii="Garamond" w:eastAsiaTheme="minorHAnsi" w:hAnsi="Garamond" w:cs="Garamond"/>
          <w:bCs/>
          <w:color w:val="000000"/>
          <w:sz w:val="24"/>
          <w:szCs w:val="24"/>
        </w:rPr>
        <w:t xml:space="preserve"> </w:t>
      </w:r>
    </w:p>
    <w:p w14:paraId="6037E8E4" w14:textId="7777777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5BEE69BD" w14:textId="795B7D8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 xml:space="preserve">Në mbështetje të </w:t>
      </w:r>
      <w:r w:rsidR="00F37230">
        <w:rPr>
          <w:rFonts w:ascii="Garamond" w:eastAsiaTheme="minorHAnsi" w:hAnsi="Garamond" w:cs="Garamond"/>
          <w:color w:val="000000"/>
          <w:sz w:val="24"/>
          <w:szCs w:val="24"/>
        </w:rPr>
        <w:t>n</w:t>
      </w:r>
      <w:r w:rsidRPr="00F37230">
        <w:rPr>
          <w:rFonts w:ascii="Garamond" w:eastAsiaTheme="minorHAnsi" w:hAnsi="Garamond" w:cs="Garamond"/>
          <w:color w:val="000000"/>
          <w:sz w:val="24"/>
          <w:szCs w:val="24"/>
        </w:rPr>
        <w:t>eni</w:t>
      </w:r>
      <w:r w:rsidR="00F37230">
        <w:rPr>
          <w:rFonts w:ascii="Garamond" w:eastAsiaTheme="minorHAnsi" w:hAnsi="Garamond" w:cs="Garamond"/>
          <w:color w:val="000000"/>
          <w:sz w:val="24"/>
          <w:szCs w:val="24"/>
        </w:rPr>
        <w:t>t</w:t>
      </w:r>
      <w:r w:rsidRPr="00F37230">
        <w:rPr>
          <w:rFonts w:ascii="Garamond" w:eastAsiaTheme="minorHAnsi" w:hAnsi="Garamond" w:cs="Garamond"/>
          <w:color w:val="000000"/>
          <w:sz w:val="24"/>
          <w:szCs w:val="24"/>
        </w:rPr>
        <w:t xml:space="preserve"> 93, të </w:t>
      </w:r>
      <w:r w:rsidR="00F37230">
        <w:rPr>
          <w:rFonts w:ascii="Garamond" w:eastAsiaTheme="minorHAnsi" w:hAnsi="Garamond" w:cs="Garamond"/>
          <w:color w:val="000000"/>
          <w:sz w:val="24"/>
          <w:szCs w:val="24"/>
        </w:rPr>
        <w:t>l</w:t>
      </w:r>
      <w:r w:rsidRPr="00F37230">
        <w:rPr>
          <w:rFonts w:ascii="Garamond" w:eastAsiaTheme="minorHAnsi" w:hAnsi="Garamond" w:cs="Garamond"/>
          <w:color w:val="000000"/>
          <w:sz w:val="24"/>
          <w:szCs w:val="24"/>
        </w:rPr>
        <w:t>igjit nr.</w:t>
      </w:r>
      <w:r w:rsid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9662</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datë 18.12.2006</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“Për Bankat në Republikën e Shqipërisë”, </w:t>
      </w:r>
      <w:r w:rsidR="00F37230" w:rsidRPr="00F37230">
        <w:rPr>
          <w:rFonts w:ascii="Garamond" w:eastAsiaTheme="minorHAnsi" w:hAnsi="Garamond" w:cs="Garamond"/>
          <w:color w:val="000000"/>
          <w:sz w:val="24"/>
          <w:szCs w:val="24"/>
        </w:rPr>
        <w:t>të</w:t>
      </w:r>
      <w:r w:rsidRPr="00F37230">
        <w:rPr>
          <w:rFonts w:ascii="Garamond" w:eastAsiaTheme="minorHAnsi" w:hAnsi="Garamond" w:cs="Garamond"/>
          <w:color w:val="000000"/>
          <w:sz w:val="24"/>
          <w:szCs w:val="24"/>
        </w:rPr>
        <w:t xml:space="preserve"> ndryshuar</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dhe </w:t>
      </w:r>
      <w:r w:rsidR="00F37230" w:rsidRPr="00F37230">
        <w:rPr>
          <w:rFonts w:ascii="Garamond" w:eastAsiaTheme="minorHAnsi" w:hAnsi="Garamond" w:cs="Garamond"/>
          <w:color w:val="000000"/>
          <w:sz w:val="24"/>
          <w:szCs w:val="24"/>
        </w:rPr>
        <w:t xml:space="preserve">të </w:t>
      </w:r>
      <w:r w:rsidRPr="00F37230">
        <w:rPr>
          <w:rFonts w:ascii="Garamond" w:eastAsiaTheme="minorHAnsi" w:hAnsi="Garamond" w:cs="Garamond"/>
          <w:color w:val="000000"/>
          <w:sz w:val="24"/>
          <w:szCs w:val="24"/>
        </w:rPr>
        <w:t>nen</w:t>
      </w:r>
      <w:r w:rsidR="00F37230">
        <w:rPr>
          <w:rFonts w:ascii="Garamond" w:eastAsiaTheme="minorHAnsi" w:hAnsi="Garamond" w:cs="Garamond"/>
          <w:color w:val="000000"/>
          <w:sz w:val="24"/>
          <w:szCs w:val="24"/>
        </w:rPr>
        <w:t>eve</w:t>
      </w:r>
      <w:r w:rsidRPr="00F37230">
        <w:rPr>
          <w:rFonts w:ascii="Garamond" w:eastAsiaTheme="minorHAnsi" w:hAnsi="Garamond" w:cs="Garamond"/>
          <w:color w:val="000000"/>
          <w:sz w:val="24"/>
          <w:szCs w:val="24"/>
        </w:rPr>
        <w:t xml:space="preserve"> 130</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140 të Kodit të Procedurave Administrative</w:t>
      </w:r>
      <w:r w:rsidR="001123F2">
        <w:rPr>
          <w:rFonts w:ascii="Garamond" w:eastAsiaTheme="minorHAnsi" w:hAnsi="Garamond" w:cs="Garamond"/>
          <w:color w:val="000000"/>
          <w:sz w:val="24"/>
          <w:szCs w:val="24"/>
        </w:rPr>
        <w:t>,</w:t>
      </w:r>
    </w:p>
    <w:p w14:paraId="645B5B9D" w14:textId="77777777" w:rsidR="00DE43A0" w:rsidRPr="00F37230" w:rsidRDefault="00DE43A0" w:rsidP="00DE43A0">
      <w:pPr>
        <w:autoSpaceDE w:val="0"/>
        <w:autoSpaceDN w:val="0"/>
        <w:adjustRightInd w:val="0"/>
        <w:spacing w:after="0" w:line="240" w:lineRule="auto"/>
        <w:ind w:firstLine="284"/>
        <w:jc w:val="center"/>
        <w:rPr>
          <w:rFonts w:ascii="Garamond" w:eastAsiaTheme="minorHAnsi" w:hAnsi="Garamond" w:cs="Garamond"/>
          <w:color w:val="000000"/>
          <w:sz w:val="24"/>
          <w:szCs w:val="24"/>
        </w:rPr>
      </w:pPr>
    </w:p>
    <w:p w14:paraId="1FD67BB7" w14:textId="51876EA5" w:rsidR="00DE43A0" w:rsidRPr="00F37230" w:rsidRDefault="00DE43A0" w:rsidP="00DE43A0">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F37230">
        <w:rPr>
          <w:rFonts w:ascii="Garamond" w:eastAsiaTheme="minorHAnsi" w:hAnsi="Garamond" w:cs="Garamond"/>
          <w:bCs/>
          <w:color w:val="000000"/>
          <w:sz w:val="24"/>
          <w:szCs w:val="24"/>
        </w:rPr>
        <w:t>VENDOSA:</w:t>
      </w:r>
      <w:r w:rsidR="00E175AF">
        <w:rPr>
          <w:rFonts w:ascii="Garamond" w:eastAsiaTheme="minorHAnsi" w:hAnsi="Garamond" w:cs="Garamond"/>
          <w:bCs/>
          <w:color w:val="000000"/>
          <w:sz w:val="24"/>
          <w:szCs w:val="24"/>
        </w:rPr>
        <w:t xml:space="preserve"> </w:t>
      </w:r>
    </w:p>
    <w:p w14:paraId="0254E19E" w14:textId="7777777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0D601E7A" w14:textId="0AEFA5D7"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1.</w:t>
      </w:r>
      <w:r w:rsidR="00F63788" w:rsidRP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 xml:space="preserve">Refuzimin e ankimit si të pabazuar dhe lënien në fuqi të vendimit </w:t>
      </w:r>
      <w:r w:rsidR="00F37230">
        <w:rPr>
          <w:rFonts w:ascii="Garamond" w:eastAsiaTheme="minorHAnsi" w:hAnsi="Garamond" w:cs="Garamond"/>
          <w:color w:val="000000"/>
          <w:sz w:val="24"/>
          <w:szCs w:val="24"/>
        </w:rPr>
        <w:t>n</w:t>
      </w:r>
      <w:r w:rsidRPr="00F37230">
        <w:rPr>
          <w:rFonts w:ascii="Garamond" w:eastAsiaTheme="minorHAnsi" w:hAnsi="Garamond" w:cs="Garamond"/>
          <w:color w:val="000000"/>
          <w:sz w:val="24"/>
          <w:szCs w:val="24"/>
        </w:rPr>
        <w:t>r.</w:t>
      </w:r>
      <w:r w:rsid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2303</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datë 23.5.2024</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të Guvernatorit</w:t>
      </w:r>
      <w:r w:rsidR="00E175AF">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 xml:space="preserve"> për revokimin e licencës së subjektit financiar jobankë</w:t>
      </w:r>
      <w:r w:rsidR="00E175AF">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w:t>
      </w:r>
      <w:r w:rsidR="000148D4" w:rsidRPr="00F37230">
        <w:rPr>
          <w:rFonts w:ascii="Garamond" w:eastAsiaTheme="minorHAnsi" w:hAnsi="Garamond" w:cs="Garamond"/>
          <w:color w:val="000000"/>
          <w:sz w:val="24"/>
          <w:szCs w:val="24"/>
        </w:rPr>
        <w:t>Final</w:t>
      </w:r>
      <w:r w:rsidRPr="00F37230">
        <w:rPr>
          <w:rFonts w:ascii="Garamond" w:eastAsiaTheme="minorHAnsi" w:hAnsi="Garamond" w:cs="Garamond"/>
          <w:color w:val="000000"/>
          <w:sz w:val="24"/>
          <w:szCs w:val="24"/>
        </w:rPr>
        <w:t>” sh</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p</w:t>
      </w:r>
      <w:r w:rsidR="00F37230">
        <w:rPr>
          <w:rFonts w:ascii="Garamond" w:eastAsiaTheme="minorHAnsi" w:hAnsi="Garamond" w:cs="Garamond"/>
          <w:color w:val="000000"/>
          <w:sz w:val="24"/>
          <w:szCs w:val="24"/>
        </w:rPr>
        <w:t>.</w:t>
      </w:r>
      <w:r w:rsidRPr="00F37230">
        <w:rPr>
          <w:rFonts w:ascii="Garamond" w:eastAsiaTheme="minorHAnsi" w:hAnsi="Garamond" w:cs="Garamond"/>
          <w:color w:val="000000"/>
          <w:sz w:val="24"/>
          <w:szCs w:val="24"/>
        </w:rPr>
        <w:t>k.</w:t>
      </w:r>
    </w:p>
    <w:p w14:paraId="68ADC7E0" w14:textId="74B660AA"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2.</w:t>
      </w:r>
      <w:r w:rsidR="00F63788" w:rsidRP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Vendimi t’i njoftohet subjektit ankimues “</w:t>
      </w:r>
      <w:r w:rsidR="000148D4" w:rsidRPr="00F37230">
        <w:rPr>
          <w:rFonts w:ascii="Garamond" w:eastAsiaTheme="minorHAnsi" w:hAnsi="Garamond" w:cs="Garamond"/>
          <w:color w:val="000000"/>
          <w:sz w:val="24"/>
          <w:szCs w:val="24"/>
        </w:rPr>
        <w:t>Final</w:t>
      </w:r>
      <w:r w:rsidRPr="00F37230">
        <w:rPr>
          <w:rFonts w:ascii="Garamond" w:eastAsiaTheme="minorHAnsi" w:hAnsi="Garamond" w:cs="Garamond"/>
          <w:color w:val="000000"/>
          <w:sz w:val="24"/>
          <w:szCs w:val="24"/>
        </w:rPr>
        <w:t xml:space="preserve">” sh.p.k. </w:t>
      </w:r>
    </w:p>
    <w:p w14:paraId="574989F5" w14:textId="1818122F"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3.</w:t>
      </w:r>
      <w:r w:rsidR="00F63788" w:rsidRPr="00F37230">
        <w:rPr>
          <w:rFonts w:ascii="Garamond" w:eastAsiaTheme="minorHAnsi" w:hAnsi="Garamond" w:cs="Garamond"/>
          <w:color w:val="000000"/>
          <w:sz w:val="24"/>
          <w:szCs w:val="24"/>
        </w:rPr>
        <w:t xml:space="preserve"> </w:t>
      </w:r>
      <w:r w:rsidRPr="00F37230">
        <w:rPr>
          <w:rFonts w:ascii="Garamond" w:eastAsiaTheme="minorHAnsi" w:hAnsi="Garamond" w:cs="Garamond"/>
          <w:color w:val="000000"/>
          <w:sz w:val="24"/>
          <w:szCs w:val="24"/>
        </w:rPr>
        <w:t>Kundër këtij vendimi mund të bëhet ankim në Gjykatë sipas ligjit.</w:t>
      </w:r>
    </w:p>
    <w:p w14:paraId="6369FA61" w14:textId="1DEACCA0" w:rsidR="00DE43A0" w:rsidRPr="00F37230" w:rsidRDefault="00DE43A0" w:rsidP="00DE43A0">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F37230">
        <w:rPr>
          <w:rFonts w:ascii="Garamond" w:eastAsiaTheme="minorHAnsi" w:hAnsi="Garamond" w:cs="Garamond"/>
          <w:color w:val="000000"/>
          <w:sz w:val="24"/>
          <w:szCs w:val="24"/>
        </w:rPr>
        <w:t>Ky vendim hyn në fuqi menjëherë dhe publikohet në Buletin</w:t>
      </w:r>
      <w:r w:rsidR="00F07B81">
        <w:rPr>
          <w:rFonts w:ascii="Garamond" w:eastAsiaTheme="minorHAnsi" w:hAnsi="Garamond" w:cs="Garamond"/>
          <w:color w:val="000000"/>
          <w:sz w:val="24"/>
          <w:szCs w:val="24"/>
        </w:rPr>
        <w:t>in</w:t>
      </w:r>
      <w:r w:rsidRPr="00F37230">
        <w:rPr>
          <w:rFonts w:ascii="Garamond" w:eastAsiaTheme="minorHAnsi" w:hAnsi="Garamond" w:cs="Garamond"/>
          <w:color w:val="000000"/>
          <w:sz w:val="24"/>
          <w:szCs w:val="24"/>
        </w:rPr>
        <w:t xml:space="preserve"> Zyrtar të Bankës së Shqipërisë dhe në Fletoren Zyrtare.</w:t>
      </w:r>
      <w:bookmarkStart w:id="0" w:name="_GoBack"/>
      <w:bookmarkEnd w:id="0"/>
    </w:p>
    <w:p w14:paraId="73B73839" w14:textId="77777777" w:rsidR="00DE43A0" w:rsidRPr="00F37230" w:rsidRDefault="00DE43A0" w:rsidP="00DE43A0">
      <w:pPr>
        <w:tabs>
          <w:tab w:val="left" w:pos="386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56F4CC81" w14:textId="4C6A4461" w:rsidR="00DE43A0" w:rsidRPr="00F37230" w:rsidRDefault="00DE43A0" w:rsidP="00F63788">
      <w:pPr>
        <w:tabs>
          <w:tab w:val="left" w:pos="3860"/>
        </w:tabs>
        <w:autoSpaceDE w:val="0"/>
        <w:autoSpaceDN w:val="0"/>
        <w:adjustRightInd w:val="0"/>
        <w:spacing w:after="0" w:line="240" w:lineRule="auto"/>
        <w:ind w:firstLine="284"/>
        <w:jc w:val="right"/>
        <w:rPr>
          <w:rFonts w:ascii="Garamond" w:eastAsiaTheme="minorHAnsi" w:hAnsi="Garamond" w:cs="Garamond"/>
          <w:bCs/>
          <w:color w:val="000000"/>
          <w:sz w:val="24"/>
          <w:szCs w:val="24"/>
        </w:rPr>
      </w:pPr>
      <w:r w:rsidRPr="00F37230">
        <w:rPr>
          <w:rFonts w:ascii="Garamond" w:eastAsiaTheme="minorHAnsi" w:hAnsi="Garamond" w:cs="Garamond"/>
          <w:bCs/>
          <w:color w:val="000000"/>
          <w:sz w:val="24"/>
          <w:szCs w:val="24"/>
        </w:rPr>
        <w:t>GUVERNATOR</w:t>
      </w:r>
    </w:p>
    <w:p w14:paraId="743A0D81" w14:textId="5ACED911" w:rsidR="00DE43A0" w:rsidRPr="00F37230" w:rsidRDefault="00DE43A0" w:rsidP="00F63788">
      <w:pPr>
        <w:tabs>
          <w:tab w:val="left" w:pos="360"/>
          <w:tab w:val="left" w:pos="144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284"/>
        <w:jc w:val="right"/>
        <w:rPr>
          <w:rFonts w:ascii="Garamond" w:eastAsiaTheme="minorHAnsi" w:hAnsi="Garamond" w:cs="Garamond"/>
          <w:color w:val="000000"/>
          <w:sz w:val="24"/>
          <w:szCs w:val="24"/>
        </w:rPr>
      </w:pPr>
      <w:r w:rsidRPr="00F37230">
        <w:rPr>
          <w:rFonts w:ascii="Garamond" w:eastAsiaTheme="minorHAnsi" w:hAnsi="Garamond" w:cs="Garamond"/>
          <w:b/>
          <w:bCs/>
          <w:color w:val="000000"/>
          <w:sz w:val="24"/>
          <w:szCs w:val="24"/>
        </w:rPr>
        <w:t>Gent Sejko</w:t>
      </w:r>
      <w:r w:rsidR="00F63788" w:rsidRPr="00F37230">
        <w:rPr>
          <w:rFonts w:ascii="Garamond" w:eastAsiaTheme="minorHAnsi" w:hAnsi="Garamond" w:cs="Garamond"/>
          <w:color w:val="000000"/>
          <w:sz w:val="24"/>
          <w:szCs w:val="24"/>
        </w:rPr>
        <w:t xml:space="preserve"> </w:t>
      </w:r>
    </w:p>
    <w:sectPr w:rsidR="00DE43A0" w:rsidRPr="00F37230" w:rsidSect="009B6632">
      <w:headerReference w:type="default" r:id="rId12"/>
      <w:footerReference w:type="defaul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7D623" w14:textId="77777777" w:rsidR="00F07B81" w:rsidRDefault="00F07B81" w:rsidP="0078528A">
      <w:pPr>
        <w:spacing w:after="0" w:line="240" w:lineRule="auto"/>
      </w:pPr>
      <w:r>
        <w:separator/>
      </w:r>
    </w:p>
  </w:endnote>
  <w:endnote w:type="continuationSeparator" w:id="0">
    <w:p w14:paraId="08DEE4B6" w14:textId="77777777" w:rsidR="00F07B81" w:rsidRDefault="00F07B81" w:rsidP="0078528A">
      <w:pPr>
        <w:spacing w:after="0" w:line="240" w:lineRule="auto"/>
      </w:pPr>
      <w:r>
        <w:continuationSeparator/>
      </w:r>
    </w:p>
  </w:endnote>
  <w:endnote w:type="continuationNotice" w:id="1">
    <w:p w14:paraId="09DFC74A" w14:textId="77777777" w:rsidR="00F07B81" w:rsidRDefault="00F07B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G Times">
    <w:altName w:val="Times New Roman"/>
    <w:panose1 w:val="00000000000000000000"/>
    <w:charset w:val="EE"/>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2499F" w14:textId="77777777" w:rsidR="00F07B81" w:rsidRDefault="00F07B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200B7" w14:textId="50D96270" w:rsidR="00F07B81" w:rsidRDefault="00F07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58651" w14:textId="77777777" w:rsidR="00F07B81" w:rsidRDefault="00F07B81" w:rsidP="0078528A">
      <w:pPr>
        <w:spacing w:after="0" w:line="240" w:lineRule="auto"/>
      </w:pPr>
      <w:r>
        <w:separator/>
      </w:r>
    </w:p>
  </w:footnote>
  <w:footnote w:type="continuationSeparator" w:id="0">
    <w:p w14:paraId="7849AE6B" w14:textId="77777777" w:rsidR="00F07B81" w:rsidRDefault="00F07B81" w:rsidP="0078528A">
      <w:pPr>
        <w:spacing w:after="0" w:line="240" w:lineRule="auto"/>
      </w:pPr>
      <w:r>
        <w:continuationSeparator/>
      </w:r>
    </w:p>
  </w:footnote>
  <w:footnote w:type="continuationNotice" w:id="1">
    <w:p w14:paraId="6B5323E4" w14:textId="77777777" w:rsidR="00F07B81" w:rsidRDefault="00F07B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74017" w14:textId="77777777" w:rsidR="00F07B81" w:rsidRDefault="00F07B81" w:rsidP="009B6632">
    <w:pPr>
      <w:pStyle w:val="Header"/>
      <w:tabs>
        <w:tab w:val="clear" w:pos="4513"/>
        <w:tab w:val="clear" w:pos="9026"/>
        <w:tab w:val="left" w:pos="382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140AA"/>
    <w:multiLevelType w:val="hybridMultilevel"/>
    <w:tmpl w:val="0B4E1A2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3C760F5"/>
    <w:multiLevelType w:val="hybridMultilevel"/>
    <w:tmpl w:val="47F6FE0A"/>
    <w:lvl w:ilvl="0" w:tplc="8B803DD4">
      <w:start w:val="1"/>
      <w:numFmt w:val="decimal"/>
      <w:lvlText w:val="%1."/>
      <w:lvlJc w:val="left"/>
      <w:pPr>
        <w:ind w:left="786" w:hanging="360"/>
      </w:pPr>
      <w:rPr>
        <w:rFonts w:hint="default"/>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2" w15:restartNumberingAfterBreak="0">
    <w:nsid w:val="24A059C8"/>
    <w:multiLevelType w:val="hybridMultilevel"/>
    <w:tmpl w:val="EB0E321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278A1E1F"/>
    <w:multiLevelType w:val="hybridMultilevel"/>
    <w:tmpl w:val="90DA7B32"/>
    <w:lvl w:ilvl="0" w:tplc="41549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9D2A96"/>
    <w:multiLevelType w:val="hybridMultilevel"/>
    <w:tmpl w:val="9C3ACA74"/>
    <w:lvl w:ilvl="0" w:tplc="6DEC7608">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083ECC"/>
    <w:multiLevelType w:val="hybridMultilevel"/>
    <w:tmpl w:val="F8823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28A"/>
    <w:rsid w:val="000148D4"/>
    <w:rsid w:val="00025EC7"/>
    <w:rsid w:val="00037112"/>
    <w:rsid w:val="00086EA5"/>
    <w:rsid w:val="00094765"/>
    <w:rsid w:val="000B22F7"/>
    <w:rsid w:val="000D3AEA"/>
    <w:rsid w:val="001019FB"/>
    <w:rsid w:val="001041F6"/>
    <w:rsid w:val="001123F2"/>
    <w:rsid w:val="00136640"/>
    <w:rsid w:val="00141714"/>
    <w:rsid w:val="001707F3"/>
    <w:rsid w:val="001A2285"/>
    <w:rsid w:val="001B6112"/>
    <w:rsid w:val="00296D51"/>
    <w:rsid w:val="002A4233"/>
    <w:rsid w:val="002A5417"/>
    <w:rsid w:val="002D4FA5"/>
    <w:rsid w:val="002E2BB0"/>
    <w:rsid w:val="00316557"/>
    <w:rsid w:val="003376AD"/>
    <w:rsid w:val="00355CA4"/>
    <w:rsid w:val="00386F08"/>
    <w:rsid w:val="003A3C86"/>
    <w:rsid w:val="003A6532"/>
    <w:rsid w:val="003D799C"/>
    <w:rsid w:val="004F3E66"/>
    <w:rsid w:val="004F7440"/>
    <w:rsid w:val="00527156"/>
    <w:rsid w:val="005805E7"/>
    <w:rsid w:val="005855B2"/>
    <w:rsid w:val="00593D08"/>
    <w:rsid w:val="005A7CBE"/>
    <w:rsid w:val="00636B57"/>
    <w:rsid w:val="00644F21"/>
    <w:rsid w:val="0066490B"/>
    <w:rsid w:val="00667784"/>
    <w:rsid w:val="00685BD3"/>
    <w:rsid w:val="006A5E24"/>
    <w:rsid w:val="00716988"/>
    <w:rsid w:val="00731A61"/>
    <w:rsid w:val="00734445"/>
    <w:rsid w:val="00767307"/>
    <w:rsid w:val="00770760"/>
    <w:rsid w:val="00773EDE"/>
    <w:rsid w:val="0078528A"/>
    <w:rsid w:val="00793562"/>
    <w:rsid w:val="007B446B"/>
    <w:rsid w:val="007B6241"/>
    <w:rsid w:val="00815426"/>
    <w:rsid w:val="00822FE1"/>
    <w:rsid w:val="00837C29"/>
    <w:rsid w:val="0084421E"/>
    <w:rsid w:val="00871FC9"/>
    <w:rsid w:val="0089408C"/>
    <w:rsid w:val="00897ABB"/>
    <w:rsid w:val="008A2987"/>
    <w:rsid w:val="008C5502"/>
    <w:rsid w:val="0095077B"/>
    <w:rsid w:val="00951EED"/>
    <w:rsid w:val="00962B16"/>
    <w:rsid w:val="00975CCD"/>
    <w:rsid w:val="00984EE4"/>
    <w:rsid w:val="00997BCF"/>
    <w:rsid w:val="009B6632"/>
    <w:rsid w:val="009D6534"/>
    <w:rsid w:val="009E1E18"/>
    <w:rsid w:val="009F51BC"/>
    <w:rsid w:val="00A053C9"/>
    <w:rsid w:val="00A24C7F"/>
    <w:rsid w:val="00A252E5"/>
    <w:rsid w:val="00A5574F"/>
    <w:rsid w:val="00A852D9"/>
    <w:rsid w:val="00AB074D"/>
    <w:rsid w:val="00AE6494"/>
    <w:rsid w:val="00AE7A34"/>
    <w:rsid w:val="00B02F6F"/>
    <w:rsid w:val="00B103F5"/>
    <w:rsid w:val="00B36939"/>
    <w:rsid w:val="00B53C86"/>
    <w:rsid w:val="00B775FA"/>
    <w:rsid w:val="00B96355"/>
    <w:rsid w:val="00BA16AF"/>
    <w:rsid w:val="00BD4DD8"/>
    <w:rsid w:val="00BE5CFC"/>
    <w:rsid w:val="00BF1FB5"/>
    <w:rsid w:val="00C00BA9"/>
    <w:rsid w:val="00C3197F"/>
    <w:rsid w:val="00C37B8D"/>
    <w:rsid w:val="00C93F57"/>
    <w:rsid w:val="00CA64F6"/>
    <w:rsid w:val="00CB048C"/>
    <w:rsid w:val="00CB60F8"/>
    <w:rsid w:val="00CD0496"/>
    <w:rsid w:val="00CE28FC"/>
    <w:rsid w:val="00D00924"/>
    <w:rsid w:val="00D72A10"/>
    <w:rsid w:val="00D7364C"/>
    <w:rsid w:val="00D80D3B"/>
    <w:rsid w:val="00D92870"/>
    <w:rsid w:val="00DB015A"/>
    <w:rsid w:val="00DC4C22"/>
    <w:rsid w:val="00DE43A0"/>
    <w:rsid w:val="00E05B3D"/>
    <w:rsid w:val="00E15C0D"/>
    <w:rsid w:val="00E16C05"/>
    <w:rsid w:val="00E175AF"/>
    <w:rsid w:val="00E27035"/>
    <w:rsid w:val="00E46A47"/>
    <w:rsid w:val="00E54BEC"/>
    <w:rsid w:val="00E637F9"/>
    <w:rsid w:val="00E65CD1"/>
    <w:rsid w:val="00ED0FF7"/>
    <w:rsid w:val="00F06115"/>
    <w:rsid w:val="00F07B81"/>
    <w:rsid w:val="00F116E4"/>
    <w:rsid w:val="00F1798E"/>
    <w:rsid w:val="00F37230"/>
    <w:rsid w:val="00F41274"/>
    <w:rsid w:val="00F63788"/>
    <w:rsid w:val="00FF6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D773FB4"/>
  <w15:chartTrackingRefBased/>
  <w15:docId w15:val="{5D9EFEBB-5BF7-40BE-AF0E-98314699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28A"/>
    <w:pPr>
      <w:spacing w:after="200" w:line="276" w:lineRule="auto"/>
    </w:pPr>
    <w:rPr>
      <w:rFonts w:ascii="Calibri" w:eastAsia="Calibri" w:hAnsi="Calibri" w:cs="Times New Roman"/>
      <w:lang w:val="sq-AL"/>
    </w:rPr>
  </w:style>
  <w:style w:type="paragraph" w:styleId="Heading2">
    <w:name w:val="heading 2"/>
    <w:basedOn w:val="Normal"/>
    <w:next w:val="Normal"/>
    <w:link w:val="Heading2Char"/>
    <w:uiPriority w:val="9"/>
    <w:semiHidden/>
    <w:unhideWhenUsed/>
    <w:qFormat/>
    <w:rsid w:val="009B66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8528A"/>
    <w:pPr>
      <w:ind w:left="720"/>
      <w:contextualSpacing/>
    </w:pPr>
  </w:style>
  <w:style w:type="paragraph" w:styleId="Header">
    <w:name w:val="header"/>
    <w:basedOn w:val="Normal"/>
    <w:link w:val="HeaderChar"/>
    <w:uiPriority w:val="99"/>
    <w:unhideWhenUsed/>
    <w:rsid w:val="007852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28A"/>
    <w:rPr>
      <w:rFonts w:ascii="Calibri" w:eastAsia="Calibri" w:hAnsi="Calibri" w:cs="Times New Roman"/>
      <w:lang w:val="en-US"/>
    </w:rPr>
  </w:style>
  <w:style w:type="paragraph" w:styleId="Footer">
    <w:name w:val="footer"/>
    <w:basedOn w:val="Normal"/>
    <w:link w:val="FooterChar"/>
    <w:uiPriority w:val="99"/>
    <w:unhideWhenUsed/>
    <w:rsid w:val="007852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528A"/>
    <w:rPr>
      <w:rFonts w:ascii="Calibri" w:eastAsia="Calibri" w:hAnsi="Calibri" w:cs="Times New Roman"/>
      <w:lang w:val="en-US"/>
    </w:rPr>
  </w:style>
  <w:style w:type="paragraph" w:customStyle="1" w:styleId="StyleHeading212ptBoldAfter4pt">
    <w:name w:val="Style Heading 2 + 12 pt Bold After:  4 pt"/>
    <w:basedOn w:val="Heading2"/>
    <w:autoRedefine/>
    <w:rsid w:val="009B6632"/>
    <w:pPr>
      <w:keepLines w:val="0"/>
      <w:spacing w:before="0" w:after="80" w:line="240" w:lineRule="auto"/>
      <w:jc w:val="center"/>
    </w:pPr>
    <w:rPr>
      <w:rFonts w:ascii="Times New Roman" w:eastAsia="Times New Roman" w:hAnsi="Times New Roman" w:cs="Times New Roman"/>
      <w:b/>
      <w:bCs/>
      <w:color w:val="auto"/>
      <w:sz w:val="24"/>
      <w:szCs w:val="20"/>
    </w:rPr>
  </w:style>
  <w:style w:type="paragraph" w:customStyle="1" w:styleId="StyleCenteredAfter4pt2">
    <w:name w:val="Style Centered After:  4 pt2"/>
    <w:basedOn w:val="Normal"/>
    <w:link w:val="StyleCenteredAfter4pt2Char"/>
    <w:autoRedefine/>
    <w:uiPriority w:val="99"/>
    <w:rsid w:val="009B6632"/>
    <w:pPr>
      <w:spacing w:after="80" w:line="240" w:lineRule="auto"/>
      <w:jc w:val="center"/>
    </w:pPr>
    <w:rPr>
      <w:rFonts w:ascii="Arial" w:eastAsia="Times New Roman" w:hAnsi="Arial" w:cs="Arial"/>
      <w:b/>
      <w:lang w:val="it-IT"/>
    </w:rPr>
  </w:style>
  <w:style w:type="character" w:customStyle="1" w:styleId="StyleCenteredAfter4pt2Char">
    <w:name w:val="Style Centered After:  4 pt2 Char"/>
    <w:basedOn w:val="DefaultParagraphFont"/>
    <w:link w:val="StyleCenteredAfter4pt2"/>
    <w:rsid w:val="009B6632"/>
    <w:rPr>
      <w:rFonts w:ascii="Arial" w:eastAsia="Times New Roman" w:hAnsi="Arial" w:cs="Arial"/>
      <w:b/>
      <w:lang w:val="it-IT"/>
    </w:rPr>
  </w:style>
  <w:style w:type="paragraph" w:customStyle="1" w:styleId="CarCharCharCharChar">
    <w:name w:val="Car Char Char Char Char"/>
    <w:basedOn w:val="Normal"/>
    <w:rsid w:val="009B6632"/>
    <w:pPr>
      <w:spacing w:after="160" w:line="240" w:lineRule="exact"/>
    </w:pPr>
    <w:rPr>
      <w:rFonts w:ascii="Tahoma" w:eastAsia="MS Mincho" w:hAnsi="Tahoma"/>
      <w:sz w:val="20"/>
      <w:szCs w:val="20"/>
    </w:rPr>
  </w:style>
  <w:style w:type="paragraph" w:customStyle="1" w:styleId="Default">
    <w:name w:val="Default"/>
    <w:rsid w:val="009B6632"/>
    <w:pPr>
      <w:autoSpaceDE w:val="0"/>
      <w:autoSpaceDN w:val="0"/>
      <w:adjustRightInd w:val="0"/>
      <w:spacing w:after="0" w:line="240" w:lineRule="auto"/>
    </w:pPr>
    <w:rPr>
      <w:rFonts w:ascii="Georgia" w:eastAsia="Times New Roman" w:hAnsi="Georgia" w:cs="Georgia"/>
      <w:color w:val="000000"/>
      <w:sz w:val="24"/>
      <w:szCs w:val="24"/>
      <w:lang w:val="en-US"/>
    </w:rPr>
  </w:style>
  <w:style w:type="paragraph" w:customStyle="1" w:styleId="Paragrafi">
    <w:name w:val="Paragrafi"/>
    <w:rsid w:val="009B6632"/>
    <w:pPr>
      <w:widowControl w:val="0"/>
      <w:spacing w:after="0" w:line="240" w:lineRule="auto"/>
      <w:ind w:firstLine="720"/>
      <w:jc w:val="both"/>
    </w:pPr>
    <w:rPr>
      <w:rFonts w:ascii="CG Times" w:eastAsia="Times New Roman" w:hAnsi="CG Times" w:cs="Times New Roman"/>
      <w:szCs w:val="20"/>
      <w:lang w:val="en-US"/>
    </w:rPr>
  </w:style>
  <w:style w:type="paragraph" w:styleId="FootnoteText">
    <w:name w:val="footnote text"/>
    <w:basedOn w:val="Normal"/>
    <w:link w:val="FootnoteTextChar"/>
    <w:semiHidden/>
    <w:rsid w:val="009B6632"/>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9B6632"/>
    <w:rPr>
      <w:rFonts w:ascii="Times New Roman" w:eastAsia="Times New Roman" w:hAnsi="Times New Roman" w:cs="Times New Roman"/>
      <w:sz w:val="20"/>
      <w:szCs w:val="20"/>
      <w:lang w:val="sq-AL"/>
    </w:rPr>
  </w:style>
  <w:style w:type="character" w:styleId="FootnoteReference">
    <w:name w:val="footnote reference"/>
    <w:basedOn w:val="DefaultParagraphFont"/>
    <w:semiHidden/>
    <w:rsid w:val="009B6632"/>
    <w:rPr>
      <w:vertAlign w:val="superscript"/>
    </w:rPr>
  </w:style>
  <w:style w:type="character" w:customStyle="1" w:styleId="Heading2Char">
    <w:name w:val="Heading 2 Char"/>
    <w:basedOn w:val="DefaultParagraphFont"/>
    <w:link w:val="Heading2"/>
    <w:uiPriority w:val="9"/>
    <w:semiHidden/>
    <w:rsid w:val="009B6632"/>
    <w:rPr>
      <w:rFonts w:asciiTheme="majorHAnsi" w:eastAsiaTheme="majorEastAsia" w:hAnsiTheme="majorHAnsi" w:cstheme="majorBidi"/>
      <w:color w:val="2E74B5" w:themeColor="accent1" w:themeShade="BF"/>
      <w:sz w:val="26"/>
      <w:szCs w:val="26"/>
      <w:lang w:val="en-US"/>
    </w:rPr>
  </w:style>
  <w:style w:type="character" w:styleId="CommentReference">
    <w:name w:val="annotation reference"/>
    <w:basedOn w:val="DefaultParagraphFont"/>
    <w:uiPriority w:val="99"/>
    <w:semiHidden/>
    <w:unhideWhenUsed/>
    <w:rsid w:val="00E54BEC"/>
    <w:rPr>
      <w:sz w:val="16"/>
      <w:szCs w:val="16"/>
    </w:rPr>
  </w:style>
  <w:style w:type="paragraph" w:styleId="CommentText">
    <w:name w:val="annotation text"/>
    <w:basedOn w:val="Normal"/>
    <w:link w:val="CommentTextChar"/>
    <w:uiPriority w:val="99"/>
    <w:semiHidden/>
    <w:unhideWhenUsed/>
    <w:rsid w:val="00E54BEC"/>
    <w:pPr>
      <w:spacing w:line="240" w:lineRule="auto"/>
    </w:pPr>
    <w:rPr>
      <w:sz w:val="20"/>
      <w:szCs w:val="20"/>
    </w:rPr>
  </w:style>
  <w:style w:type="character" w:customStyle="1" w:styleId="CommentTextChar">
    <w:name w:val="Comment Text Char"/>
    <w:basedOn w:val="DefaultParagraphFont"/>
    <w:link w:val="CommentText"/>
    <w:uiPriority w:val="99"/>
    <w:semiHidden/>
    <w:rsid w:val="00E54BEC"/>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54BEC"/>
    <w:rPr>
      <w:b/>
      <w:bCs/>
    </w:rPr>
  </w:style>
  <w:style w:type="character" w:customStyle="1" w:styleId="CommentSubjectChar">
    <w:name w:val="Comment Subject Char"/>
    <w:basedOn w:val="CommentTextChar"/>
    <w:link w:val="CommentSubject"/>
    <w:uiPriority w:val="99"/>
    <w:semiHidden/>
    <w:rsid w:val="00E54BEC"/>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E54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BEC"/>
    <w:rPr>
      <w:rFonts w:ascii="Segoe UI" w:eastAsia="Calibri" w:hAnsi="Segoe UI" w:cs="Segoe UI"/>
      <w:sz w:val="18"/>
      <w:szCs w:val="18"/>
      <w:lang w:val="en-US"/>
    </w:rPr>
  </w:style>
  <w:style w:type="paragraph" w:customStyle="1" w:styleId="StyleHeading212ptBoldAf">
    <w:name w:val="Style Heading 2 + 12 pt Bold Af"/>
    <w:uiPriority w:val="99"/>
    <w:rsid w:val="001B6112"/>
    <w:pPr>
      <w:keepNext/>
      <w:keepLines/>
      <w:autoSpaceDE w:val="0"/>
      <w:autoSpaceDN w:val="0"/>
      <w:adjustRightInd w:val="0"/>
      <w:spacing w:before="40" w:after="80" w:line="330" w:lineRule="atLeast"/>
      <w:jc w:val="center"/>
    </w:pPr>
    <w:rPr>
      <w:rFonts w:ascii="Times New Roman" w:hAnsi="Times New Roman" w:cs="Times New Roman"/>
      <w:b/>
      <w:bC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550397">
      <w:bodyDiv w:val="1"/>
      <w:marLeft w:val="0"/>
      <w:marRight w:val="0"/>
      <w:marTop w:val="0"/>
      <w:marBottom w:val="0"/>
      <w:divBdr>
        <w:top w:val="none" w:sz="0" w:space="0" w:color="auto"/>
        <w:left w:val="none" w:sz="0" w:space="0" w:color="auto"/>
        <w:bottom w:val="none" w:sz="0" w:space="0" w:color="auto"/>
        <w:right w:val="none" w:sz="0" w:space="0" w:color="auto"/>
      </w:divBdr>
      <w:divsChild>
        <w:div w:id="376702627">
          <w:marLeft w:val="0"/>
          <w:marRight w:val="0"/>
          <w:marTop w:val="15"/>
          <w:marBottom w:val="0"/>
          <w:divBdr>
            <w:top w:val="single" w:sz="48" w:space="0" w:color="auto"/>
            <w:left w:val="single" w:sz="48" w:space="0" w:color="auto"/>
            <w:bottom w:val="single" w:sz="48" w:space="0" w:color="auto"/>
            <w:right w:val="single" w:sz="48" w:space="0" w:color="auto"/>
          </w:divBdr>
          <w:divsChild>
            <w:div w:id="1274285044">
              <w:marLeft w:val="0"/>
              <w:marRight w:val="0"/>
              <w:marTop w:val="0"/>
              <w:marBottom w:val="0"/>
              <w:divBdr>
                <w:top w:val="none" w:sz="0" w:space="0" w:color="auto"/>
                <w:left w:val="none" w:sz="0" w:space="0" w:color="auto"/>
                <w:bottom w:val="none" w:sz="0" w:space="0" w:color="auto"/>
                <w:right w:val="none" w:sz="0" w:space="0" w:color="auto"/>
              </w:divBdr>
              <w:divsChild>
                <w:div w:id="869490726">
                  <w:marLeft w:val="0"/>
                  <w:marRight w:val="0"/>
                  <w:marTop w:val="0"/>
                  <w:marBottom w:val="0"/>
                  <w:divBdr>
                    <w:top w:val="none" w:sz="0" w:space="0" w:color="auto"/>
                    <w:left w:val="none" w:sz="0" w:space="0" w:color="auto"/>
                    <w:bottom w:val="none" w:sz="0" w:space="0" w:color="auto"/>
                    <w:right w:val="none" w:sz="0" w:space="0" w:color="auto"/>
                  </w:divBdr>
                </w:div>
                <w:div w:id="808279260">
                  <w:marLeft w:val="0"/>
                  <w:marRight w:val="0"/>
                  <w:marTop w:val="0"/>
                  <w:marBottom w:val="0"/>
                  <w:divBdr>
                    <w:top w:val="none" w:sz="0" w:space="0" w:color="auto"/>
                    <w:left w:val="none" w:sz="0" w:space="0" w:color="auto"/>
                    <w:bottom w:val="none" w:sz="0" w:space="0" w:color="auto"/>
                    <w:right w:val="none" w:sz="0" w:space="0" w:color="auto"/>
                  </w:divBdr>
                </w:div>
                <w:div w:id="314994733">
                  <w:marLeft w:val="0"/>
                  <w:marRight w:val="0"/>
                  <w:marTop w:val="0"/>
                  <w:marBottom w:val="0"/>
                  <w:divBdr>
                    <w:top w:val="none" w:sz="0" w:space="0" w:color="auto"/>
                    <w:left w:val="none" w:sz="0" w:space="0" w:color="auto"/>
                    <w:bottom w:val="none" w:sz="0" w:space="0" w:color="auto"/>
                    <w:right w:val="none" w:sz="0" w:space="0" w:color="auto"/>
                  </w:divBdr>
                </w:div>
                <w:div w:id="649335355">
                  <w:marLeft w:val="0"/>
                  <w:marRight w:val="0"/>
                  <w:marTop w:val="0"/>
                  <w:marBottom w:val="0"/>
                  <w:divBdr>
                    <w:top w:val="none" w:sz="0" w:space="0" w:color="auto"/>
                    <w:left w:val="none" w:sz="0" w:space="0" w:color="auto"/>
                    <w:bottom w:val="none" w:sz="0" w:space="0" w:color="auto"/>
                    <w:right w:val="none" w:sz="0" w:space="0" w:color="auto"/>
                  </w:divBdr>
                </w:div>
                <w:div w:id="1715810670">
                  <w:marLeft w:val="0"/>
                  <w:marRight w:val="0"/>
                  <w:marTop w:val="0"/>
                  <w:marBottom w:val="0"/>
                  <w:divBdr>
                    <w:top w:val="none" w:sz="0" w:space="0" w:color="auto"/>
                    <w:left w:val="none" w:sz="0" w:space="0" w:color="auto"/>
                    <w:bottom w:val="none" w:sz="0" w:space="0" w:color="auto"/>
                    <w:right w:val="none" w:sz="0" w:space="0" w:color="auto"/>
                  </w:divBdr>
                </w:div>
                <w:div w:id="1841698800">
                  <w:marLeft w:val="0"/>
                  <w:marRight w:val="0"/>
                  <w:marTop w:val="0"/>
                  <w:marBottom w:val="0"/>
                  <w:divBdr>
                    <w:top w:val="none" w:sz="0" w:space="0" w:color="auto"/>
                    <w:left w:val="none" w:sz="0" w:space="0" w:color="auto"/>
                    <w:bottom w:val="none" w:sz="0" w:space="0" w:color="auto"/>
                    <w:right w:val="none" w:sz="0" w:space="0" w:color="auto"/>
                  </w:divBdr>
                </w:div>
                <w:div w:id="1644772778">
                  <w:marLeft w:val="0"/>
                  <w:marRight w:val="0"/>
                  <w:marTop w:val="0"/>
                  <w:marBottom w:val="0"/>
                  <w:divBdr>
                    <w:top w:val="none" w:sz="0" w:space="0" w:color="auto"/>
                    <w:left w:val="none" w:sz="0" w:space="0" w:color="auto"/>
                    <w:bottom w:val="none" w:sz="0" w:space="0" w:color="auto"/>
                    <w:right w:val="none" w:sz="0" w:space="0" w:color="auto"/>
                  </w:divBdr>
                </w:div>
                <w:div w:id="1125319194">
                  <w:marLeft w:val="0"/>
                  <w:marRight w:val="0"/>
                  <w:marTop w:val="0"/>
                  <w:marBottom w:val="0"/>
                  <w:divBdr>
                    <w:top w:val="none" w:sz="0" w:space="0" w:color="auto"/>
                    <w:left w:val="none" w:sz="0" w:space="0" w:color="auto"/>
                    <w:bottom w:val="none" w:sz="0" w:space="0" w:color="auto"/>
                    <w:right w:val="none" w:sz="0" w:space="0" w:color="auto"/>
                  </w:divBdr>
                </w:div>
                <w:div w:id="814034066">
                  <w:marLeft w:val="0"/>
                  <w:marRight w:val="0"/>
                  <w:marTop w:val="0"/>
                  <w:marBottom w:val="0"/>
                  <w:divBdr>
                    <w:top w:val="none" w:sz="0" w:space="0" w:color="auto"/>
                    <w:left w:val="none" w:sz="0" w:space="0" w:color="auto"/>
                    <w:bottom w:val="none" w:sz="0" w:space="0" w:color="auto"/>
                    <w:right w:val="none" w:sz="0" w:space="0" w:color="auto"/>
                  </w:divBdr>
                </w:div>
                <w:div w:id="1693795929">
                  <w:marLeft w:val="0"/>
                  <w:marRight w:val="0"/>
                  <w:marTop w:val="0"/>
                  <w:marBottom w:val="0"/>
                  <w:divBdr>
                    <w:top w:val="none" w:sz="0" w:space="0" w:color="auto"/>
                    <w:left w:val="none" w:sz="0" w:space="0" w:color="auto"/>
                    <w:bottom w:val="none" w:sz="0" w:space="0" w:color="auto"/>
                    <w:right w:val="none" w:sz="0" w:space="0" w:color="auto"/>
                  </w:divBdr>
                </w:div>
                <w:div w:id="1896237152">
                  <w:marLeft w:val="0"/>
                  <w:marRight w:val="0"/>
                  <w:marTop w:val="0"/>
                  <w:marBottom w:val="0"/>
                  <w:divBdr>
                    <w:top w:val="none" w:sz="0" w:space="0" w:color="auto"/>
                    <w:left w:val="none" w:sz="0" w:space="0" w:color="auto"/>
                    <w:bottom w:val="none" w:sz="0" w:space="0" w:color="auto"/>
                    <w:right w:val="none" w:sz="0" w:space="0" w:color="auto"/>
                  </w:divBdr>
                </w:div>
                <w:div w:id="975447507">
                  <w:marLeft w:val="0"/>
                  <w:marRight w:val="0"/>
                  <w:marTop w:val="0"/>
                  <w:marBottom w:val="0"/>
                  <w:divBdr>
                    <w:top w:val="none" w:sz="0" w:space="0" w:color="auto"/>
                    <w:left w:val="none" w:sz="0" w:space="0" w:color="auto"/>
                    <w:bottom w:val="none" w:sz="0" w:space="0" w:color="auto"/>
                    <w:right w:val="none" w:sz="0" w:space="0" w:color="auto"/>
                  </w:divBdr>
                </w:div>
                <w:div w:id="363137000">
                  <w:marLeft w:val="0"/>
                  <w:marRight w:val="0"/>
                  <w:marTop w:val="0"/>
                  <w:marBottom w:val="0"/>
                  <w:divBdr>
                    <w:top w:val="none" w:sz="0" w:space="0" w:color="auto"/>
                    <w:left w:val="none" w:sz="0" w:space="0" w:color="auto"/>
                    <w:bottom w:val="none" w:sz="0" w:space="0" w:color="auto"/>
                    <w:right w:val="none" w:sz="0" w:space="0" w:color="auto"/>
                  </w:divBdr>
                </w:div>
                <w:div w:id="1235430332">
                  <w:marLeft w:val="0"/>
                  <w:marRight w:val="0"/>
                  <w:marTop w:val="0"/>
                  <w:marBottom w:val="0"/>
                  <w:divBdr>
                    <w:top w:val="none" w:sz="0" w:space="0" w:color="auto"/>
                    <w:left w:val="none" w:sz="0" w:space="0" w:color="auto"/>
                    <w:bottom w:val="none" w:sz="0" w:space="0" w:color="auto"/>
                    <w:right w:val="none" w:sz="0" w:space="0" w:color="auto"/>
                  </w:divBdr>
                </w:div>
                <w:div w:id="1763916825">
                  <w:marLeft w:val="0"/>
                  <w:marRight w:val="0"/>
                  <w:marTop w:val="0"/>
                  <w:marBottom w:val="0"/>
                  <w:divBdr>
                    <w:top w:val="none" w:sz="0" w:space="0" w:color="auto"/>
                    <w:left w:val="none" w:sz="0" w:space="0" w:color="auto"/>
                    <w:bottom w:val="none" w:sz="0" w:space="0" w:color="auto"/>
                    <w:right w:val="none" w:sz="0" w:space="0" w:color="auto"/>
                  </w:divBdr>
                </w:div>
                <w:div w:id="313410114">
                  <w:marLeft w:val="0"/>
                  <w:marRight w:val="0"/>
                  <w:marTop w:val="0"/>
                  <w:marBottom w:val="0"/>
                  <w:divBdr>
                    <w:top w:val="none" w:sz="0" w:space="0" w:color="auto"/>
                    <w:left w:val="none" w:sz="0" w:space="0" w:color="auto"/>
                    <w:bottom w:val="none" w:sz="0" w:space="0" w:color="auto"/>
                    <w:right w:val="none" w:sz="0" w:space="0" w:color="auto"/>
                  </w:divBdr>
                </w:div>
                <w:div w:id="121000425">
                  <w:marLeft w:val="0"/>
                  <w:marRight w:val="0"/>
                  <w:marTop w:val="0"/>
                  <w:marBottom w:val="0"/>
                  <w:divBdr>
                    <w:top w:val="none" w:sz="0" w:space="0" w:color="auto"/>
                    <w:left w:val="none" w:sz="0" w:space="0" w:color="auto"/>
                    <w:bottom w:val="none" w:sz="0" w:space="0" w:color="auto"/>
                    <w:right w:val="none" w:sz="0" w:space="0" w:color="auto"/>
                  </w:divBdr>
                </w:div>
                <w:div w:id="1997029377">
                  <w:marLeft w:val="0"/>
                  <w:marRight w:val="0"/>
                  <w:marTop w:val="0"/>
                  <w:marBottom w:val="0"/>
                  <w:divBdr>
                    <w:top w:val="none" w:sz="0" w:space="0" w:color="auto"/>
                    <w:left w:val="none" w:sz="0" w:space="0" w:color="auto"/>
                    <w:bottom w:val="none" w:sz="0" w:space="0" w:color="auto"/>
                    <w:right w:val="none" w:sz="0" w:space="0" w:color="auto"/>
                  </w:divBdr>
                </w:div>
                <w:div w:id="1869640444">
                  <w:marLeft w:val="0"/>
                  <w:marRight w:val="0"/>
                  <w:marTop w:val="0"/>
                  <w:marBottom w:val="0"/>
                  <w:divBdr>
                    <w:top w:val="none" w:sz="0" w:space="0" w:color="auto"/>
                    <w:left w:val="none" w:sz="0" w:space="0" w:color="auto"/>
                    <w:bottom w:val="none" w:sz="0" w:space="0" w:color="auto"/>
                    <w:right w:val="none" w:sz="0" w:space="0" w:color="auto"/>
                  </w:divBdr>
                </w:div>
                <w:div w:id="1174689146">
                  <w:marLeft w:val="0"/>
                  <w:marRight w:val="0"/>
                  <w:marTop w:val="0"/>
                  <w:marBottom w:val="0"/>
                  <w:divBdr>
                    <w:top w:val="none" w:sz="0" w:space="0" w:color="auto"/>
                    <w:left w:val="none" w:sz="0" w:space="0" w:color="auto"/>
                    <w:bottom w:val="none" w:sz="0" w:space="0" w:color="auto"/>
                    <w:right w:val="none" w:sz="0" w:space="0" w:color="auto"/>
                  </w:divBdr>
                </w:div>
                <w:div w:id="955790504">
                  <w:marLeft w:val="0"/>
                  <w:marRight w:val="0"/>
                  <w:marTop w:val="0"/>
                  <w:marBottom w:val="0"/>
                  <w:divBdr>
                    <w:top w:val="none" w:sz="0" w:space="0" w:color="auto"/>
                    <w:left w:val="none" w:sz="0" w:space="0" w:color="auto"/>
                    <w:bottom w:val="none" w:sz="0" w:space="0" w:color="auto"/>
                    <w:right w:val="none" w:sz="0" w:space="0" w:color="auto"/>
                  </w:divBdr>
                </w:div>
                <w:div w:id="971445089">
                  <w:marLeft w:val="0"/>
                  <w:marRight w:val="0"/>
                  <w:marTop w:val="0"/>
                  <w:marBottom w:val="0"/>
                  <w:divBdr>
                    <w:top w:val="none" w:sz="0" w:space="0" w:color="auto"/>
                    <w:left w:val="none" w:sz="0" w:space="0" w:color="auto"/>
                    <w:bottom w:val="none" w:sz="0" w:space="0" w:color="auto"/>
                    <w:right w:val="none" w:sz="0" w:space="0" w:color="auto"/>
                  </w:divBdr>
                </w:div>
                <w:div w:id="17781495">
                  <w:marLeft w:val="0"/>
                  <w:marRight w:val="0"/>
                  <w:marTop w:val="0"/>
                  <w:marBottom w:val="0"/>
                  <w:divBdr>
                    <w:top w:val="none" w:sz="0" w:space="0" w:color="auto"/>
                    <w:left w:val="none" w:sz="0" w:space="0" w:color="auto"/>
                    <w:bottom w:val="none" w:sz="0" w:space="0" w:color="auto"/>
                    <w:right w:val="none" w:sz="0" w:space="0" w:color="auto"/>
                  </w:divBdr>
                </w:div>
                <w:div w:id="1683168308">
                  <w:marLeft w:val="0"/>
                  <w:marRight w:val="0"/>
                  <w:marTop w:val="0"/>
                  <w:marBottom w:val="0"/>
                  <w:divBdr>
                    <w:top w:val="none" w:sz="0" w:space="0" w:color="auto"/>
                    <w:left w:val="none" w:sz="0" w:space="0" w:color="auto"/>
                    <w:bottom w:val="none" w:sz="0" w:space="0" w:color="auto"/>
                    <w:right w:val="none" w:sz="0" w:space="0" w:color="auto"/>
                  </w:divBdr>
                </w:div>
                <w:div w:id="396754970">
                  <w:marLeft w:val="0"/>
                  <w:marRight w:val="0"/>
                  <w:marTop w:val="0"/>
                  <w:marBottom w:val="0"/>
                  <w:divBdr>
                    <w:top w:val="none" w:sz="0" w:space="0" w:color="auto"/>
                    <w:left w:val="none" w:sz="0" w:space="0" w:color="auto"/>
                    <w:bottom w:val="none" w:sz="0" w:space="0" w:color="auto"/>
                    <w:right w:val="none" w:sz="0" w:space="0" w:color="auto"/>
                  </w:divBdr>
                </w:div>
                <w:div w:id="1547985944">
                  <w:marLeft w:val="0"/>
                  <w:marRight w:val="0"/>
                  <w:marTop w:val="0"/>
                  <w:marBottom w:val="0"/>
                  <w:divBdr>
                    <w:top w:val="none" w:sz="0" w:space="0" w:color="auto"/>
                    <w:left w:val="none" w:sz="0" w:space="0" w:color="auto"/>
                    <w:bottom w:val="none" w:sz="0" w:space="0" w:color="auto"/>
                    <w:right w:val="none" w:sz="0" w:space="0" w:color="auto"/>
                  </w:divBdr>
                </w:div>
                <w:div w:id="113983686">
                  <w:marLeft w:val="0"/>
                  <w:marRight w:val="0"/>
                  <w:marTop w:val="0"/>
                  <w:marBottom w:val="0"/>
                  <w:divBdr>
                    <w:top w:val="none" w:sz="0" w:space="0" w:color="auto"/>
                    <w:left w:val="none" w:sz="0" w:space="0" w:color="auto"/>
                    <w:bottom w:val="none" w:sz="0" w:space="0" w:color="auto"/>
                    <w:right w:val="none" w:sz="0" w:space="0" w:color="auto"/>
                  </w:divBdr>
                </w:div>
                <w:div w:id="324863522">
                  <w:marLeft w:val="0"/>
                  <w:marRight w:val="0"/>
                  <w:marTop w:val="0"/>
                  <w:marBottom w:val="0"/>
                  <w:divBdr>
                    <w:top w:val="none" w:sz="0" w:space="0" w:color="auto"/>
                    <w:left w:val="none" w:sz="0" w:space="0" w:color="auto"/>
                    <w:bottom w:val="none" w:sz="0" w:space="0" w:color="auto"/>
                    <w:right w:val="none" w:sz="0" w:space="0" w:color="auto"/>
                  </w:divBdr>
                </w:div>
                <w:div w:id="1501920730">
                  <w:marLeft w:val="0"/>
                  <w:marRight w:val="0"/>
                  <w:marTop w:val="0"/>
                  <w:marBottom w:val="0"/>
                  <w:divBdr>
                    <w:top w:val="none" w:sz="0" w:space="0" w:color="auto"/>
                    <w:left w:val="none" w:sz="0" w:space="0" w:color="auto"/>
                    <w:bottom w:val="none" w:sz="0" w:space="0" w:color="auto"/>
                    <w:right w:val="none" w:sz="0" w:space="0" w:color="auto"/>
                  </w:divBdr>
                </w:div>
                <w:div w:id="1117527988">
                  <w:marLeft w:val="0"/>
                  <w:marRight w:val="0"/>
                  <w:marTop w:val="0"/>
                  <w:marBottom w:val="0"/>
                  <w:divBdr>
                    <w:top w:val="none" w:sz="0" w:space="0" w:color="auto"/>
                    <w:left w:val="none" w:sz="0" w:space="0" w:color="auto"/>
                    <w:bottom w:val="none" w:sz="0" w:space="0" w:color="auto"/>
                    <w:right w:val="none" w:sz="0" w:space="0" w:color="auto"/>
                  </w:divBdr>
                </w:div>
                <w:div w:id="1444880604">
                  <w:marLeft w:val="0"/>
                  <w:marRight w:val="0"/>
                  <w:marTop w:val="0"/>
                  <w:marBottom w:val="0"/>
                  <w:divBdr>
                    <w:top w:val="none" w:sz="0" w:space="0" w:color="auto"/>
                    <w:left w:val="none" w:sz="0" w:space="0" w:color="auto"/>
                    <w:bottom w:val="none" w:sz="0" w:space="0" w:color="auto"/>
                    <w:right w:val="none" w:sz="0" w:space="0" w:color="auto"/>
                  </w:divBdr>
                </w:div>
                <w:div w:id="578445309">
                  <w:marLeft w:val="0"/>
                  <w:marRight w:val="0"/>
                  <w:marTop w:val="0"/>
                  <w:marBottom w:val="0"/>
                  <w:divBdr>
                    <w:top w:val="none" w:sz="0" w:space="0" w:color="auto"/>
                    <w:left w:val="none" w:sz="0" w:space="0" w:color="auto"/>
                    <w:bottom w:val="none" w:sz="0" w:space="0" w:color="auto"/>
                    <w:right w:val="none" w:sz="0" w:space="0" w:color="auto"/>
                  </w:divBdr>
                </w:div>
                <w:div w:id="10450287">
                  <w:marLeft w:val="0"/>
                  <w:marRight w:val="0"/>
                  <w:marTop w:val="0"/>
                  <w:marBottom w:val="0"/>
                  <w:divBdr>
                    <w:top w:val="none" w:sz="0" w:space="0" w:color="auto"/>
                    <w:left w:val="none" w:sz="0" w:space="0" w:color="auto"/>
                    <w:bottom w:val="none" w:sz="0" w:space="0" w:color="auto"/>
                    <w:right w:val="none" w:sz="0" w:space="0" w:color="auto"/>
                  </w:divBdr>
                </w:div>
                <w:div w:id="1101292726">
                  <w:marLeft w:val="0"/>
                  <w:marRight w:val="0"/>
                  <w:marTop w:val="0"/>
                  <w:marBottom w:val="0"/>
                  <w:divBdr>
                    <w:top w:val="none" w:sz="0" w:space="0" w:color="auto"/>
                    <w:left w:val="none" w:sz="0" w:space="0" w:color="auto"/>
                    <w:bottom w:val="none" w:sz="0" w:space="0" w:color="auto"/>
                    <w:right w:val="none" w:sz="0" w:space="0" w:color="auto"/>
                  </w:divBdr>
                </w:div>
                <w:div w:id="874200198">
                  <w:marLeft w:val="0"/>
                  <w:marRight w:val="0"/>
                  <w:marTop w:val="0"/>
                  <w:marBottom w:val="0"/>
                  <w:divBdr>
                    <w:top w:val="none" w:sz="0" w:space="0" w:color="auto"/>
                    <w:left w:val="none" w:sz="0" w:space="0" w:color="auto"/>
                    <w:bottom w:val="none" w:sz="0" w:space="0" w:color="auto"/>
                    <w:right w:val="none" w:sz="0" w:space="0" w:color="auto"/>
                  </w:divBdr>
                </w:div>
                <w:div w:id="1898280946">
                  <w:marLeft w:val="0"/>
                  <w:marRight w:val="0"/>
                  <w:marTop w:val="0"/>
                  <w:marBottom w:val="0"/>
                  <w:divBdr>
                    <w:top w:val="none" w:sz="0" w:space="0" w:color="auto"/>
                    <w:left w:val="none" w:sz="0" w:space="0" w:color="auto"/>
                    <w:bottom w:val="none" w:sz="0" w:space="0" w:color="auto"/>
                    <w:right w:val="none" w:sz="0" w:space="0" w:color="auto"/>
                  </w:divBdr>
                </w:div>
                <w:div w:id="825170070">
                  <w:marLeft w:val="0"/>
                  <w:marRight w:val="0"/>
                  <w:marTop w:val="0"/>
                  <w:marBottom w:val="0"/>
                  <w:divBdr>
                    <w:top w:val="none" w:sz="0" w:space="0" w:color="auto"/>
                    <w:left w:val="none" w:sz="0" w:space="0" w:color="auto"/>
                    <w:bottom w:val="none" w:sz="0" w:space="0" w:color="auto"/>
                    <w:right w:val="none" w:sz="0" w:space="0" w:color="auto"/>
                  </w:divBdr>
                </w:div>
                <w:div w:id="1211845788">
                  <w:marLeft w:val="0"/>
                  <w:marRight w:val="0"/>
                  <w:marTop w:val="0"/>
                  <w:marBottom w:val="0"/>
                  <w:divBdr>
                    <w:top w:val="none" w:sz="0" w:space="0" w:color="auto"/>
                    <w:left w:val="none" w:sz="0" w:space="0" w:color="auto"/>
                    <w:bottom w:val="none" w:sz="0" w:space="0" w:color="auto"/>
                    <w:right w:val="none" w:sz="0" w:space="0" w:color="auto"/>
                  </w:divBdr>
                </w:div>
                <w:div w:id="453526275">
                  <w:marLeft w:val="0"/>
                  <w:marRight w:val="0"/>
                  <w:marTop w:val="0"/>
                  <w:marBottom w:val="0"/>
                  <w:divBdr>
                    <w:top w:val="none" w:sz="0" w:space="0" w:color="auto"/>
                    <w:left w:val="none" w:sz="0" w:space="0" w:color="auto"/>
                    <w:bottom w:val="none" w:sz="0" w:space="0" w:color="auto"/>
                    <w:right w:val="none" w:sz="0" w:space="0" w:color="auto"/>
                  </w:divBdr>
                </w:div>
                <w:div w:id="1766145703">
                  <w:marLeft w:val="0"/>
                  <w:marRight w:val="0"/>
                  <w:marTop w:val="0"/>
                  <w:marBottom w:val="0"/>
                  <w:divBdr>
                    <w:top w:val="none" w:sz="0" w:space="0" w:color="auto"/>
                    <w:left w:val="none" w:sz="0" w:space="0" w:color="auto"/>
                    <w:bottom w:val="none" w:sz="0" w:space="0" w:color="auto"/>
                    <w:right w:val="none" w:sz="0" w:space="0" w:color="auto"/>
                  </w:divBdr>
                </w:div>
                <w:div w:id="880021711">
                  <w:marLeft w:val="0"/>
                  <w:marRight w:val="0"/>
                  <w:marTop w:val="0"/>
                  <w:marBottom w:val="0"/>
                  <w:divBdr>
                    <w:top w:val="none" w:sz="0" w:space="0" w:color="auto"/>
                    <w:left w:val="none" w:sz="0" w:space="0" w:color="auto"/>
                    <w:bottom w:val="none" w:sz="0" w:space="0" w:color="auto"/>
                    <w:right w:val="none" w:sz="0" w:space="0" w:color="auto"/>
                  </w:divBdr>
                </w:div>
                <w:div w:id="1465394025">
                  <w:marLeft w:val="0"/>
                  <w:marRight w:val="0"/>
                  <w:marTop w:val="0"/>
                  <w:marBottom w:val="0"/>
                  <w:divBdr>
                    <w:top w:val="none" w:sz="0" w:space="0" w:color="auto"/>
                    <w:left w:val="none" w:sz="0" w:space="0" w:color="auto"/>
                    <w:bottom w:val="none" w:sz="0" w:space="0" w:color="auto"/>
                    <w:right w:val="none" w:sz="0" w:space="0" w:color="auto"/>
                  </w:divBdr>
                </w:div>
                <w:div w:id="348802463">
                  <w:marLeft w:val="0"/>
                  <w:marRight w:val="0"/>
                  <w:marTop w:val="0"/>
                  <w:marBottom w:val="0"/>
                  <w:divBdr>
                    <w:top w:val="none" w:sz="0" w:space="0" w:color="auto"/>
                    <w:left w:val="none" w:sz="0" w:space="0" w:color="auto"/>
                    <w:bottom w:val="none" w:sz="0" w:space="0" w:color="auto"/>
                    <w:right w:val="none" w:sz="0" w:space="0" w:color="auto"/>
                  </w:divBdr>
                </w:div>
                <w:div w:id="2002076581">
                  <w:marLeft w:val="0"/>
                  <w:marRight w:val="0"/>
                  <w:marTop w:val="0"/>
                  <w:marBottom w:val="0"/>
                  <w:divBdr>
                    <w:top w:val="none" w:sz="0" w:space="0" w:color="auto"/>
                    <w:left w:val="none" w:sz="0" w:space="0" w:color="auto"/>
                    <w:bottom w:val="none" w:sz="0" w:space="0" w:color="auto"/>
                    <w:right w:val="none" w:sz="0" w:space="0" w:color="auto"/>
                  </w:divBdr>
                </w:div>
                <w:div w:id="684480129">
                  <w:marLeft w:val="0"/>
                  <w:marRight w:val="0"/>
                  <w:marTop w:val="0"/>
                  <w:marBottom w:val="0"/>
                  <w:divBdr>
                    <w:top w:val="none" w:sz="0" w:space="0" w:color="auto"/>
                    <w:left w:val="none" w:sz="0" w:space="0" w:color="auto"/>
                    <w:bottom w:val="none" w:sz="0" w:space="0" w:color="auto"/>
                    <w:right w:val="none" w:sz="0" w:space="0" w:color="auto"/>
                  </w:divBdr>
                </w:div>
                <w:div w:id="1077167451">
                  <w:marLeft w:val="0"/>
                  <w:marRight w:val="0"/>
                  <w:marTop w:val="0"/>
                  <w:marBottom w:val="0"/>
                  <w:divBdr>
                    <w:top w:val="none" w:sz="0" w:space="0" w:color="auto"/>
                    <w:left w:val="none" w:sz="0" w:space="0" w:color="auto"/>
                    <w:bottom w:val="none" w:sz="0" w:space="0" w:color="auto"/>
                    <w:right w:val="none" w:sz="0" w:space="0" w:color="auto"/>
                  </w:divBdr>
                </w:div>
                <w:div w:id="1545603640">
                  <w:marLeft w:val="0"/>
                  <w:marRight w:val="0"/>
                  <w:marTop w:val="0"/>
                  <w:marBottom w:val="0"/>
                  <w:divBdr>
                    <w:top w:val="none" w:sz="0" w:space="0" w:color="auto"/>
                    <w:left w:val="none" w:sz="0" w:space="0" w:color="auto"/>
                    <w:bottom w:val="none" w:sz="0" w:space="0" w:color="auto"/>
                    <w:right w:val="none" w:sz="0" w:space="0" w:color="auto"/>
                  </w:divBdr>
                </w:div>
                <w:div w:id="2126927010">
                  <w:marLeft w:val="0"/>
                  <w:marRight w:val="0"/>
                  <w:marTop w:val="0"/>
                  <w:marBottom w:val="0"/>
                  <w:divBdr>
                    <w:top w:val="none" w:sz="0" w:space="0" w:color="auto"/>
                    <w:left w:val="none" w:sz="0" w:space="0" w:color="auto"/>
                    <w:bottom w:val="none" w:sz="0" w:space="0" w:color="auto"/>
                    <w:right w:val="none" w:sz="0" w:space="0" w:color="auto"/>
                  </w:divBdr>
                </w:div>
                <w:div w:id="211860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769568">
          <w:marLeft w:val="0"/>
          <w:marRight w:val="0"/>
          <w:marTop w:val="15"/>
          <w:marBottom w:val="0"/>
          <w:divBdr>
            <w:top w:val="single" w:sz="48" w:space="0" w:color="auto"/>
            <w:left w:val="single" w:sz="48" w:space="0" w:color="auto"/>
            <w:bottom w:val="single" w:sz="48" w:space="0" w:color="auto"/>
            <w:right w:val="single" w:sz="48" w:space="0" w:color="auto"/>
          </w:divBdr>
          <w:divsChild>
            <w:div w:id="163056917">
              <w:marLeft w:val="0"/>
              <w:marRight w:val="0"/>
              <w:marTop w:val="0"/>
              <w:marBottom w:val="0"/>
              <w:divBdr>
                <w:top w:val="none" w:sz="0" w:space="0" w:color="auto"/>
                <w:left w:val="none" w:sz="0" w:space="0" w:color="auto"/>
                <w:bottom w:val="none" w:sz="0" w:space="0" w:color="auto"/>
                <w:right w:val="none" w:sz="0" w:space="0" w:color="auto"/>
              </w:divBdr>
              <w:divsChild>
                <w:div w:id="414673839">
                  <w:marLeft w:val="0"/>
                  <w:marRight w:val="0"/>
                  <w:marTop w:val="0"/>
                  <w:marBottom w:val="0"/>
                  <w:divBdr>
                    <w:top w:val="none" w:sz="0" w:space="0" w:color="auto"/>
                    <w:left w:val="none" w:sz="0" w:space="0" w:color="auto"/>
                    <w:bottom w:val="none" w:sz="0" w:space="0" w:color="auto"/>
                    <w:right w:val="none" w:sz="0" w:space="0" w:color="auto"/>
                  </w:divBdr>
                </w:div>
                <w:div w:id="1046879501">
                  <w:marLeft w:val="0"/>
                  <w:marRight w:val="0"/>
                  <w:marTop w:val="0"/>
                  <w:marBottom w:val="0"/>
                  <w:divBdr>
                    <w:top w:val="none" w:sz="0" w:space="0" w:color="auto"/>
                    <w:left w:val="none" w:sz="0" w:space="0" w:color="auto"/>
                    <w:bottom w:val="none" w:sz="0" w:space="0" w:color="auto"/>
                    <w:right w:val="none" w:sz="0" w:space="0" w:color="auto"/>
                  </w:divBdr>
                </w:div>
                <w:div w:id="2063628126">
                  <w:marLeft w:val="0"/>
                  <w:marRight w:val="0"/>
                  <w:marTop w:val="0"/>
                  <w:marBottom w:val="0"/>
                  <w:divBdr>
                    <w:top w:val="none" w:sz="0" w:space="0" w:color="auto"/>
                    <w:left w:val="none" w:sz="0" w:space="0" w:color="auto"/>
                    <w:bottom w:val="none" w:sz="0" w:space="0" w:color="auto"/>
                    <w:right w:val="none" w:sz="0" w:space="0" w:color="auto"/>
                  </w:divBdr>
                </w:div>
                <w:div w:id="166986747">
                  <w:marLeft w:val="0"/>
                  <w:marRight w:val="0"/>
                  <w:marTop w:val="0"/>
                  <w:marBottom w:val="0"/>
                  <w:divBdr>
                    <w:top w:val="none" w:sz="0" w:space="0" w:color="auto"/>
                    <w:left w:val="none" w:sz="0" w:space="0" w:color="auto"/>
                    <w:bottom w:val="none" w:sz="0" w:space="0" w:color="auto"/>
                    <w:right w:val="none" w:sz="0" w:space="0" w:color="auto"/>
                  </w:divBdr>
                </w:div>
                <w:div w:id="1225682901">
                  <w:marLeft w:val="0"/>
                  <w:marRight w:val="0"/>
                  <w:marTop w:val="0"/>
                  <w:marBottom w:val="0"/>
                  <w:divBdr>
                    <w:top w:val="none" w:sz="0" w:space="0" w:color="auto"/>
                    <w:left w:val="none" w:sz="0" w:space="0" w:color="auto"/>
                    <w:bottom w:val="none" w:sz="0" w:space="0" w:color="auto"/>
                    <w:right w:val="none" w:sz="0" w:space="0" w:color="auto"/>
                  </w:divBdr>
                </w:div>
                <w:div w:id="2016222037">
                  <w:marLeft w:val="0"/>
                  <w:marRight w:val="0"/>
                  <w:marTop w:val="0"/>
                  <w:marBottom w:val="0"/>
                  <w:divBdr>
                    <w:top w:val="none" w:sz="0" w:space="0" w:color="auto"/>
                    <w:left w:val="none" w:sz="0" w:space="0" w:color="auto"/>
                    <w:bottom w:val="none" w:sz="0" w:space="0" w:color="auto"/>
                    <w:right w:val="none" w:sz="0" w:space="0" w:color="auto"/>
                  </w:divBdr>
                </w:div>
                <w:div w:id="197621477">
                  <w:marLeft w:val="0"/>
                  <w:marRight w:val="0"/>
                  <w:marTop w:val="0"/>
                  <w:marBottom w:val="0"/>
                  <w:divBdr>
                    <w:top w:val="none" w:sz="0" w:space="0" w:color="auto"/>
                    <w:left w:val="none" w:sz="0" w:space="0" w:color="auto"/>
                    <w:bottom w:val="none" w:sz="0" w:space="0" w:color="auto"/>
                    <w:right w:val="none" w:sz="0" w:space="0" w:color="auto"/>
                  </w:divBdr>
                </w:div>
                <w:div w:id="1265916346">
                  <w:marLeft w:val="0"/>
                  <w:marRight w:val="0"/>
                  <w:marTop w:val="0"/>
                  <w:marBottom w:val="0"/>
                  <w:divBdr>
                    <w:top w:val="none" w:sz="0" w:space="0" w:color="auto"/>
                    <w:left w:val="none" w:sz="0" w:space="0" w:color="auto"/>
                    <w:bottom w:val="none" w:sz="0" w:space="0" w:color="auto"/>
                    <w:right w:val="none" w:sz="0" w:space="0" w:color="auto"/>
                  </w:divBdr>
                </w:div>
                <w:div w:id="1641958972">
                  <w:marLeft w:val="0"/>
                  <w:marRight w:val="0"/>
                  <w:marTop w:val="0"/>
                  <w:marBottom w:val="0"/>
                  <w:divBdr>
                    <w:top w:val="none" w:sz="0" w:space="0" w:color="auto"/>
                    <w:left w:val="none" w:sz="0" w:space="0" w:color="auto"/>
                    <w:bottom w:val="none" w:sz="0" w:space="0" w:color="auto"/>
                    <w:right w:val="none" w:sz="0" w:space="0" w:color="auto"/>
                  </w:divBdr>
                </w:div>
                <w:div w:id="162484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63622">
      <w:bodyDiv w:val="1"/>
      <w:marLeft w:val="0"/>
      <w:marRight w:val="0"/>
      <w:marTop w:val="0"/>
      <w:marBottom w:val="0"/>
      <w:divBdr>
        <w:top w:val="none" w:sz="0" w:space="0" w:color="auto"/>
        <w:left w:val="none" w:sz="0" w:space="0" w:color="auto"/>
        <w:bottom w:val="none" w:sz="0" w:space="0" w:color="auto"/>
        <w:right w:val="none" w:sz="0" w:space="0" w:color="auto"/>
      </w:divBdr>
      <w:divsChild>
        <w:div w:id="763455218">
          <w:marLeft w:val="0"/>
          <w:marRight w:val="0"/>
          <w:marTop w:val="0"/>
          <w:marBottom w:val="0"/>
          <w:divBdr>
            <w:top w:val="none" w:sz="0" w:space="0" w:color="auto"/>
            <w:left w:val="none" w:sz="0" w:space="0" w:color="auto"/>
            <w:bottom w:val="none" w:sz="0" w:space="0" w:color="auto"/>
            <w:right w:val="none" w:sz="0" w:space="0" w:color="auto"/>
          </w:divBdr>
        </w:div>
        <w:div w:id="171798118">
          <w:marLeft w:val="0"/>
          <w:marRight w:val="0"/>
          <w:marTop w:val="0"/>
          <w:marBottom w:val="0"/>
          <w:divBdr>
            <w:top w:val="none" w:sz="0" w:space="0" w:color="auto"/>
            <w:left w:val="none" w:sz="0" w:space="0" w:color="auto"/>
            <w:bottom w:val="none" w:sz="0" w:space="0" w:color="auto"/>
            <w:right w:val="none" w:sz="0" w:space="0" w:color="auto"/>
          </w:divBdr>
        </w:div>
        <w:div w:id="1856378595">
          <w:marLeft w:val="0"/>
          <w:marRight w:val="0"/>
          <w:marTop w:val="0"/>
          <w:marBottom w:val="0"/>
          <w:divBdr>
            <w:top w:val="none" w:sz="0" w:space="0" w:color="auto"/>
            <w:left w:val="none" w:sz="0" w:space="0" w:color="auto"/>
            <w:bottom w:val="none" w:sz="0" w:space="0" w:color="auto"/>
            <w:right w:val="none" w:sz="0" w:space="0" w:color="auto"/>
          </w:divBdr>
        </w:div>
        <w:div w:id="360012815">
          <w:marLeft w:val="0"/>
          <w:marRight w:val="0"/>
          <w:marTop w:val="0"/>
          <w:marBottom w:val="0"/>
          <w:divBdr>
            <w:top w:val="none" w:sz="0" w:space="0" w:color="auto"/>
            <w:left w:val="none" w:sz="0" w:space="0" w:color="auto"/>
            <w:bottom w:val="none" w:sz="0" w:space="0" w:color="auto"/>
            <w:right w:val="none" w:sz="0" w:space="0" w:color="auto"/>
          </w:divBdr>
        </w:div>
        <w:div w:id="1043597959">
          <w:marLeft w:val="0"/>
          <w:marRight w:val="0"/>
          <w:marTop w:val="0"/>
          <w:marBottom w:val="0"/>
          <w:divBdr>
            <w:top w:val="none" w:sz="0" w:space="0" w:color="auto"/>
            <w:left w:val="none" w:sz="0" w:space="0" w:color="auto"/>
            <w:bottom w:val="none" w:sz="0" w:space="0" w:color="auto"/>
            <w:right w:val="none" w:sz="0" w:space="0" w:color="auto"/>
          </w:divBdr>
        </w:div>
        <w:div w:id="1693602274">
          <w:marLeft w:val="0"/>
          <w:marRight w:val="0"/>
          <w:marTop w:val="0"/>
          <w:marBottom w:val="0"/>
          <w:divBdr>
            <w:top w:val="none" w:sz="0" w:space="0" w:color="auto"/>
            <w:left w:val="none" w:sz="0" w:space="0" w:color="auto"/>
            <w:bottom w:val="none" w:sz="0" w:space="0" w:color="auto"/>
            <w:right w:val="none" w:sz="0" w:space="0" w:color="auto"/>
          </w:divBdr>
        </w:div>
        <w:div w:id="1746561769">
          <w:marLeft w:val="0"/>
          <w:marRight w:val="0"/>
          <w:marTop w:val="0"/>
          <w:marBottom w:val="0"/>
          <w:divBdr>
            <w:top w:val="none" w:sz="0" w:space="0" w:color="auto"/>
            <w:left w:val="none" w:sz="0" w:space="0" w:color="auto"/>
            <w:bottom w:val="none" w:sz="0" w:space="0" w:color="auto"/>
            <w:right w:val="none" w:sz="0" w:space="0" w:color="auto"/>
          </w:divBdr>
        </w:div>
        <w:div w:id="478426779">
          <w:marLeft w:val="0"/>
          <w:marRight w:val="0"/>
          <w:marTop w:val="0"/>
          <w:marBottom w:val="0"/>
          <w:divBdr>
            <w:top w:val="none" w:sz="0" w:space="0" w:color="auto"/>
            <w:left w:val="none" w:sz="0" w:space="0" w:color="auto"/>
            <w:bottom w:val="none" w:sz="0" w:space="0" w:color="auto"/>
            <w:right w:val="none" w:sz="0" w:space="0" w:color="auto"/>
          </w:divBdr>
        </w:div>
        <w:div w:id="1791506081">
          <w:marLeft w:val="0"/>
          <w:marRight w:val="0"/>
          <w:marTop w:val="0"/>
          <w:marBottom w:val="0"/>
          <w:divBdr>
            <w:top w:val="none" w:sz="0" w:space="0" w:color="auto"/>
            <w:left w:val="none" w:sz="0" w:space="0" w:color="auto"/>
            <w:bottom w:val="none" w:sz="0" w:space="0" w:color="auto"/>
            <w:right w:val="none" w:sz="0" w:space="0" w:color="auto"/>
          </w:divBdr>
        </w:div>
        <w:div w:id="1529416802">
          <w:marLeft w:val="0"/>
          <w:marRight w:val="0"/>
          <w:marTop w:val="0"/>
          <w:marBottom w:val="0"/>
          <w:divBdr>
            <w:top w:val="none" w:sz="0" w:space="0" w:color="auto"/>
            <w:left w:val="none" w:sz="0" w:space="0" w:color="auto"/>
            <w:bottom w:val="none" w:sz="0" w:space="0" w:color="auto"/>
            <w:right w:val="none" w:sz="0" w:space="0" w:color="auto"/>
          </w:divBdr>
        </w:div>
        <w:div w:id="526673970">
          <w:marLeft w:val="0"/>
          <w:marRight w:val="0"/>
          <w:marTop w:val="0"/>
          <w:marBottom w:val="0"/>
          <w:divBdr>
            <w:top w:val="none" w:sz="0" w:space="0" w:color="auto"/>
            <w:left w:val="none" w:sz="0" w:space="0" w:color="auto"/>
            <w:bottom w:val="none" w:sz="0" w:space="0" w:color="auto"/>
            <w:right w:val="none" w:sz="0" w:space="0" w:color="auto"/>
          </w:divBdr>
        </w:div>
        <w:div w:id="2027707887">
          <w:marLeft w:val="0"/>
          <w:marRight w:val="0"/>
          <w:marTop w:val="0"/>
          <w:marBottom w:val="0"/>
          <w:divBdr>
            <w:top w:val="none" w:sz="0" w:space="0" w:color="auto"/>
            <w:left w:val="none" w:sz="0" w:space="0" w:color="auto"/>
            <w:bottom w:val="none" w:sz="0" w:space="0" w:color="auto"/>
            <w:right w:val="none" w:sz="0" w:space="0" w:color="auto"/>
          </w:divBdr>
        </w:div>
        <w:div w:id="1286280160">
          <w:marLeft w:val="0"/>
          <w:marRight w:val="0"/>
          <w:marTop w:val="0"/>
          <w:marBottom w:val="0"/>
          <w:divBdr>
            <w:top w:val="none" w:sz="0" w:space="0" w:color="auto"/>
            <w:left w:val="none" w:sz="0" w:space="0" w:color="auto"/>
            <w:bottom w:val="none" w:sz="0" w:space="0" w:color="auto"/>
            <w:right w:val="none" w:sz="0" w:space="0" w:color="auto"/>
          </w:divBdr>
        </w:div>
        <w:div w:id="2051345687">
          <w:marLeft w:val="0"/>
          <w:marRight w:val="0"/>
          <w:marTop w:val="0"/>
          <w:marBottom w:val="0"/>
          <w:divBdr>
            <w:top w:val="none" w:sz="0" w:space="0" w:color="auto"/>
            <w:left w:val="none" w:sz="0" w:space="0" w:color="auto"/>
            <w:bottom w:val="none" w:sz="0" w:space="0" w:color="auto"/>
            <w:right w:val="none" w:sz="0" w:space="0" w:color="auto"/>
          </w:divBdr>
        </w:div>
        <w:div w:id="1174494454">
          <w:marLeft w:val="0"/>
          <w:marRight w:val="0"/>
          <w:marTop w:val="0"/>
          <w:marBottom w:val="0"/>
          <w:divBdr>
            <w:top w:val="none" w:sz="0" w:space="0" w:color="auto"/>
            <w:left w:val="none" w:sz="0" w:space="0" w:color="auto"/>
            <w:bottom w:val="none" w:sz="0" w:space="0" w:color="auto"/>
            <w:right w:val="none" w:sz="0" w:space="0" w:color="auto"/>
          </w:divBdr>
        </w:div>
        <w:div w:id="1904218566">
          <w:marLeft w:val="0"/>
          <w:marRight w:val="0"/>
          <w:marTop w:val="0"/>
          <w:marBottom w:val="0"/>
          <w:divBdr>
            <w:top w:val="none" w:sz="0" w:space="0" w:color="auto"/>
            <w:left w:val="none" w:sz="0" w:space="0" w:color="auto"/>
            <w:bottom w:val="none" w:sz="0" w:space="0" w:color="auto"/>
            <w:right w:val="none" w:sz="0" w:space="0" w:color="auto"/>
          </w:divBdr>
        </w:div>
        <w:div w:id="1521121569">
          <w:marLeft w:val="0"/>
          <w:marRight w:val="0"/>
          <w:marTop w:val="0"/>
          <w:marBottom w:val="0"/>
          <w:divBdr>
            <w:top w:val="none" w:sz="0" w:space="0" w:color="auto"/>
            <w:left w:val="none" w:sz="0" w:space="0" w:color="auto"/>
            <w:bottom w:val="none" w:sz="0" w:space="0" w:color="auto"/>
            <w:right w:val="none" w:sz="0" w:space="0" w:color="auto"/>
          </w:divBdr>
        </w:div>
        <w:div w:id="50004607">
          <w:marLeft w:val="0"/>
          <w:marRight w:val="0"/>
          <w:marTop w:val="0"/>
          <w:marBottom w:val="0"/>
          <w:divBdr>
            <w:top w:val="none" w:sz="0" w:space="0" w:color="auto"/>
            <w:left w:val="none" w:sz="0" w:space="0" w:color="auto"/>
            <w:bottom w:val="none" w:sz="0" w:space="0" w:color="auto"/>
            <w:right w:val="none" w:sz="0" w:space="0" w:color="auto"/>
          </w:divBdr>
        </w:div>
        <w:div w:id="1027170628">
          <w:marLeft w:val="0"/>
          <w:marRight w:val="0"/>
          <w:marTop w:val="0"/>
          <w:marBottom w:val="0"/>
          <w:divBdr>
            <w:top w:val="none" w:sz="0" w:space="0" w:color="auto"/>
            <w:left w:val="none" w:sz="0" w:space="0" w:color="auto"/>
            <w:bottom w:val="none" w:sz="0" w:space="0" w:color="auto"/>
            <w:right w:val="none" w:sz="0" w:space="0" w:color="auto"/>
          </w:divBdr>
        </w:div>
        <w:div w:id="188494326">
          <w:marLeft w:val="0"/>
          <w:marRight w:val="0"/>
          <w:marTop w:val="0"/>
          <w:marBottom w:val="0"/>
          <w:divBdr>
            <w:top w:val="none" w:sz="0" w:space="0" w:color="auto"/>
            <w:left w:val="none" w:sz="0" w:space="0" w:color="auto"/>
            <w:bottom w:val="none" w:sz="0" w:space="0" w:color="auto"/>
            <w:right w:val="none" w:sz="0" w:space="0" w:color="auto"/>
          </w:divBdr>
        </w:div>
        <w:div w:id="798454530">
          <w:marLeft w:val="0"/>
          <w:marRight w:val="0"/>
          <w:marTop w:val="0"/>
          <w:marBottom w:val="0"/>
          <w:divBdr>
            <w:top w:val="none" w:sz="0" w:space="0" w:color="auto"/>
            <w:left w:val="none" w:sz="0" w:space="0" w:color="auto"/>
            <w:bottom w:val="none" w:sz="0" w:space="0" w:color="auto"/>
            <w:right w:val="none" w:sz="0" w:space="0" w:color="auto"/>
          </w:divBdr>
        </w:div>
        <w:div w:id="1171143903">
          <w:marLeft w:val="0"/>
          <w:marRight w:val="0"/>
          <w:marTop w:val="0"/>
          <w:marBottom w:val="0"/>
          <w:divBdr>
            <w:top w:val="none" w:sz="0" w:space="0" w:color="auto"/>
            <w:left w:val="none" w:sz="0" w:space="0" w:color="auto"/>
            <w:bottom w:val="none" w:sz="0" w:space="0" w:color="auto"/>
            <w:right w:val="none" w:sz="0" w:space="0" w:color="auto"/>
          </w:divBdr>
        </w:div>
        <w:div w:id="1455178096">
          <w:marLeft w:val="0"/>
          <w:marRight w:val="0"/>
          <w:marTop w:val="0"/>
          <w:marBottom w:val="0"/>
          <w:divBdr>
            <w:top w:val="none" w:sz="0" w:space="0" w:color="auto"/>
            <w:left w:val="none" w:sz="0" w:space="0" w:color="auto"/>
            <w:bottom w:val="none" w:sz="0" w:space="0" w:color="auto"/>
            <w:right w:val="none" w:sz="0" w:space="0" w:color="auto"/>
          </w:divBdr>
        </w:div>
        <w:div w:id="169376368">
          <w:marLeft w:val="0"/>
          <w:marRight w:val="0"/>
          <w:marTop w:val="0"/>
          <w:marBottom w:val="0"/>
          <w:divBdr>
            <w:top w:val="none" w:sz="0" w:space="0" w:color="auto"/>
            <w:left w:val="none" w:sz="0" w:space="0" w:color="auto"/>
            <w:bottom w:val="none" w:sz="0" w:space="0" w:color="auto"/>
            <w:right w:val="none" w:sz="0" w:space="0" w:color="auto"/>
          </w:divBdr>
        </w:div>
      </w:divsChild>
    </w:div>
    <w:div w:id="1395196713">
      <w:bodyDiv w:val="1"/>
      <w:marLeft w:val="0"/>
      <w:marRight w:val="0"/>
      <w:marTop w:val="0"/>
      <w:marBottom w:val="0"/>
      <w:divBdr>
        <w:top w:val="none" w:sz="0" w:space="0" w:color="auto"/>
        <w:left w:val="none" w:sz="0" w:space="0" w:color="auto"/>
        <w:bottom w:val="none" w:sz="0" w:space="0" w:color="auto"/>
        <w:right w:val="none" w:sz="0" w:space="0" w:color="auto"/>
      </w:divBdr>
      <w:divsChild>
        <w:div w:id="1197622850">
          <w:marLeft w:val="0"/>
          <w:marRight w:val="0"/>
          <w:marTop w:val="15"/>
          <w:marBottom w:val="0"/>
          <w:divBdr>
            <w:top w:val="single" w:sz="48" w:space="0" w:color="auto"/>
            <w:left w:val="single" w:sz="48" w:space="0" w:color="auto"/>
            <w:bottom w:val="single" w:sz="48" w:space="0" w:color="auto"/>
            <w:right w:val="single" w:sz="48" w:space="0" w:color="auto"/>
          </w:divBdr>
          <w:divsChild>
            <w:div w:id="1631937291">
              <w:marLeft w:val="0"/>
              <w:marRight w:val="0"/>
              <w:marTop w:val="0"/>
              <w:marBottom w:val="0"/>
              <w:divBdr>
                <w:top w:val="none" w:sz="0" w:space="0" w:color="auto"/>
                <w:left w:val="none" w:sz="0" w:space="0" w:color="auto"/>
                <w:bottom w:val="none" w:sz="0" w:space="0" w:color="auto"/>
                <w:right w:val="none" w:sz="0" w:space="0" w:color="auto"/>
              </w:divBdr>
              <w:divsChild>
                <w:div w:id="128522447">
                  <w:marLeft w:val="0"/>
                  <w:marRight w:val="0"/>
                  <w:marTop w:val="0"/>
                  <w:marBottom w:val="0"/>
                  <w:divBdr>
                    <w:top w:val="none" w:sz="0" w:space="0" w:color="auto"/>
                    <w:left w:val="none" w:sz="0" w:space="0" w:color="auto"/>
                    <w:bottom w:val="none" w:sz="0" w:space="0" w:color="auto"/>
                    <w:right w:val="none" w:sz="0" w:space="0" w:color="auto"/>
                  </w:divBdr>
                </w:div>
                <w:div w:id="1116100536">
                  <w:marLeft w:val="0"/>
                  <w:marRight w:val="0"/>
                  <w:marTop w:val="0"/>
                  <w:marBottom w:val="0"/>
                  <w:divBdr>
                    <w:top w:val="none" w:sz="0" w:space="0" w:color="auto"/>
                    <w:left w:val="none" w:sz="0" w:space="0" w:color="auto"/>
                    <w:bottom w:val="none" w:sz="0" w:space="0" w:color="auto"/>
                    <w:right w:val="none" w:sz="0" w:space="0" w:color="auto"/>
                  </w:divBdr>
                </w:div>
                <w:div w:id="1402948114">
                  <w:marLeft w:val="0"/>
                  <w:marRight w:val="0"/>
                  <w:marTop w:val="0"/>
                  <w:marBottom w:val="0"/>
                  <w:divBdr>
                    <w:top w:val="none" w:sz="0" w:space="0" w:color="auto"/>
                    <w:left w:val="none" w:sz="0" w:space="0" w:color="auto"/>
                    <w:bottom w:val="none" w:sz="0" w:space="0" w:color="auto"/>
                    <w:right w:val="none" w:sz="0" w:space="0" w:color="auto"/>
                  </w:divBdr>
                </w:div>
                <w:div w:id="913320594">
                  <w:marLeft w:val="0"/>
                  <w:marRight w:val="0"/>
                  <w:marTop w:val="0"/>
                  <w:marBottom w:val="0"/>
                  <w:divBdr>
                    <w:top w:val="none" w:sz="0" w:space="0" w:color="auto"/>
                    <w:left w:val="none" w:sz="0" w:space="0" w:color="auto"/>
                    <w:bottom w:val="none" w:sz="0" w:space="0" w:color="auto"/>
                    <w:right w:val="none" w:sz="0" w:space="0" w:color="auto"/>
                  </w:divBdr>
                </w:div>
                <w:div w:id="627277711">
                  <w:marLeft w:val="0"/>
                  <w:marRight w:val="0"/>
                  <w:marTop w:val="0"/>
                  <w:marBottom w:val="0"/>
                  <w:divBdr>
                    <w:top w:val="none" w:sz="0" w:space="0" w:color="auto"/>
                    <w:left w:val="none" w:sz="0" w:space="0" w:color="auto"/>
                    <w:bottom w:val="none" w:sz="0" w:space="0" w:color="auto"/>
                    <w:right w:val="none" w:sz="0" w:space="0" w:color="auto"/>
                  </w:divBdr>
                </w:div>
                <w:div w:id="1045831563">
                  <w:marLeft w:val="0"/>
                  <w:marRight w:val="0"/>
                  <w:marTop w:val="0"/>
                  <w:marBottom w:val="0"/>
                  <w:divBdr>
                    <w:top w:val="none" w:sz="0" w:space="0" w:color="auto"/>
                    <w:left w:val="none" w:sz="0" w:space="0" w:color="auto"/>
                    <w:bottom w:val="none" w:sz="0" w:space="0" w:color="auto"/>
                    <w:right w:val="none" w:sz="0" w:space="0" w:color="auto"/>
                  </w:divBdr>
                </w:div>
                <w:div w:id="407308820">
                  <w:marLeft w:val="0"/>
                  <w:marRight w:val="0"/>
                  <w:marTop w:val="0"/>
                  <w:marBottom w:val="0"/>
                  <w:divBdr>
                    <w:top w:val="none" w:sz="0" w:space="0" w:color="auto"/>
                    <w:left w:val="none" w:sz="0" w:space="0" w:color="auto"/>
                    <w:bottom w:val="none" w:sz="0" w:space="0" w:color="auto"/>
                    <w:right w:val="none" w:sz="0" w:space="0" w:color="auto"/>
                  </w:divBdr>
                </w:div>
                <w:div w:id="973947604">
                  <w:marLeft w:val="0"/>
                  <w:marRight w:val="0"/>
                  <w:marTop w:val="0"/>
                  <w:marBottom w:val="0"/>
                  <w:divBdr>
                    <w:top w:val="none" w:sz="0" w:space="0" w:color="auto"/>
                    <w:left w:val="none" w:sz="0" w:space="0" w:color="auto"/>
                    <w:bottom w:val="none" w:sz="0" w:space="0" w:color="auto"/>
                    <w:right w:val="none" w:sz="0" w:space="0" w:color="auto"/>
                  </w:divBdr>
                </w:div>
                <w:div w:id="1342464159">
                  <w:marLeft w:val="0"/>
                  <w:marRight w:val="0"/>
                  <w:marTop w:val="0"/>
                  <w:marBottom w:val="0"/>
                  <w:divBdr>
                    <w:top w:val="none" w:sz="0" w:space="0" w:color="auto"/>
                    <w:left w:val="none" w:sz="0" w:space="0" w:color="auto"/>
                    <w:bottom w:val="none" w:sz="0" w:space="0" w:color="auto"/>
                    <w:right w:val="none" w:sz="0" w:space="0" w:color="auto"/>
                  </w:divBdr>
                </w:div>
                <w:div w:id="1778328520">
                  <w:marLeft w:val="0"/>
                  <w:marRight w:val="0"/>
                  <w:marTop w:val="0"/>
                  <w:marBottom w:val="0"/>
                  <w:divBdr>
                    <w:top w:val="none" w:sz="0" w:space="0" w:color="auto"/>
                    <w:left w:val="none" w:sz="0" w:space="0" w:color="auto"/>
                    <w:bottom w:val="none" w:sz="0" w:space="0" w:color="auto"/>
                    <w:right w:val="none" w:sz="0" w:space="0" w:color="auto"/>
                  </w:divBdr>
                </w:div>
                <w:div w:id="936521189">
                  <w:marLeft w:val="0"/>
                  <w:marRight w:val="0"/>
                  <w:marTop w:val="0"/>
                  <w:marBottom w:val="0"/>
                  <w:divBdr>
                    <w:top w:val="none" w:sz="0" w:space="0" w:color="auto"/>
                    <w:left w:val="none" w:sz="0" w:space="0" w:color="auto"/>
                    <w:bottom w:val="none" w:sz="0" w:space="0" w:color="auto"/>
                    <w:right w:val="none" w:sz="0" w:space="0" w:color="auto"/>
                  </w:divBdr>
                </w:div>
                <w:div w:id="1326058077">
                  <w:marLeft w:val="0"/>
                  <w:marRight w:val="0"/>
                  <w:marTop w:val="0"/>
                  <w:marBottom w:val="0"/>
                  <w:divBdr>
                    <w:top w:val="none" w:sz="0" w:space="0" w:color="auto"/>
                    <w:left w:val="none" w:sz="0" w:space="0" w:color="auto"/>
                    <w:bottom w:val="none" w:sz="0" w:space="0" w:color="auto"/>
                    <w:right w:val="none" w:sz="0" w:space="0" w:color="auto"/>
                  </w:divBdr>
                </w:div>
                <w:div w:id="566578571">
                  <w:marLeft w:val="0"/>
                  <w:marRight w:val="0"/>
                  <w:marTop w:val="0"/>
                  <w:marBottom w:val="0"/>
                  <w:divBdr>
                    <w:top w:val="none" w:sz="0" w:space="0" w:color="auto"/>
                    <w:left w:val="none" w:sz="0" w:space="0" w:color="auto"/>
                    <w:bottom w:val="none" w:sz="0" w:space="0" w:color="auto"/>
                    <w:right w:val="none" w:sz="0" w:space="0" w:color="auto"/>
                  </w:divBdr>
                </w:div>
                <w:div w:id="2124810635">
                  <w:marLeft w:val="0"/>
                  <w:marRight w:val="0"/>
                  <w:marTop w:val="0"/>
                  <w:marBottom w:val="0"/>
                  <w:divBdr>
                    <w:top w:val="none" w:sz="0" w:space="0" w:color="auto"/>
                    <w:left w:val="none" w:sz="0" w:space="0" w:color="auto"/>
                    <w:bottom w:val="none" w:sz="0" w:space="0" w:color="auto"/>
                    <w:right w:val="none" w:sz="0" w:space="0" w:color="auto"/>
                  </w:divBdr>
                </w:div>
                <w:div w:id="758406562">
                  <w:marLeft w:val="0"/>
                  <w:marRight w:val="0"/>
                  <w:marTop w:val="0"/>
                  <w:marBottom w:val="0"/>
                  <w:divBdr>
                    <w:top w:val="none" w:sz="0" w:space="0" w:color="auto"/>
                    <w:left w:val="none" w:sz="0" w:space="0" w:color="auto"/>
                    <w:bottom w:val="none" w:sz="0" w:space="0" w:color="auto"/>
                    <w:right w:val="none" w:sz="0" w:space="0" w:color="auto"/>
                  </w:divBdr>
                </w:div>
                <w:div w:id="625282346">
                  <w:marLeft w:val="0"/>
                  <w:marRight w:val="0"/>
                  <w:marTop w:val="0"/>
                  <w:marBottom w:val="0"/>
                  <w:divBdr>
                    <w:top w:val="none" w:sz="0" w:space="0" w:color="auto"/>
                    <w:left w:val="none" w:sz="0" w:space="0" w:color="auto"/>
                    <w:bottom w:val="none" w:sz="0" w:space="0" w:color="auto"/>
                    <w:right w:val="none" w:sz="0" w:space="0" w:color="auto"/>
                  </w:divBdr>
                </w:div>
                <w:div w:id="2097631365">
                  <w:marLeft w:val="0"/>
                  <w:marRight w:val="0"/>
                  <w:marTop w:val="0"/>
                  <w:marBottom w:val="0"/>
                  <w:divBdr>
                    <w:top w:val="none" w:sz="0" w:space="0" w:color="auto"/>
                    <w:left w:val="none" w:sz="0" w:space="0" w:color="auto"/>
                    <w:bottom w:val="none" w:sz="0" w:space="0" w:color="auto"/>
                    <w:right w:val="none" w:sz="0" w:space="0" w:color="auto"/>
                  </w:divBdr>
                </w:div>
                <w:div w:id="632564876">
                  <w:marLeft w:val="0"/>
                  <w:marRight w:val="0"/>
                  <w:marTop w:val="0"/>
                  <w:marBottom w:val="0"/>
                  <w:divBdr>
                    <w:top w:val="none" w:sz="0" w:space="0" w:color="auto"/>
                    <w:left w:val="none" w:sz="0" w:space="0" w:color="auto"/>
                    <w:bottom w:val="none" w:sz="0" w:space="0" w:color="auto"/>
                    <w:right w:val="none" w:sz="0" w:space="0" w:color="auto"/>
                  </w:divBdr>
                </w:div>
                <w:div w:id="403575642">
                  <w:marLeft w:val="0"/>
                  <w:marRight w:val="0"/>
                  <w:marTop w:val="0"/>
                  <w:marBottom w:val="0"/>
                  <w:divBdr>
                    <w:top w:val="none" w:sz="0" w:space="0" w:color="auto"/>
                    <w:left w:val="none" w:sz="0" w:space="0" w:color="auto"/>
                    <w:bottom w:val="none" w:sz="0" w:space="0" w:color="auto"/>
                    <w:right w:val="none" w:sz="0" w:space="0" w:color="auto"/>
                  </w:divBdr>
                </w:div>
                <w:div w:id="1874074894">
                  <w:marLeft w:val="0"/>
                  <w:marRight w:val="0"/>
                  <w:marTop w:val="0"/>
                  <w:marBottom w:val="0"/>
                  <w:divBdr>
                    <w:top w:val="none" w:sz="0" w:space="0" w:color="auto"/>
                    <w:left w:val="none" w:sz="0" w:space="0" w:color="auto"/>
                    <w:bottom w:val="none" w:sz="0" w:space="0" w:color="auto"/>
                    <w:right w:val="none" w:sz="0" w:space="0" w:color="auto"/>
                  </w:divBdr>
                </w:div>
                <w:div w:id="709502420">
                  <w:marLeft w:val="0"/>
                  <w:marRight w:val="0"/>
                  <w:marTop w:val="0"/>
                  <w:marBottom w:val="0"/>
                  <w:divBdr>
                    <w:top w:val="none" w:sz="0" w:space="0" w:color="auto"/>
                    <w:left w:val="none" w:sz="0" w:space="0" w:color="auto"/>
                    <w:bottom w:val="none" w:sz="0" w:space="0" w:color="auto"/>
                    <w:right w:val="none" w:sz="0" w:space="0" w:color="auto"/>
                  </w:divBdr>
                </w:div>
                <w:div w:id="906652454">
                  <w:marLeft w:val="0"/>
                  <w:marRight w:val="0"/>
                  <w:marTop w:val="0"/>
                  <w:marBottom w:val="0"/>
                  <w:divBdr>
                    <w:top w:val="none" w:sz="0" w:space="0" w:color="auto"/>
                    <w:left w:val="none" w:sz="0" w:space="0" w:color="auto"/>
                    <w:bottom w:val="none" w:sz="0" w:space="0" w:color="auto"/>
                    <w:right w:val="none" w:sz="0" w:space="0" w:color="auto"/>
                  </w:divBdr>
                </w:div>
                <w:div w:id="899176856">
                  <w:marLeft w:val="0"/>
                  <w:marRight w:val="0"/>
                  <w:marTop w:val="0"/>
                  <w:marBottom w:val="0"/>
                  <w:divBdr>
                    <w:top w:val="none" w:sz="0" w:space="0" w:color="auto"/>
                    <w:left w:val="none" w:sz="0" w:space="0" w:color="auto"/>
                    <w:bottom w:val="none" w:sz="0" w:space="0" w:color="auto"/>
                    <w:right w:val="none" w:sz="0" w:space="0" w:color="auto"/>
                  </w:divBdr>
                </w:div>
                <w:div w:id="774592998">
                  <w:marLeft w:val="0"/>
                  <w:marRight w:val="0"/>
                  <w:marTop w:val="0"/>
                  <w:marBottom w:val="0"/>
                  <w:divBdr>
                    <w:top w:val="none" w:sz="0" w:space="0" w:color="auto"/>
                    <w:left w:val="none" w:sz="0" w:space="0" w:color="auto"/>
                    <w:bottom w:val="none" w:sz="0" w:space="0" w:color="auto"/>
                    <w:right w:val="none" w:sz="0" w:space="0" w:color="auto"/>
                  </w:divBdr>
                </w:div>
                <w:div w:id="1584990613">
                  <w:marLeft w:val="0"/>
                  <w:marRight w:val="0"/>
                  <w:marTop w:val="0"/>
                  <w:marBottom w:val="0"/>
                  <w:divBdr>
                    <w:top w:val="none" w:sz="0" w:space="0" w:color="auto"/>
                    <w:left w:val="none" w:sz="0" w:space="0" w:color="auto"/>
                    <w:bottom w:val="none" w:sz="0" w:space="0" w:color="auto"/>
                    <w:right w:val="none" w:sz="0" w:space="0" w:color="auto"/>
                  </w:divBdr>
                </w:div>
                <w:div w:id="636953812">
                  <w:marLeft w:val="0"/>
                  <w:marRight w:val="0"/>
                  <w:marTop w:val="0"/>
                  <w:marBottom w:val="0"/>
                  <w:divBdr>
                    <w:top w:val="none" w:sz="0" w:space="0" w:color="auto"/>
                    <w:left w:val="none" w:sz="0" w:space="0" w:color="auto"/>
                    <w:bottom w:val="none" w:sz="0" w:space="0" w:color="auto"/>
                    <w:right w:val="none" w:sz="0" w:space="0" w:color="auto"/>
                  </w:divBdr>
                </w:div>
                <w:div w:id="1746343964">
                  <w:marLeft w:val="0"/>
                  <w:marRight w:val="0"/>
                  <w:marTop w:val="0"/>
                  <w:marBottom w:val="0"/>
                  <w:divBdr>
                    <w:top w:val="none" w:sz="0" w:space="0" w:color="auto"/>
                    <w:left w:val="none" w:sz="0" w:space="0" w:color="auto"/>
                    <w:bottom w:val="none" w:sz="0" w:space="0" w:color="auto"/>
                    <w:right w:val="none" w:sz="0" w:space="0" w:color="auto"/>
                  </w:divBdr>
                </w:div>
                <w:div w:id="1841506612">
                  <w:marLeft w:val="0"/>
                  <w:marRight w:val="0"/>
                  <w:marTop w:val="0"/>
                  <w:marBottom w:val="0"/>
                  <w:divBdr>
                    <w:top w:val="none" w:sz="0" w:space="0" w:color="auto"/>
                    <w:left w:val="none" w:sz="0" w:space="0" w:color="auto"/>
                    <w:bottom w:val="none" w:sz="0" w:space="0" w:color="auto"/>
                    <w:right w:val="none" w:sz="0" w:space="0" w:color="auto"/>
                  </w:divBdr>
                </w:div>
                <w:div w:id="1162162967">
                  <w:marLeft w:val="0"/>
                  <w:marRight w:val="0"/>
                  <w:marTop w:val="0"/>
                  <w:marBottom w:val="0"/>
                  <w:divBdr>
                    <w:top w:val="none" w:sz="0" w:space="0" w:color="auto"/>
                    <w:left w:val="none" w:sz="0" w:space="0" w:color="auto"/>
                    <w:bottom w:val="none" w:sz="0" w:space="0" w:color="auto"/>
                    <w:right w:val="none" w:sz="0" w:space="0" w:color="auto"/>
                  </w:divBdr>
                </w:div>
                <w:div w:id="245654341">
                  <w:marLeft w:val="0"/>
                  <w:marRight w:val="0"/>
                  <w:marTop w:val="0"/>
                  <w:marBottom w:val="0"/>
                  <w:divBdr>
                    <w:top w:val="none" w:sz="0" w:space="0" w:color="auto"/>
                    <w:left w:val="none" w:sz="0" w:space="0" w:color="auto"/>
                    <w:bottom w:val="none" w:sz="0" w:space="0" w:color="auto"/>
                    <w:right w:val="none" w:sz="0" w:space="0" w:color="auto"/>
                  </w:divBdr>
                </w:div>
                <w:div w:id="1637023955">
                  <w:marLeft w:val="0"/>
                  <w:marRight w:val="0"/>
                  <w:marTop w:val="0"/>
                  <w:marBottom w:val="0"/>
                  <w:divBdr>
                    <w:top w:val="none" w:sz="0" w:space="0" w:color="auto"/>
                    <w:left w:val="none" w:sz="0" w:space="0" w:color="auto"/>
                    <w:bottom w:val="none" w:sz="0" w:space="0" w:color="auto"/>
                    <w:right w:val="none" w:sz="0" w:space="0" w:color="auto"/>
                  </w:divBdr>
                </w:div>
                <w:div w:id="812604528">
                  <w:marLeft w:val="0"/>
                  <w:marRight w:val="0"/>
                  <w:marTop w:val="0"/>
                  <w:marBottom w:val="0"/>
                  <w:divBdr>
                    <w:top w:val="none" w:sz="0" w:space="0" w:color="auto"/>
                    <w:left w:val="none" w:sz="0" w:space="0" w:color="auto"/>
                    <w:bottom w:val="none" w:sz="0" w:space="0" w:color="auto"/>
                    <w:right w:val="none" w:sz="0" w:space="0" w:color="auto"/>
                  </w:divBdr>
                </w:div>
                <w:div w:id="1197699187">
                  <w:marLeft w:val="0"/>
                  <w:marRight w:val="0"/>
                  <w:marTop w:val="0"/>
                  <w:marBottom w:val="0"/>
                  <w:divBdr>
                    <w:top w:val="none" w:sz="0" w:space="0" w:color="auto"/>
                    <w:left w:val="none" w:sz="0" w:space="0" w:color="auto"/>
                    <w:bottom w:val="none" w:sz="0" w:space="0" w:color="auto"/>
                    <w:right w:val="none" w:sz="0" w:space="0" w:color="auto"/>
                  </w:divBdr>
                </w:div>
                <w:div w:id="110982400">
                  <w:marLeft w:val="0"/>
                  <w:marRight w:val="0"/>
                  <w:marTop w:val="0"/>
                  <w:marBottom w:val="0"/>
                  <w:divBdr>
                    <w:top w:val="none" w:sz="0" w:space="0" w:color="auto"/>
                    <w:left w:val="none" w:sz="0" w:space="0" w:color="auto"/>
                    <w:bottom w:val="none" w:sz="0" w:space="0" w:color="auto"/>
                    <w:right w:val="none" w:sz="0" w:space="0" w:color="auto"/>
                  </w:divBdr>
                </w:div>
                <w:div w:id="716441658">
                  <w:marLeft w:val="0"/>
                  <w:marRight w:val="0"/>
                  <w:marTop w:val="0"/>
                  <w:marBottom w:val="0"/>
                  <w:divBdr>
                    <w:top w:val="none" w:sz="0" w:space="0" w:color="auto"/>
                    <w:left w:val="none" w:sz="0" w:space="0" w:color="auto"/>
                    <w:bottom w:val="none" w:sz="0" w:space="0" w:color="auto"/>
                    <w:right w:val="none" w:sz="0" w:space="0" w:color="auto"/>
                  </w:divBdr>
                </w:div>
                <w:div w:id="739402519">
                  <w:marLeft w:val="0"/>
                  <w:marRight w:val="0"/>
                  <w:marTop w:val="0"/>
                  <w:marBottom w:val="0"/>
                  <w:divBdr>
                    <w:top w:val="none" w:sz="0" w:space="0" w:color="auto"/>
                    <w:left w:val="none" w:sz="0" w:space="0" w:color="auto"/>
                    <w:bottom w:val="none" w:sz="0" w:space="0" w:color="auto"/>
                    <w:right w:val="none" w:sz="0" w:space="0" w:color="auto"/>
                  </w:divBdr>
                </w:div>
                <w:div w:id="2135713414">
                  <w:marLeft w:val="0"/>
                  <w:marRight w:val="0"/>
                  <w:marTop w:val="0"/>
                  <w:marBottom w:val="0"/>
                  <w:divBdr>
                    <w:top w:val="none" w:sz="0" w:space="0" w:color="auto"/>
                    <w:left w:val="none" w:sz="0" w:space="0" w:color="auto"/>
                    <w:bottom w:val="none" w:sz="0" w:space="0" w:color="auto"/>
                    <w:right w:val="none" w:sz="0" w:space="0" w:color="auto"/>
                  </w:divBdr>
                </w:div>
                <w:div w:id="1030183934">
                  <w:marLeft w:val="0"/>
                  <w:marRight w:val="0"/>
                  <w:marTop w:val="0"/>
                  <w:marBottom w:val="0"/>
                  <w:divBdr>
                    <w:top w:val="none" w:sz="0" w:space="0" w:color="auto"/>
                    <w:left w:val="none" w:sz="0" w:space="0" w:color="auto"/>
                    <w:bottom w:val="none" w:sz="0" w:space="0" w:color="auto"/>
                    <w:right w:val="none" w:sz="0" w:space="0" w:color="auto"/>
                  </w:divBdr>
                </w:div>
                <w:div w:id="1154370618">
                  <w:marLeft w:val="0"/>
                  <w:marRight w:val="0"/>
                  <w:marTop w:val="0"/>
                  <w:marBottom w:val="0"/>
                  <w:divBdr>
                    <w:top w:val="none" w:sz="0" w:space="0" w:color="auto"/>
                    <w:left w:val="none" w:sz="0" w:space="0" w:color="auto"/>
                    <w:bottom w:val="none" w:sz="0" w:space="0" w:color="auto"/>
                    <w:right w:val="none" w:sz="0" w:space="0" w:color="auto"/>
                  </w:divBdr>
                </w:div>
                <w:div w:id="1523129665">
                  <w:marLeft w:val="0"/>
                  <w:marRight w:val="0"/>
                  <w:marTop w:val="0"/>
                  <w:marBottom w:val="0"/>
                  <w:divBdr>
                    <w:top w:val="none" w:sz="0" w:space="0" w:color="auto"/>
                    <w:left w:val="none" w:sz="0" w:space="0" w:color="auto"/>
                    <w:bottom w:val="none" w:sz="0" w:space="0" w:color="auto"/>
                    <w:right w:val="none" w:sz="0" w:space="0" w:color="auto"/>
                  </w:divBdr>
                </w:div>
                <w:div w:id="1605071060">
                  <w:marLeft w:val="0"/>
                  <w:marRight w:val="0"/>
                  <w:marTop w:val="0"/>
                  <w:marBottom w:val="0"/>
                  <w:divBdr>
                    <w:top w:val="none" w:sz="0" w:space="0" w:color="auto"/>
                    <w:left w:val="none" w:sz="0" w:space="0" w:color="auto"/>
                    <w:bottom w:val="none" w:sz="0" w:space="0" w:color="auto"/>
                    <w:right w:val="none" w:sz="0" w:space="0" w:color="auto"/>
                  </w:divBdr>
                </w:div>
                <w:div w:id="312947205">
                  <w:marLeft w:val="0"/>
                  <w:marRight w:val="0"/>
                  <w:marTop w:val="0"/>
                  <w:marBottom w:val="0"/>
                  <w:divBdr>
                    <w:top w:val="none" w:sz="0" w:space="0" w:color="auto"/>
                    <w:left w:val="none" w:sz="0" w:space="0" w:color="auto"/>
                    <w:bottom w:val="none" w:sz="0" w:space="0" w:color="auto"/>
                    <w:right w:val="none" w:sz="0" w:space="0" w:color="auto"/>
                  </w:divBdr>
                </w:div>
                <w:div w:id="223756037">
                  <w:marLeft w:val="0"/>
                  <w:marRight w:val="0"/>
                  <w:marTop w:val="0"/>
                  <w:marBottom w:val="0"/>
                  <w:divBdr>
                    <w:top w:val="none" w:sz="0" w:space="0" w:color="auto"/>
                    <w:left w:val="none" w:sz="0" w:space="0" w:color="auto"/>
                    <w:bottom w:val="none" w:sz="0" w:space="0" w:color="auto"/>
                    <w:right w:val="none" w:sz="0" w:space="0" w:color="auto"/>
                  </w:divBdr>
                </w:div>
                <w:div w:id="994384169">
                  <w:marLeft w:val="0"/>
                  <w:marRight w:val="0"/>
                  <w:marTop w:val="0"/>
                  <w:marBottom w:val="0"/>
                  <w:divBdr>
                    <w:top w:val="none" w:sz="0" w:space="0" w:color="auto"/>
                    <w:left w:val="none" w:sz="0" w:space="0" w:color="auto"/>
                    <w:bottom w:val="none" w:sz="0" w:space="0" w:color="auto"/>
                    <w:right w:val="none" w:sz="0" w:space="0" w:color="auto"/>
                  </w:divBdr>
                </w:div>
                <w:div w:id="944650331">
                  <w:marLeft w:val="0"/>
                  <w:marRight w:val="0"/>
                  <w:marTop w:val="0"/>
                  <w:marBottom w:val="0"/>
                  <w:divBdr>
                    <w:top w:val="none" w:sz="0" w:space="0" w:color="auto"/>
                    <w:left w:val="none" w:sz="0" w:space="0" w:color="auto"/>
                    <w:bottom w:val="none" w:sz="0" w:space="0" w:color="auto"/>
                    <w:right w:val="none" w:sz="0" w:space="0" w:color="auto"/>
                  </w:divBdr>
                </w:div>
                <w:div w:id="237138633">
                  <w:marLeft w:val="0"/>
                  <w:marRight w:val="0"/>
                  <w:marTop w:val="0"/>
                  <w:marBottom w:val="0"/>
                  <w:divBdr>
                    <w:top w:val="none" w:sz="0" w:space="0" w:color="auto"/>
                    <w:left w:val="none" w:sz="0" w:space="0" w:color="auto"/>
                    <w:bottom w:val="none" w:sz="0" w:space="0" w:color="auto"/>
                    <w:right w:val="none" w:sz="0" w:space="0" w:color="auto"/>
                  </w:divBdr>
                </w:div>
                <w:div w:id="674890588">
                  <w:marLeft w:val="0"/>
                  <w:marRight w:val="0"/>
                  <w:marTop w:val="0"/>
                  <w:marBottom w:val="0"/>
                  <w:divBdr>
                    <w:top w:val="none" w:sz="0" w:space="0" w:color="auto"/>
                    <w:left w:val="none" w:sz="0" w:space="0" w:color="auto"/>
                    <w:bottom w:val="none" w:sz="0" w:space="0" w:color="auto"/>
                    <w:right w:val="none" w:sz="0" w:space="0" w:color="auto"/>
                  </w:divBdr>
                </w:div>
                <w:div w:id="1848904661">
                  <w:marLeft w:val="0"/>
                  <w:marRight w:val="0"/>
                  <w:marTop w:val="0"/>
                  <w:marBottom w:val="0"/>
                  <w:divBdr>
                    <w:top w:val="none" w:sz="0" w:space="0" w:color="auto"/>
                    <w:left w:val="none" w:sz="0" w:space="0" w:color="auto"/>
                    <w:bottom w:val="none" w:sz="0" w:space="0" w:color="auto"/>
                    <w:right w:val="none" w:sz="0" w:space="0" w:color="auto"/>
                  </w:divBdr>
                </w:div>
                <w:div w:id="210294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8922">
          <w:marLeft w:val="0"/>
          <w:marRight w:val="0"/>
          <w:marTop w:val="15"/>
          <w:marBottom w:val="0"/>
          <w:divBdr>
            <w:top w:val="single" w:sz="48" w:space="0" w:color="auto"/>
            <w:left w:val="single" w:sz="48" w:space="0" w:color="auto"/>
            <w:bottom w:val="single" w:sz="48" w:space="0" w:color="auto"/>
            <w:right w:val="single" w:sz="48" w:space="0" w:color="auto"/>
          </w:divBdr>
          <w:divsChild>
            <w:div w:id="708408784">
              <w:marLeft w:val="0"/>
              <w:marRight w:val="0"/>
              <w:marTop w:val="0"/>
              <w:marBottom w:val="0"/>
              <w:divBdr>
                <w:top w:val="none" w:sz="0" w:space="0" w:color="auto"/>
                <w:left w:val="none" w:sz="0" w:space="0" w:color="auto"/>
                <w:bottom w:val="none" w:sz="0" w:space="0" w:color="auto"/>
                <w:right w:val="none" w:sz="0" w:space="0" w:color="auto"/>
              </w:divBdr>
              <w:divsChild>
                <w:div w:id="1696226811">
                  <w:marLeft w:val="0"/>
                  <w:marRight w:val="0"/>
                  <w:marTop w:val="0"/>
                  <w:marBottom w:val="0"/>
                  <w:divBdr>
                    <w:top w:val="none" w:sz="0" w:space="0" w:color="auto"/>
                    <w:left w:val="none" w:sz="0" w:space="0" w:color="auto"/>
                    <w:bottom w:val="none" w:sz="0" w:space="0" w:color="auto"/>
                    <w:right w:val="none" w:sz="0" w:space="0" w:color="auto"/>
                  </w:divBdr>
                </w:div>
                <w:div w:id="40637589">
                  <w:marLeft w:val="0"/>
                  <w:marRight w:val="0"/>
                  <w:marTop w:val="0"/>
                  <w:marBottom w:val="0"/>
                  <w:divBdr>
                    <w:top w:val="none" w:sz="0" w:space="0" w:color="auto"/>
                    <w:left w:val="none" w:sz="0" w:space="0" w:color="auto"/>
                    <w:bottom w:val="none" w:sz="0" w:space="0" w:color="auto"/>
                    <w:right w:val="none" w:sz="0" w:space="0" w:color="auto"/>
                  </w:divBdr>
                </w:div>
                <w:div w:id="409540464">
                  <w:marLeft w:val="0"/>
                  <w:marRight w:val="0"/>
                  <w:marTop w:val="0"/>
                  <w:marBottom w:val="0"/>
                  <w:divBdr>
                    <w:top w:val="none" w:sz="0" w:space="0" w:color="auto"/>
                    <w:left w:val="none" w:sz="0" w:space="0" w:color="auto"/>
                    <w:bottom w:val="none" w:sz="0" w:space="0" w:color="auto"/>
                    <w:right w:val="none" w:sz="0" w:space="0" w:color="auto"/>
                  </w:divBdr>
                </w:div>
                <w:div w:id="700469897">
                  <w:marLeft w:val="0"/>
                  <w:marRight w:val="0"/>
                  <w:marTop w:val="0"/>
                  <w:marBottom w:val="0"/>
                  <w:divBdr>
                    <w:top w:val="none" w:sz="0" w:space="0" w:color="auto"/>
                    <w:left w:val="none" w:sz="0" w:space="0" w:color="auto"/>
                    <w:bottom w:val="none" w:sz="0" w:space="0" w:color="auto"/>
                    <w:right w:val="none" w:sz="0" w:space="0" w:color="auto"/>
                  </w:divBdr>
                </w:div>
                <w:div w:id="40400195">
                  <w:marLeft w:val="0"/>
                  <w:marRight w:val="0"/>
                  <w:marTop w:val="0"/>
                  <w:marBottom w:val="0"/>
                  <w:divBdr>
                    <w:top w:val="none" w:sz="0" w:space="0" w:color="auto"/>
                    <w:left w:val="none" w:sz="0" w:space="0" w:color="auto"/>
                    <w:bottom w:val="none" w:sz="0" w:space="0" w:color="auto"/>
                    <w:right w:val="none" w:sz="0" w:space="0" w:color="auto"/>
                  </w:divBdr>
                </w:div>
                <w:div w:id="1154683538">
                  <w:marLeft w:val="0"/>
                  <w:marRight w:val="0"/>
                  <w:marTop w:val="0"/>
                  <w:marBottom w:val="0"/>
                  <w:divBdr>
                    <w:top w:val="none" w:sz="0" w:space="0" w:color="auto"/>
                    <w:left w:val="none" w:sz="0" w:space="0" w:color="auto"/>
                    <w:bottom w:val="none" w:sz="0" w:space="0" w:color="auto"/>
                    <w:right w:val="none" w:sz="0" w:space="0" w:color="auto"/>
                  </w:divBdr>
                </w:div>
                <w:div w:id="143671280">
                  <w:marLeft w:val="0"/>
                  <w:marRight w:val="0"/>
                  <w:marTop w:val="0"/>
                  <w:marBottom w:val="0"/>
                  <w:divBdr>
                    <w:top w:val="none" w:sz="0" w:space="0" w:color="auto"/>
                    <w:left w:val="none" w:sz="0" w:space="0" w:color="auto"/>
                    <w:bottom w:val="none" w:sz="0" w:space="0" w:color="auto"/>
                    <w:right w:val="none" w:sz="0" w:space="0" w:color="auto"/>
                  </w:divBdr>
                </w:div>
                <w:div w:id="49423804">
                  <w:marLeft w:val="0"/>
                  <w:marRight w:val="0"/>
                  <w:marTop w:val="0"/>
                  <w:marBottom w:val="0"/>
                  <w:divBdr>
                    <w:top w:val="none" w:sz="0" w:space="0" w:color="auto"/>
                    <w:left w:val="none" w:sz="0" w:space="0" w:color="auto"/>
                    <w:bottom w:val="none" w:sz="0" w:space="0" w:color="auto"/>
                    <w:right w:val="none" w:sz="0" w:space="0" w:color="auto"/>
                  </w:divBdr>
                </w:div>
                <w:div w:id="556547710">
                  <w:marLeft w:val="0"/>
                  <w:marRight w:val="0"/>
                  <w:marTop w:val="0"/>
                  <w:marBottom w:val="0"/>
                  <w:divBdr>
                    <w:top w:val="none" w:sz="0" w:space="0" w:color="auto"/>
                    <w:left w:val="none" w:sz="0" w:space="0" w:color="auto"/>
                    <w:bottom w:val="none" w:sz="0" w:space="0" w:color="auto"/>
                    <w:right w:val="none" w:sz="0" w:space="0" w:color="auto"/>
                  </w:divBdr>
                </w:div>
                <w:div w:id="522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8E73862306448FE9A188A1EABCA56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2820</Nr_x002e__x0020_akti>
    <Data_x0020_e_x0020_Krijimit xmlns="0e656187-b300-4fb0-8bf4-3a50f872073c">2024-07-03T14:12:53Z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2024-07-01T00:00:00Z</Date_x0020_protokolli>
    <Titulli xmlns="0e656187-b300-4fb0-8bf4-3a50f872073c">Për refuzimin e ankimit administrativ të subjektit “FINAL” shpk.</Titulli>
    <Modifikuesi xmlns="0e656187-b300-4fb0-8bf4-3a50f872073c">Fjora.Cahani</Modifikuesi>
    <Nr_x002e__x0020_prot_x0020_QBZ xmlns="0e656187-b300-4fb0-8bf4-3a50f872073c">1188/2</Nr_x002e__x0020_prot_x0020_QBZ>
    <Data_x0020_e_x0020_Modifikimit xmlns="0e656187-b300-4fb0-8bf4-3a50f872073c">2024-07-04T09:18:28Z</Data_x0020_e_x0020_Modifikimit>
    <Dekretuar xmlns="0e656187-b300-4fb0-8bf4-3a50f872073c">false</Dekretuar>
    <Data xmlns="0e656187-b300-4fb0-8bf4-3a50f872073c">2024-06-27T00:00:00Z</Data>
    <Nr_x002e__x0020_protokolli_x0020_i_x0020_aktit xmlns="0e656187-b300-4fb0-8bf4-3a50f872073c">2820/1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8E73862306448FE9A188A1EABCA56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EF7A95-6FEE-45E9-872E-76569613E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EA2DFB5-1D38-4453-85E6-4DC95014D97A}">
  <ds:schemaRefs>
    <ds:schemaRef ds:uri="0e656187-b300-4fb0-8bf4-3a50f872073c"/>
    <ds:schemaRef ds:uri="http://www.w3.org/XML/1998/namespace"/>
    <ds:schemaRef ds:uri="http://purl.org/dc/elements/1.1/"/>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710D1685-E39E-4BA7-BABB-D25779FF10C4}">
  <ds:schemaRefs>
    <ds:schemaRef ds:uri="http://schemas.microsoft.com/sharepoint/v3/contenttype/forms"/>
  </ds:schemaRefs>
</ds:datastoreItem>
</file>

<file path=customXml/itemProps4.xml><?xml version="1.0" encoding="utf-8"?>
<ds:datastoreItem xmlns:ds="http://schemas.openxmlformats.org/officeDocument/2006/customXml" ds:itemID="{CEEA46CC-A7F0-470D-A1E2-E49330FC3900}">
  <ds:schemaRefs>
    <ds:schemaRef ds:uri="http://schemas.microsoft.com/sharepoint/v3/contenttype/forms"/>
  </ds:schemaRefs>
</ds:datastoreItem>
</file>

<file path=customXml/itemProps5.xml><?xml version="1.0" encoding="utf-8"?>
<ds:datastoreItem xmlns:ds="http://schemas.openxmlformats.org/officeDocument/2006/customXml" ds:itemID="{537A6459-DDF7-45D1-B645-AAD660754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Për refuzimin e ankimit administrativ të subjektit “FINAL” shpk.</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refuzimin e ankimit administrativ të subjektit “FINAL” shpk.</dc:title>
  <dc:creator>Joana Alla</dc:creator>
  <cp:lastModifiedBy>Amarilda Muja</cp:lastModifiedBy>
  <cp:revision>13</cp:revision>
  <dcterms:created xsi:type="dcterms:W3CDTF">2024-07-03T13:13:00Z</dcterms:created>
  <dcterms:modified xsi:type="dcterms:W3CDTF">2024-07-04T09:27:00Z</dcterms:modified>
</cp:coreProperties>
</file>