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EEC6D8" w14:textId="77777777" w:rsidR="00C23112" w:rsidRPr="00A64C96" w:rsidRDefault="00C23112" w:rsidP="00763687">
      <w:pPr>
        <w:spacing w:after="0" w:line="240" w:lineRule="auto"/>
        <w:ind w:firstLine="284"/>
        <w:jc w:val="center"/>
        <w:rPr>
          <w:rFonts w:ascii="Garamond" w:hAnsi="Garamond"/>
          <w:sz w:val="24"/>
          <w:szCs w:val="24"/>
        </w:rPr>
      </w:pPr>
      <w:r w:rsidRPr="00A64C96">
        <w:rPr>
          <w:rFonts w:ascii="Garamond" w:hAnsi="Garamond"/>
          <w:b/>
          <w:bCs/>
          <w:sz w:val="24"/>
          <w:szCs w:val="24"/>
        </w:rPr>
        <w:t>VENDIM</w:t>
      </w:r>
    </w:p>
    <w:p w14:paraId="2A4F42DB" w14:textId="77777777" w:rsidR="00C23112" w:rsidRPr="00A64C96" w:rsidRDefault="00C23112" w:rsidP="00763687">
      <w:pPr>
        <w:spacing w:after="0" w:line="240" w:lineRule="auto"/>
        <w:ind w:firstLine="284"/>
        <w:jc w:val="center"/>
        <w:rPr>
          <w:rFonts w:ascii="Garamond" w:hAnsi="Garamond"/>
          <w:sz w:val="24"/>
          <w:szCs w:val="24"/>
        </w:rPr>
      </w:pPr>
      <w:r w:rsidRPr="00A64C96">
        <w:rPr>
          <w:rFonts w:ascii="Garamond" w:hAnsi="Garamond"/>
          <w:b/>
          <w:bCs/>
          <w:sz w:val="24"/>
          <w:szCs w:val="24"/>
        </w:rPr>
        <w:t>Nr. 47, datë 2.10.2024</w:t>
      </w:r>
    </w:p>
    <w:p w14:paraId="3DC4A519" w14:textId="77777777" w:rsidR="00C23112" w:rsidRPr="00A64C96" w:rsidRDefault="00C23112" w:rsidP="00763687">
      <w:pPr>
        <w:spacing w:after="0" w:line="240" w:lineRule="auto"/>
        <w:ind w:firstLine="284"/>
        <w:jc w:val="center"/>
        <w:rPr>
          <w:rFonts w:ascii="Garamond" w:hAnsi="Garamond"/>
          <w:sz w:val="24"/>
          <w:szCs w:val="24"/>
        </w:rPr>
      </w:pPr>
    </w:p>
    <w:p w14:paraId="3BFE8C3F" w14:textId="77777777" w:rsidR="00C23112" w:rsidRPr="00A64C96" w:rsidRDefault="00311A23" w:rsidP="00763687">
      <w:pPr>
        <w:spacing w:after="0" w:line="240" w:lineRule="auto"/>
        <w:ind w:firstLine="284"/>
        <w:jc w:val="center"/>
        <w:rPr>
          <w:rFonts w:ascii="Garamond" w:hAnsi="Garamond"/>
          <w:sz w:val="24"/>
          <w:szCs w:val="24"/>
        </w:rPr>
      </w:pPr>
      <w:r w:rsidRPr="00A64C96">
        <w:rPr>
          <w:rFonts w:ascii="Garamond" w:hAnsi="Garamond"/>
          <w:b/>
          <w:bCs/>
          <w:sz w:val="24"/>
          <w:szCs w:val="24"/>
        </w:rPr>
        <w:t>PËR</w:t>
      </w:r>
      <w:r w:rsidRPr="00A64C96">
        <w:rPr>
          <w:rFonts w:ascii="Garamond" w:hAnsi="Garamond"/>
          <w:sz w:val="24"/>
          <w:szCs w:val="24"/>
        </w:rPr>
        <w:t xml:space="preserve"> </w:t>
      </w:r>
      <w:r w:rsidRPr="00A64C96">
        <w:rPr>
          <w:rFonts w:ascii="Garamond" w:hAnsi="Garamond"/>
          <w:b/>
          <w:bCs/>
          <w:sz w:val="24"/>
          <w:szCs w:val="24"/>
        </w:rPr>
        <w:t>DISA NDRYSHIME NË RREGULLOREN</w:t>
      </w:r>
      <w:r w:rsidRPr="00A64C96">
        <w:rPr>
          <w:rFonts w:ascii="Garamond" w:hAnsi="Garamond"/>
          <w:sz w:val="24"/>
          <w:szCs w:val="24"/>
        </w:rPr>
        <w:t xml:space="preserve"> </w:t>
      </w:r>
      <w:r w:rsidRPr="00A64C96">
        <w:rPr>
          <w:rFonts w:ascii="Garamond" w:hAnsi="Garamond"/>
          <w:b/>
          <w:bCs/>
          <w:sz w:val="24"/>
          <w:szCs w:val="24"/>
        </w:rPr>
        <w:t>“PËR ADMINISTRIMIN E RREZIKUT NË VEPRIMTARINË E SUBJEKTEVE FINANCIARE JOBANKA”</w:t>
      </w:r>
    </w:p>
    <w:p w14:paraId="2F571066" w14:textId="77777777" w:rsidR="00C23112" w:rsidRPr="00A64C96" w:rsidRDefault="00311A23" w:rsidP="00763687">
      <w:pPr>
        <w:spacing w:after="0" w:line="240" w:lineRule="auto"/>
        <w:ind w:firstLine="284"/>
        <w:rPr>
          <w:rFonts w:ascii="Garamond" w:hAnsi="Garamond"/>
          <w:sz w:val="24"/>
          <w:szCs w:val="24"/>
        </w:rPr>
      </w:pPr>
      <w:r w:rsidRPr="00A64C96">
        <w:rPr>
          <w:rFonts w:ascii="Garamond" w:hAnsi="Garamond"/>
          <w:sz w:val="24"/>
          <w:szCs w:val="24"/>
        </w:rPr>
        <w:t> </w:t>
      </w:r>
    </w:p>
    <w:p w14:paraId="3A1CE5C8" w14:textId="32D274FC" w:rsidR="00C23112" w:rsidRPr="00A64C96" w:rsidRDefault="00C23112" w:rsidP="00A64C96">
      <w:pPr>
        <w:spacing w:after="0" w:line="240" w:lineRule="auto"/>
        <w:ind w:firstLine="284"/>
        <w:jc w:val="both"/>
        <w:rPr>
          <w:rFonts w:ascii="Garamond" w:hAnsi="Garamond"/>
          <w:sz w:val="24"/>
          <w:szCs w:val="24"/>
        </w:rPr>
      </w:pPr>
      <w:r w:rsidRPr="00A64C96">
        <w:rPr>
          <w:rFonts w:ascii="Garamond" w:hAnsi="Garamond"/>
          <w:sz w:val="24"/>
          <w:szCs w:val="24"/>
        </w:rPr>
        <w:t>Në bazë dhe për zbatim të nenit 1, pika 4, shkronja “b”, nenit 12, shkronja “a”, dhe nenit 43, shkronja “c”, të ligjit nr.</w:t>
      </w:r>
      <w:r w:rsidR="00A64C96">
        <w:rPr>
          <w:rFonts w:ascii="Garamond" w:hAnsi="Garamond"/>
          <w:sz w:val="24"/>
          <w:szCs w:val="24"/>
        </w:rPr>
        <w:t xml:space="preserve"> </w:t>
      </w:r>
      <w:r w:rsidRPr="00A64C96">
        <w:rPr>
          <w:rFonts w:ascii="Garamond" w:hAnsi="Garamond"/>
          <w:sz w:val="24"/>
          <w:szCs w:val="24"/>
        </w:rPr>
        <w:t>8269, datë 23.12.1997, “Për Bankën e Shqipërisë”, i ndryshuar; dhe nenit 126 të ligjit nr. 9662, datë 18.12.2006, “Për bankat në Republikën e Shqipërisë”, i ndryshuar; Këshilli Mbikëqyrës i Bankës së Shqipërisë, me propozimin e Departamentit të Mbikëqyrjes,</w:t>
      </w:r>
    </w:p>
    <w:p w14:paraId="01A80380" w14:textId="77777777" w:rsidR="00C23112" w:rsidRPr="00A64C96" w:rsidRDefault="00C23112" w:rsidP="00763687">
      <w:pPr>
        <w:spacing w:after="0" w:line="240" w:lineRule="auto"/>
        <w:ind w:firstLine="284"/>
        <w:rPr>
          <w:rFonts w:ascii="Garamond" w:hAnsi="Garamond"/>
          <w:sz w:val="24"/>
          <w:szCs w:val="24"/>
        </w:rPr>
      </w:pPr>
      <w:r w:rsidRPr="00A64C96">
        <w:rPr>
          <w:rFonts w:ascii="Garamond" w:hAnsi="Garamond"/>
          <w:sz w:val="24"/>
          <w:szCs w:val="24"/>
        </w:rPr>
        <w:t> </w:t>
      </w:r>
    </w:p>
    <w:p w14:paraId="259AF0CF" w14:textId="77777777" w:rsidR="00C23112" w:rsidRPr="00A64C96" w:rsidRDefault="00C23112" w:rsidP="00763687">
      <w:pPr>
        <w:spacing w:after="0" w:line="240" w:lineRule="auto"/>
        <w:ind w:firstLine="284"/>
        <w:jc w:val="center"/>
        <w:rPr>
          <w:rFonts w:ascii="Garamond" w:hAnsi="Garamond"/>
          <w:sz w:val="24"/>
          <w:szCs w:val="24"/>
        </w:rPr>
      </w:pPr>
      <w:r w:rsidRPr="00A64C96">
        <w:rPr>
          <w:rFonts w:ascii="Garamond" w:hAnsi="Garamond"/>
          <w:sz w:val="24"/>
          <w:szCs w:val="24"/>
        </w:rPr>
        <w:t>VENDOSI:</w:t>
      </w:r>
    </w:p>
    <w:p w14:paraId="44150E97" w14:textId="77777777" w:rsidR="00C23112" w:rsidRPr="00A64C96" w:rsidRDefault="00C23112" w:rsidP="00763687">
      <w:pPr>
        <w:spacing w:after="0" w:line="240" w:lineRule="auto"/>
        <w:ind w:firstLine="284"/>
        <w:rPr>
          <w:rFonts w:ascii="Garamond" w:hAnsi="Garamond"/>
          <w:sz w:val="24"/>
          <w:szCs w:val="24"/>
        </w:rPr>
      </w:pPr>
      <w:r w:rsidRPr="00A64C96">
        <w:rPr>
          <w:rFonts w:ascii="Garamond" w:hAnsi="Garamond"/>
          <w:sz w:val="24"/>
          <w:szCs w:val="24"/>
        </w:rPr>
        <w:t> </w:t>
      </w:r>
    </w:p>
    <w:p w14:paraId="76DD9094" w14:textId="77777777" w:rsidR="00C23112" w:rsidRPr="00A64C96" w:rsidRDefault="00C23112" w:rsidP="00A64C96">
      <w:pPr>
        <w:spacing w:after="0" w:line="240" w:lineRule="auto"/>
        <w:ind w:firstLine="288"/>
        <w:jc w:val="both"/>
        <w:rPr>
          <w:rFonts w:ascii="Garamond" w:hAnsi="Garamond"/>
          <w:sz w:val="24"/>
          <w:szCs w:val="24"/>
        </w:rPr>
      </w:pPr>
      <w:r w:rsidRPr="00A64C96">
        <w:rPr>
          <w:rFonts w:ascii="Garamond" w:hAnsi="Garamond"/>
          <w:sz w:val="24"/>
          <w:szCs w:val="24"/>
        </w:rPr>
        <w:t>1. Në rregulloren “Për administrimin e rrezikut në veprimtarinë e subjekteve financiare jobanka”,</w:t>
      </w:r>
      <w:r w:rsidR="00A64C96">
        <w:rPr>
          <w:rFonts w:ascii="Garamond" w:hAnsi="Garamond"/>
          <w:sz w:val="24"/>
          <w:szCs w:val="24"/>
        </w:rPr>
        <w:t xml:space="preserve"> </w:t>
      </w:r>
      <w:r w:rsidRPr="00A64C96">
        <w:rPr>
          <w:rFonts w:ascii="Garamond" w:hAnsi="Garamond"/>
          <w:sz w:val="24"/>
          <w:szCs w:val="24"/>
        </w:rPr>
        <w:t>miratuar me vendimin e Këshillit Mbikëqyrës nr. 2, datë 17.1.2013, e ndryshuar, të bëhen ndryshimet e mëposhtme:</w:t>
      </w:r>
    </w:p>
    <w:p w14:paraId="2D007E7E" w14:textId="77777777" w:rsidR="00C23112" w:rsidRPr="00A64C96" w:rsidRDefault="00C23112" w:rsidP="00A64C96">
      <w:pPr>
        <w:spacing w:after="0" w:line="240" w:lineRule="auto"/>
        <w:ind w:firstLine="288"/>
        <w:jc w:val="both"/>
        <w:rPr>
          <w:rFonts w:ascii="Garamond" w:hAnsi="Garamond"/>
          <w:sz w:val="24"/>
          <w:szCs w:val="24"/>
        </w:rPr>
      </w:pPr>
      <w:r w:rsidRPr="00A64C96">
        <w:rPr>
          <w:rFonts w:ascii="Garamond" w:hAnsi="Garamond"/>
          <w:sz w:val="24"/>
          <w:szCs w:val="24"/>
        </w:rPr>
        <w:t>a)</w:t>
      </w:r>
      <w:r w:rsidR="00311A23" w:rsidRPr="00A64C96">
        <w:rPr>
          <w:rFonts w:ascii="Garamond" w:hAnsi="Garamond"/>
          <w:sz w:val="24"/>
          <w:szCs w:val="24"/>
        </w:rPr>
        <w:t xml:space="preserve"> </w:t>
      </w:r>
      <w:r w:rsidRPr="00A64C96">
        <w:rPr>
          <w:rFonts w:ascii="Garamond" w:hAnsi="Garamond"/>
          <w:sz w:val="24"/>
          <w:szCs w:val="24"/>
        </w:rPr>
        <w:t>Në nenin 4, pika 2, pas shkronjës “f”, shtohen shkronjat “g” dhe “h” me përmbajtjen e mëposhtme:</w:t>
      </w:r>
    </w:p>
    <w:p w14:paraId="07018404" w14:textId="5197D419" w:rsidR="00C23112" w:rsidRPr="00A64C96" w:rsidRDefault="00311A23" w:rsidP="00A64C96">
      <w:pPr>
        <w:spacing w:after="0" w:line="240" w:lineRule="auto"/>
        <w:ind w:firstLine="288"/>
        <w:jc w:val="both"/>
        <w:rPr>
          <w:rFonts w:ascii="Garamond" w:hAnsi="Garamond"/>
          <w:sz w:val="24"/>
          <w:szCs w:val="24"/>
        </w:rPr>
      </w:pPr>
      <w:r w:rsidRPr="00A64C96">
        <w:rPr>
          <w:rFonts w:ascii="Garamond" w:hAnsi="Garamond"/>
          <w:i/>
          <w:iCs/>
          <w:sz w:val="24"/>
          <w:szCs w:val="24"/>
        </w:rPr>
        <w:t xml:space="preserve"> </w:t>
      </w:r>
      <w:r w:rsidR="00C23112" w:rsidRPr="00A64C96">
        <w:rPr>
          <w:rFonts w:ascii="Garamond" w:hAnsi="Garamond"/>
          <w:i/>
          <w:iCs/>
          <w:sz w:val="24"/>
          <w:szCs w:val="24"/>
        </w:rPr>
        <w:t>“g) “konsumator” - do të ketë të njëjtin kuptim të përcaktuar në pikën 6</w:t>
      </w:r>
      <w:r w:rsidR="00CD1368">
        <w:rPr>
          <w:rFonts w:ascii="Garamond" w:hAnsi="Garamond"/>
          <w:i/>
          <w:iCs/>
          <w:sz w:val="24"/>
          <w:szCs w:val="24"/>
        </w:rPr>
        <w:t>,</w:t>
      </w:r>
      <w:r w:rsidR="00C23112" w:rsidRPr="00A64C96">
        <w:rPr>
          <w:rFonts w:ascii="Garamond" w:hAnsi="Garamond"/>
          <w:i/>
          <w:iCs/>
          <w:sz w:val="24"/>
          <w:szCs w:val="24"/>
        </w:rPr>
        <w:t xml:space="preserve"> të nenit 3</w:t>
      </w:r>
      <w:r w:rsidR="00CD1368">
        <w:rPr>
          <w:rFonts w:ascii="Garamond" w:hAnsi="Garamond"/>
          <w:i/>
          <w:iCs/>
          <w:sz w:val="24"/>
          <w:szCs w:val="24"/>
        </w:rPr>
        <w:t>,</w:t>
      </w:r>
      <w:r w:rsidR="00C23112" w:rsidRPr="00A64C96">
        <w:rPr>
          <w:rFonts w:ascii="Garamond" w:hAnsi="Garamond"/>
          <w:i/>
          <w:iCs/>
          <w:sz w:val="24"/>
          <w:szCs w:val="24"/>
        </w:rPr>
        <w:t xml:space="preserve"> të ligjit nr. 9902, datë 17.4.2008, “Për mbrojtjen e konsumatorëve”, i ndryshuar; </w:t>
      </w:r>
    </w:p>
    <w:p w14:paraId="60323191" w14:textId="48B0B3ED" w:rsidR="00C23112" w:rsidRPr="00A64C96" w:rsidRDefault="00C23112" w:rsidP="00A64C96">
      <w:pPr>
        <w:spacing w:after="0" w:line="240" w:lineRule="auto"/>
        <w:ind w:firstLine="288"/>
        <w:jc w:val="both"/>
        <w:rPr>
          <w:rFonts w:ascii="Garamond" w:hAnsi="Garamond"/>
          <w:sz w:val="24"/>
          <w:szCs w:val="24"/>
        </w:rPr>
      </w:pPr>
      <w:r w:rsidRPr="00A64C96">
        <w:rPr>
          <w:rFonts w:ascii="Garamond" w:hAnsi="Garamond"/>
          <w:i/>
          <w:iCs/>
          <w:sz w:val="24"/>
          <w:szCs w:val="24"/>
        </w:rPr>
        <w:t>h) “kontratë e kredisë konsumatore” - do të ketë të njëjtin kuptim të përcaktuar në nenin 44</w:t>
      </w:r>
      <w:r w:rsidR="00CD1368">
        <w:rPr>
          <w:rFonts w:ascii="Garamond" w:hAnsi="Garamond"/>
          <w:i/>
          <w:iCs/>
          <w:sz w:val="24"/>
          <w:szCs w:val="24"/>
        </w:rPr>
        <w:t>,</w:t>
      </w:r>
      <w:r w:rsidRPr="00A64C96">
        <w:rPr>
          <w:rFonts w:ascii="Garamond" w:hAnsi="Garamond"/>
          <w:i/>
          <w:iCs/>
          <w:sz w:val="24"/>
          <w:szCs w:val="24"/>
        </w:rPr>
        <w:t xml:space="preserve"> të ligjit nr. 9902, datë 17.4.2008, “Për mbrojtjen e konsumatorëve”, i ndryshuar.”;</w:t>
      </w:r>
    </w:p>
    <w:p w14:paraId="00A476A6" w14:textId="77777777" w:rsidR="00C23112" w:rsidRPr="00A64C96" w:rsidRDefault="00C23112" w:rsidP="00A64C96">
      <w:pPr>
        <w:spacing w:after="0" w:line="240" w:lineRule="auto"/>
        <w:ind w:firstLine="288"/>
        <w:jc w:val="both"/>
        <w:rPr>
          <w:rFonts w:ascii="Garamond" w:hAnsi="Garamond"/>
          <w:sz w:val="24"/>
          <w:szCs w:val="24"/>
        </w:rPr>
      </w:pPr>
      <w:r w:rsidRPr="00A64C96">
        <w:rPr>
          <w:rFonts w:ascii="Garamond" w:hAnsi="Garamond"/>
          <w:sz w:val="24"/>
          <w:szCs w:val="24"/>
        </w:rPr>
        <w:t>b) Pas nenit 13, shtohen nenet 13/1, 13/2, 13/3 dhe 13/4 me përmbajtjen e mëposhtme:</w:t>
      </w:r>
    </w:p>
    <w:p w14:paraId="40687228" w14:textId="77777777" w:rsidR="00311A23" w:rsidRPr="00A64C96" w:rsidRDefault="00311A23" w:rsidP="00763687">
      <w:pPr>
        <w:spacing w:after="0" w:line="240" w:lineRule="auto"/>
        <w:ind w:firstLine="284"/>
        <w:rPr>
          <w:rFonts w:ascii="Garamond" w:hAnsi="Garamond"/>
          <w:i/>
          <w:iCs/>
          <w:sz w:val="24"/>
          <w:szCs w:val="24"/>
        </w:rPr>
      </w:pPr>
    </w:p>
    <w:p w14:paraId="01F036B0" w14:textId="77777777" w:rsidR="00C23112" w:rsidRPr="00A64C96" w:rsidRDefault="00C23112" w:rsidP="00763687">
      <w:pPr>
        <w:spacing w:after="0" w:line="240" w:lineRule="auto"/>
        <w:ind w:firstLine="284"/>
        <w:jc w:val="center"/>
        <w:rPr>
          <w:rFonts w:ascii="Garamond" w:hAnsi="Garamond"/>
          <w:sz w:val="24"/>
          <w:szCs w:val="24"/>
        </w:rPr>
      </w:pPr>
      <w:r w:rsidRPr="00A64C96">
        <w:rPr>
          <w:rFonts w:ascii="Garamond" w:hAnsi="Garamond"/>
          <w:i/>
          <w:iCs/>
          <w:sz w:val="24"/>
          <w:szCs w:val="24"/>
        </w:rPr>
        <w:t>“</w:t>
      </w:r>
      <w:r w:rsidRPr="00A64C96">
        <w:rPr>
          <w:rFonts w:ascii="Garamond" w:hAnsi="Garamond"/>
          <w:bCs/>
          <w:i/>
          <w:iCs/>
          <w:sz w:val="24"/>
          <w:szCs w:val="24"/>
        </w:rPr>
        <w:t>Neni 13/1</w:t>
      </w:r>
    </w:p>
    <w:p w14:paraId="776EA7D2" w14:textId="77777777" w:rsidR="00C23112" w:rsidRPr="00A64C96" w:rsidRDefault="00C23112" w:rsidP="00763687">
      <w:pPr>
        <w:spacing w:after="0" w:line="240" w:lineRule="auto"/>
        <w:ind w:firstLine="284"/>
        <w:jc w:val="center"/>
        <w:rPr>
          <w:rFonts w:ascii="Garamond" w:hAnsi="Garamond"/>
          <w:sz w:val="24"/>
          <w:szCs w:val="24"/>
        </w:rPr>
      </w:pPr>
      <w:r w:rsidRPr="00A64C96">
        <w:rPr>
          <w:rFonts w:ascii="Garamond" w:hAnsi="Garamond"/>
          <w:b/>
          <w:bCs/>
          <w:i/>
          <w:iCs/>
          <w:sz w:val="24"/>
          <w:szCs w:val="24"/>
        </w:rPr>
        <w:t>Kërkesa të përgjithshme mbi kredidhënien ndaj kredimarrësve konsumatorë në kontratat e kredisë konsumatore</w:t>
      </w:r>
    </w:p>
    <w:p w14:paraId="6B2911BC" w14:textId="77777777" w:rsidR="00C23112" w:rsidRPr="00A64C96" w:rsidRDefault="00C23112" w:rsidP="00763687">
      <w:pPr>
        <w:spacing w:after="0" w:line="240" w:lineRule="auto"/>
        <w:ind w:firstLine="284"/>
        <w:jc w:val="center"/>
        <w:rPr>
          <w:rFonts w:ascii="Garamond" w:hAnsi="Garamond"/>
          <w:sz w:val="24"/>
          <w:szCs w:val="24"/>
        </w:rPr>
      </w:pPr>
    </w:p>
    <w:p w14:paraId="219A402D" w14:textId="77777777" w:rsidR="00C23112" w:rsidRPr="00A64C96" w:rsidRDefault="00C23112" w:rsidP="00CD1368">
      <w:pPr>
        <w:spacing w:after="0" w:line="240" w:lineRule="auto"/>
        <w:ind w:firstLine="288"/>
        <w:jc w:val="both"/>
        <w:rPr>
          <w:rFonts w:ascii="Garamond" w:hAnsi="Garamond"/>
          <w:sz w:val="24"/>
          <w:szCs w:val="24"/>
        </w:rPr>
      </w:pPr>
      <w:r w:rsidRPr="00A64C96">
        <w:rPr>
          <w:rFonts w:ascii="Garamond" w:hAnsi="Garamond"/>
          <w:i/>
          <w:iCs/>
          <w:sz w:val="24"/>
          <w:szCs w:val="24"/>
        </w:rPr>
        <w:t xml:space="preserve">1. Subjekti, përpara se të lidhë një kontratë kredie dhe gjatë procesit të monitorimit të kredisë përgjatë kohëzgjatjes së kredisë, vlerëson aftësinë paguese dhe profilin e rrezikut të kredimarrësit, bazuar në të dhëna të mjaftueshme, të sakta dhe të përditësuara.  </w:t>
      </w:r>
    </w:p>
    <w:p w14:paraId="359CC0F6" w14:textId="77777777" w:rsidR="00C23112" w:rsidRPr="00A64C96" w:rsidRDefault="00C23112" w:rsidP="00CD1368">
      <w:pPr>
        <w:spacing w:after="0" w:line="240" w:lineRule="auto"/>
        <w:ind w:firstLine="288"/>
        <w:jc w:val="both"/>
        <w:rPr>
          <w:rFonts w:ascii="Garamond" w:hAnsi="Garamond"/>
          <w:sz w:val="24"/>
          <w:szCs w:val="24"/>
        </w:rPr>
      </w:pPr>
      <w:r w:rsidRPr="00A64C96">
        <w:rPr>
          <w:rFonts w:ascii="Garamond" w:hAnsi="Garamond"/>
          <w:i/>
          <w:iCs/>
          <w:sz w:val="24"/>
          <w:szCs w:val="24"/>
        </w:rPr>
        <w:t xml:space="preserve">2. Subjekti siguron të dhëna dhe informacione të nevojshme të ofruara nga vetë kredimarrësi dhe nga burime të tjera të arsyeshme të brendshme ose të jashtme të subjektit, që mund të ndikojnë aftësinë paguese të kredimarrësit, në veçanti qëndrueshmërinë e të ardhurave, historikun e pagesave, probabilitetin e ndryshimit të të ardhurave (rritjen ose rënien), si dhe të gjitha detyrimet e tjera financiare. </w:t>
      </w:r>
    </w:p>
    <w:p w14:paraId="59A36333" w14:textId="77777777" w:rsidR="00C23112" w:rsidRPr="00A64C96" w:rsidRDefault="00C23112" w:rsidP="00CD1368">
      <w:pPr>
        <w:spacing w:after="0" w:line="240" w:lineRule="auto"/>
        <w:ind w:firstLine="288"/>
        <w:jc w:val="both"/>
        <w:rPr>
          <w:rFonts w:ascii="Garamond" w:hAnsi="Garamond"/>
          <w:sz w:val="24"/>
          <w:szCs w:val="24"/>
        </w:rPr>
      </w:pPr>
      <w:r w:rsidRPr="00A64C96">
        <w:rPr>
          <w:rFonts w:ascii="Garamond" w:hAnsi="Garamond"/>
          <w:i/>
          <w:iCs/>
          <w:sz w:val="24"/>
          <w:szCs w:val="24"/>
        </w:rPr>
        <w:t>3. Subjekti, në mbledhjen e informacionit dhe të dhënave për kredimarrësin nga palë të treta, siguron që kredimarrësi është informuar dhe ka dhënë pëlqimin e tij, përpara mbledhjes së këtij informacioni dhe të vlefshëm deri në përfundim të marrëdhënies së kredisë.</w:t>
      </w:r>
    </w:p>
    <w:p w14:paraId="6C218074" w14:textId="4324C7C4" w:rsidR="00C23112" w:rsidRPr="00A64C96" w:rsidRDefault="00C23112" w:rsidP="00CD1368">
      <w:pPr>
        <w:spacing w:after="0" w:line="240" w:lineRule="auto"/>
        <w:ind w:firstLine="288"/>
        <w:jc w:val="both"/>
        <w:rPr>
          <w:rFonts w:ascii="Garamond" w:hAnsi="Garamond"/>
          <w:sz w:val="24"/>
          <w:szCs w:val="24"/>
        </w:rPr>
      </w:pPr>
      <w:r w:rsidRPr="00A64C96">
        <w:rPr>
          <w:rFonts w:ascii="Garamond" w:hAnsi="Garamond"/>
          <w:i/>
          <w:iCs/>
          <w:sz w:val="24"/>
          <w:szCs w:val="24"/>
        </w:rPr>
        <w:t>4. Subjekti kryen verifikime të arsyeshme për informacionin</w:t>
      </w:r>
      <w:r w:rsidR="00CD1368">
        <w:rPr>
          <w:rFonts w:ascii="Garamond" w:hAnsi="Garamond"/>
          <w:i/>
          <w:iCs/>
          <w:sz w:val="24"/>
          <w:szCs w:val="24"/>
        </w:rPr>
        <w:t>,</w:t>
      </w:r>
      <w:r w:rsidRPr="00A64C96">
        <w:rPr>
          <w:rFonts w:ascii="Garamond" w:hAnsi="Garamond"/>
          <w:i/>
          <w:iCs/>
          <w:sz w:val="24"/>
          <w:szCs w:val="24"/>
        </w:rPr>
        <w:t xml:space="preserve"> në lidhje me aftësinë paguese, veçanërisht në rastet e kredimarrësve që janë të vetëpunësuar, kanë të ardhura sezonale ose të ardhura të tjera të parregullta. </w:t>
      </w:r>
    </w:p>
    <w:p w14:paraId="5C49D5AE" w14:textId="77777777" w:rsidR="00C23112" w:rsidRPr="00A64C96" w:rsidRDefault="00C23112" w:rsidP="00CD1368">
      <w:pPr>
        <w:spacing w:after="0" w:line="240" w:lineRule="auto"/>
        <w:ind w:firstLine="288"/>
        <w:jc w:val="both"/>
        <w:rPr>
          <w:rFonts w:ascii="Garamond" w:hAnsi="Garamond"/>
          <w:sz w:val="24"/>
          <w:szCs w:val="24"/>
        </w:rPr>
      </w:pPr>
      <w:r w:rsidRPr="00A64C96">
        <w:rPr>
          <w:rFonts w:ascii="Garamond" w:hAnsi="Garamond"/>
          <w:i/>
          <w:iCs/>
          <w:sz w:val="24"/>
          <w:szCs w:val="24"/>
        </w:rPr>
        <w:t>5. Subjekti siguron që aftësia paguese e kredimarrësit për të përmbushur detyrimet sipas kontratës së kredisë nuk bazohet në një rritje të konsiderueshme të pritshme të të ardhurave të kredimarrësit, përveç rasteve kur dokumentacioni ofron prova të mjaftueshme. Subjekti shmang nxitjen e vështirësive të panevojshme financiare dhe të krijimit të situatës së mbiborxhit të kredimarrësit. </w:t>
      </w:r>
    </w:p>
    <w:p w14:paraId="179751A6" w14:textId="77777777" w:rsidR="00C23112" w:rsidRPr="00A64C96" w:rsidRDefault="00C23112" w:rsidP="00CD1368">
      <w:pPr>
        <w:spacing w:after="0" w:line="240" w:lineRule="auto"/>
        <w:ind w:firstLine="288"/>
        <w:jc w:val="both"/>
        <w:rPr>
          <w:rFonts w:ascii="Garamond" w:hAnsi="Garamond"/>
          <w:sz w:val="24"/>
          <w:szCs w:val="24"/>
        </w:rPr>
      </w:pPr>
      <w:r w:rsidRPr="00A64C96">
        <w:rPr>
          <w:rFonts w:ascii="Garamond" w:hAnsi="Garamond"/>
          <w:i/>
          <w:iCs/>
          <w:sz w:val="24"/>
          <w:szCs w:val="24"/>
        </w:rPr>
        <w:t xml:space="preserve">6. Subjekti vlerëson aftësinë aktuale dhe të ardhshme të kredimarrësit për të përmbushur detyrimet sipas kontratës së kredisë, duke konsideruar edhe efektin potencial në skenarët e rritjes së normave të interesit, në rastin e kontratave me norma të ndryshueshme dhe luhatjet e pafavorshme të kursit të këmbimit.  </w:t>
      </w:r>
    </w:p>
    <w:p w14:paraId="23241430" w14:textId="2301D26A" w:rsidR="00C23112" w:rsidRPr="00A64C96" w:rsidRDefault="00C23112" w:rsidP="00CD1368">
      <w:pPr>
        <w:spacing w:after="0" w:line="240" w:lineRule="auto"/>
        <w:ind w:firstLine="288"/>
        <w:jc w:val="both"/>
        <w:rPr>
          <w:rFonts w:ascii="Garamond" w:hAnsi="Garamond"/>
          <w:sz w:val="24"/>
          <w:szCs w:val="24"/>
        </w:rPr>
      </w:pPr>
      <w:r w:rsidRPr="00A64C96">
        <w:rPr>
          <w:rFonts w:ascii="Garamond" w:hAnsi="Garamond"/>
          <w:i/>
          <w:iCs/>
          <w:sz w:val="24"/>
          <w:szCs w:val="24"/>
        </w:rPr>
        <w:lastRenderedPageBreak/>
        <w:t>7. Subjekti përcakton në procedurat e brendshme informacionin që do të përdoret për vlerësimin e aftësisë paguese të kredimarrësit, në varësi të shumës,</w:t>
      </w:r>
      <w:r w:rsidR="00CD1368">
        <w:rPr>
          <w:rFonts w:ascii="Garamond" w:hAnsi="Garamond"/>
          <w:i/>
          <w:iCs/>
          <w:sz w:val="24"/>
          <w:szCs w:val="24"/>
        </w:rPr>
        <w:t xml:space="preserve"> </w:t>
      </w:r>
      <w:r w:rsidRPr="00A64C96">
        <w:rPr>
          <w:rFonts w:ascii="Garamond" w:hAnsi="Garamond"/>
          <w:i/>
          <w:iCs/>
          <w:sz w:val="24"/>
          <w:szCs w:val="24"/>
        </w:rPr>
        <w:t>llojit të kredisë dhe burimit të të ardhurave. Informacioni përfshin të dhëna/dokumente të nevojshme dhe të përshtatshme lidhur me të paktën sa vijon:</w:t>
      </w:r>
    </w:p>
    <w:p w14:paraId="3A2748D5" w14:textId="3BCDEF4B" w:rsidR="00C23112" w:rsidRPr="00FE37DE" w:rsidRDefault="00FE37DE" w:rsidP="00CD1368">
      <w:pPr>
        <w:spacing w:after="0" w:line="240" w:lineRule="auto"/>
        <w:ind w:firstLine="288"/>
        <w:jc w:val="both"/>
        <w:rPr>
          <w:rFonts w:ascii="Garamond" w:hAnsi="Garamond"/>
          <w:sz w:val="24"/>
          <w:szCs w:val="24"/>
        </w:rPr>
      </w:pPr>
      <w:r>
        <w:rPr>
          <w:rFonts w:ascii="Garamond" w:hAnsi="Garamond"/>
          <w:i/>
          <w:iCs/>
          <w:sz w:val="24"/>
          <w:szCs w:val="24"/>
        </w:rPr>
        <w:t>a</w:t>
      </w:r>
      <w:r w:rsidR="00C23112" w:rsidRPr="00FE37DE">
        <w:rPr>
          <w:rFonts w:ascii="Garamond" w:hAnsi="Garamond"/>
          <w:i/>
          <w:iCs/>
          <w:sz w:val="24"/>
          <w:szCs w:val="24"/>
        </w:rPr>
        <w:t>) punësimin, kushtet financiare dhe qëndrueshmërinë e të ardhurave;</w:t>
      </w:r>
    </w:p>
    <w:p w14:paraId="1021F397" w14:textId="525042D7" w:rsidR="00C23112" w:rsidRPr="00FE37DE" w:rsidRDefault="00FE37DE" w:rsidP="00CD1368">
      <w:pPr>
        <w:spacing w:after="0" w:line="240" w:lineRule="auto"/>
        <w:ind w:firstLine="288"/>
        <w:jc w:val="both"/>
        <w:rPr>
          <w:rFonts w:ascii="Garamond" w:hAnsi="Garamond"/>
          <w:sz w:val="24"/>
          <w:szCs w:val="24"/>
        </w:rPr>
      </w:pPr>
      <w:r>
        <w:rPr>
          <w:rFonts w:ascii="Garamond" w:hAnsi="Garamond"/>
          <w:i/>
          <w:iCs/>
          <w:sz w:val="24"/>
          <w:szCs w:val="24"/>
        </w:rPr>
        <w:t>b</w:t>
      </w:r>
      <w:r w:rsidR="00C23112" w:rsidRPr="00FE37DE">
        <w:rPr>
          <w:rFonts w:ascii="Garamond" w:hAnsi="Garamond"/>
          <w:i/>
          <w:iCs/>
          <w:sz w:val="24"/>
          <w:szCs w:val="24"/>
        </w:rPr>
        <w:t>) burimet e ripagimit të kredisë;</w:t>
      </w:r>
    </w:p>
    <w:p w14:paraId="018AA407" w14:textId="5236BCD2" w:rsidR="00C23112" w:rsidRPr="00FE37DE" w:rsidRDefault="00FE37DE" w:rsidP="00FE37DE">
      <w:pPr>
        <w:spacing w:after="0" w:line="240" w:lineRule="auto"/>
        <w:ind w:firstLine="288"/>
        <w:jc w:val="both"/>
        <w:rPr>
          <w:rFonts w:ascii="Garamond" w:hAnsi="Garamond"/>
          <w:sz w:val="24"/>
          <w:szCs w:val="24"/>
        </w:rPr>
      </w:pPr>
      <w:r>
        <w:rPr>
          <w:rFonts w:ascii="Garamond" w:hAnsi="Garamond"/>
          <w:i/>
          <w:iCs/>
          <w:sz w:val="24"/>
          <w:szCs w:val="24"/>
        </w:rPr>
        <w:t>c)</w:t>
      </w:r>
      <w:r w:rsidR="00C23112" w:rsidRPr="00FE37DE">
        <w:rPr>
          <w:rFonts w:ascii="Garamond" w:hAnsi="Garamond"/>
          <w:i/>
          <w:iCs/>
          <w:sz w:val="24"/>
          <w:szCs w:val="24"/>
        </w:rPr>
        <w:t xml:space="preserve"> angazhimet financiare dhe shpenzimet për përmbushjen e tyre</w:t>
      </w:r>
    </w:p>
    <w:p w14:paraId="3EC34E8D" w14:textId="47932FDE" w:rsidR="00C23112" w:rsidRPr="00FE37DE" w:rsidRDefault="00FE37DE" w:rsidP="00CD1368">
      <w:pPr>
        <w:spacing w:after="0" w:line="240" w:lineRule="auto"/>
        <w:ind w:firstLine="288"/>
        <w:jc w:val="both"/>
        <w:rPr>
          <w:rFonts w:ascii="Garamond" w:hAnsi="Garamond"/>
          <w:sz w:val="24"/>
          <w:szCs w:val="24"/>
        </w:rPr>
      </w:pPr>
      <w:r>
        <w:rPr>
          <w:rFonts w:ascii="Garamond" w:hAnsi="Garamond"/>
          <w:i/>
          <w:iCs/>
          <w:sz w:val="24"/>
          <w:szCs w:val="24"/>
        </w:rPr>
        <w:t>d</w:t>
      </w:r>
      <w:r w:rsidR="00C23112" w:rsidRPr="00FE37DE">
        <w:rPr>
          <w:rFonts w:ascii="Garamond" w:hAnsi="Garamond"/>
          <w:i/>
          <w:iCs/>
          <w:sz w:val="24"/>
          <w:szCs w:val="24"/>
        </w:rPr>
        <w:t>) kolateralin (për kredidhënien e siguruar/kolateralizuar);</w:t>
      </w:r>
    </w:p>
    <w:p w14:paraId="65A93EEE" w14:textId="69C24CED" w:rsidR="00C23112" w:rsidRPr="00A64C96" w:rsidRDefault="00FE37DE" w:rsidP="00CD1368">
      <w:pPr>
        <w:spacing w:after="0" w:line="240" w:lineRule="auto"/>
        <w:ind w:firstLine="288"/>
        <w:jc w:val="both"/>
        <w:rPr>
          <w:rFonts w:ascii="Garamond" w:hAnsi="Garamond"/>
          <w:sz w:val="24"/>
          <w:szCs w:val="24"/>
        </w:rPr>
      </w:pPr>
      <w:r>
        <w:rPr>
          <w:rFonts w:ascii="Garamond" w:hAnsi="Garamond"/>
          <w:i/>
          <w:iCs/>
          <w:sz w:val="24"/>
          <w:szCs w:val="24"/>
        </w:rPr>
        <w:t>8</w:t>
      </w:r>
      <w:r w:rsidR="00C23112" w:rsidRPr="00FE37DE">
        <w:rPr>
          <w:rFonts w:ascii="Garamond" w:hAnsi="Garamond"/>
          <w:i/>
          <w:iCs/>
          <w:sz w:val="24"/>
          <w:szCs w:val="24"/>
        </w:rPr>
        <w:t>. Subjekti</w:t>
      </w:r>
      <w:r w:rsidR="00C23112" w:rsidRPr="00A64C96">
        <w:rPr>
          <w:rFonts w:ascii="Garamond" w:hAnsi="Garamond"/>
          <w:i/>
          <w:iCs/>
          <w:sz w:val="24"/>
          <w:szCs w:val="24"/>
        </w:rPr>
        <w:t xml:space="preserve">, në vlerësimin e aftësisë paguese të kredimarrësit, konsideron faktorë/elemente të përshtatshëm që ndikojnë në kapacitetin ripagues aktual dhe të ardhshëm të kredimarrësit, duke përfshirë edhe shpenzimet e jetesës së tij. </w:t>
      </w:r>
    </w:p>
    <w:p w14:paraId="28E00F3F" w14:textId="4786E8CE" w:rsidR="00C23112" w:rsidRPr="00FE37DE" w:rsidRDefault="00FE37DE" w:rsidP="00CD1368">
      <w:pPr>
        <w:spacing w:after="0" w:line="240" w:lineRule="auto"/>
        <w:ind w:firstLine="288"/>
        <w:jc w:val="both"/>
        <w:rPr>
          <w:rFonts w:ascii="Garamond" w:hAnsi="Garamond"/>
          <w:sz w:val="24"/>
          <w:szCs w:val="24"/>
        </w:rPr>
      </w:pPr>
      <w:r w:rsidRPr="00FE37DE">
        <w:rPr>
          <w:rFonts w:ascii="Garamond" w:hAnsi="Garamond"/>
          <w:i/>
          <w:iCs/>
          <w:sz w:val="24"/>
          <w:szCs w:val="24"/>
        </w:rPr>
        <w:t>9</w:t>
      </w:r>
      <w:r w:rsidR="00C23112" w:rsidRPr="00FE37DE">
        <w:rPr>
          <w:rFonts w:ascii="Garamond" w:hAnsi="Garamond"/>
          <w:i/>
          <w:iCs/>
          <w:sz w:val="24"/>
          <w:szCs w:val="24"/>
        </w:rPr>
        <w:t xml:space="preserve">. Subjekti kryen vlerësimin e aftësisë paguese, në bazë të aftësisë së përbashkët paguese të bashkëkredimarrësve, në rastet kur kërkesa për kredi paraqitet bashkërisht nga më shumë se një kredimarrës. </w:t>
      </w:r>
    </w:p>
    <w:p w14:paraId="36B5B51C" w14:textId="5061CBF8" w:rsidR="00C23112" w:rsidRPr="00A64C96" w:rsidRDefault="00C23112" w:rsidP="00CD1368">
      <w:pPr>
        <w:spacing w:after="0" w:line="240" w:lineRule="auto"/>
        <w:ind w:firstLine="288"/>
        <w:jc w:val="both"/>
        <w:rPr>
          <w:rFonts w:ascii="Garamond" w:hAnsi="Garamond"/>
          <w:sz w:val="24"/>
          <w:szCs w:val="24"/>
        </w:rPr>
      </w:pPr>
      <w:r w:rsidRPr="00FE37DE">
        <w:rPr>
          <w:rFonts w:ascii="Garamond" w:hAnsi="Garamond"/>
          <w:i/>
          <w:iCs/>
          <w:sz w:val="24"/>
          <w:szCs w:val="24"/>
        </w:rPr>
        <w:t>1</w:t>
      </w:r>
      <w:r w:rsidR="00FE37DE" w:rsidRPr="00FE37DE">
        <w:rPr>
          <w:rFonts w:ascii="Garamond" w:hAnsi="Garamond"/>
          <w:i/>
          <w:iCs/>
          <w:sz w:val="24"/>
          <w:szCs w:val="24"/>
        </w:rPr>
        <w:t>0</w:t>
      </w:r>
      <w:r w:rsidRPr="00FE37DE">
        <w:rPr>
          <w:rFonts w:ascii="Garamond" w:hAnsi="Garamond"/>
          <w:i/>
          <w:iCs/>
          <w:sz w:val="24"/>
          <w:szCs w:val="24"/>
        </w:rPr>
        <w:t>. Subjekti</w:t>
      </w:r>
      <w:r w:rsidRPr="00A64C96">
        <w:rPr>
          <w:rFonts w:ascii="Garamond" w:hAnsi="Garamond"/>
          <w:i/>
          <w:iCs/>
          <w:sz w:val="24"/>
          <w:szCs w:val="24"/>
        </w:rPr>
        <w:t>, në rastin e një kontrate kredie që përfshin garanci nga një palë e tretë, vlerëson nivelin e mbrojtjes së ofruar nga garancia dhe, nëse është e nevojshme, kryen një vlerësim të aftësisë paguese të garantuesit, të veçuar nga analiza e aftësisë paguese të kredimarrësit.</w:t>
      </w:r>
    </w:p>
    <w:p w14:paraId="73F1C91D" w14:textId="77777777" w:rsidR="00C23112" w:rsidRPr="00A64C96" w:rsidRDefault="00C23112" w:rsidP="00CD1368">
      <w:pPr>
        <w:spacing w:after="0" w:line="240" w:lineRule="auto"/>
        <w:ind w:firstLine="288"/>
        <w:jc w:val="both"/>
        <w:rPr>
          <w:rFonts w:ascii="Garamond" w:hAnsi="Garamond"/>
          <w:sz w:val="24"/>
          <w:szCs w:val="24"/>
        </w:rPr>
      </w:pPr>
      <w:r w:rsidRPr="00A64C96">
        <w:rPr>
          <w:rFonts w:ascii="Garamond" w:hAnsi="Garamond"/>
          <w:sz w:val="24"/>
          <w:szCs w:val="24"/>
        </w:rPr>
        <w:t> </w:t>
      </w:r>
    </w:p>
    <w:p w14:paraId="1DBD447D" w14:textId="77777777" w:rsidR="00C23112" w:rsidRPr="00A64C96" w:rsidRDefault="00C23112" w:rsidP="00763687">
      <w:pPr>
        <w:spacing w:after="0" w:line="240" w:lineRule="auto"/>
        <w:ind w:firstLine="284"/>
        <w:jc w:val="center"/>
        <w:rPr>
          <w:rFonts w:ascii="Garamond" w:hAnsi="Garamond"/>
          <w:sz w:val="24"/>
          <w:szCs w:val="24"/>
        </w:rPr>
      </w:pPr>
      <w:r w:rsidRPr="00A64C96">
        <w:rPr>
          <w:rFonts w:ascii="Garamond" w:hAnsi="Garamond"/>
          <w:bCs/>
          <w:i/>
          <w:iCs/>
          <w:sz w:val="24"/>
          <w:szCs w:val="24"/>
        </w:rPr>
        <w:t>Neni 13/2</w:t>
      </w:r>
    </w:p>
    <w:p w14:paraId="00F93912" w14:textId="77777777" w:rsidR="00C23112" w:rsidRPr="00A64C96" w:rsidRDefault="00C23112" w:rsidP="00763687">
      <w:pPr>
        <w:spacing w:after="0" w:line="240" w:lineRule="auto"/>
        <w:ind w:firstLine="284"/>
        <w:jc w:val="center"/>
        <w:rPr>
          <w:rFonts w:ascii="Garamond" w:hAnsi="Garamond"/>
          <w:sz w:val="24"/>
          <w:szCs w:val="24"/>
        </w:rPr>
      </w:pPr>
      <w:r w:rsidRPr="00A64C96">
        <w:rPr>
          <w:rFonts w:ascii="Garamond" w:hAnsi="Garamond"/>
          <w:b/>
          <w:bCs/>
          <w:i/>
          <w:iCs/>
          <w:sz w:val="24"/>
          <w:szCs w:val="24"/>
        </w:rPr>
        <w:t>Kërkesa specifike mbi analizën e aftësisë paguese të kredimarrësve konsumatorë</w:t>
      </w:r>
    </w:p>
    <w:p w14:paraId="740F09DA" w14:textId="77777777" w:rsidR="00C23112" w:rsidRPr="00A64C96" w:rsidRDefault="00C23112" w:rsidP="00763687">
      <w:pPr>
        <w:spacing w:after="0" w:line="240" w:lineRule="auto"/>
        <w:ind w:firstLine="284"/>
        <w:jc w:val="center"/>
        <w:rPr>
          <w:rFonts w:ascii="Garamond" w:hAnsi="Garamond"/>
          <w:sz w:val="24"/>
          <w:szCs w:val="24"/>
        </w:rPr>
      </w:pPr>
    </w:p>
    <w:p w14:paraId="7FF9F7BD" w14:textId="77777777" w:rsidR="00C23112" w:rsidRPr="00A64C96" w:rsidRDefault="00C23112" w:rsidP="00CD1368">
      <w:pPr>
        <w:spacing w:after="0" w:line="240" w:lineRule="auto"/>
        <w:ind w:firstLine="288"/>
        <w:jc w:val="both"/>
        <w:rPr>
          <w:rFonts w:ascii="Garamond" w:hAnsi="Garamond"/>
          <w:sz w:val="24"/>
          <w:szCs w:val="24"/>
        </w:rPr>
      </w:pPr>
      <w:r w:rsidRPr="00A64C96">
        <w:rPr>
          <w:rFonts w:ascii="Garamond" w:hAnsi="Garamond"/>
          <w:i/>
          <w:iCs/>
          <w:sz w:val="24"/>
          <w:szCs w:val="24"/>
        </w:rPr>
        <w:t>1. Subjekti, në vlerësimin e aftësisë paguese të kredimarrësit konsumator, duhet të bazohet të paktën</w:t>
      </w:r>
      <w:r w:rsidRPr="00A64C96">
        <w:rPr>
          <w:rFonts w:ascii="Garamond" w:hAnsi="Garamond"/>
          <w:sz w:val="24"/>
          <w:szCs w:val="24"/>
        </w:rPr>
        <w:t> </w:t>
      </w:r>
      <w:r w:rsidRPr="00A64C96">
        <w:rPr>
          <w:rFonts w:ascii="Garamond" w:hAnsi="Garamond"/>
          <w:i/>
          <w:iCs/>
          <w:sz w:val="24"/>
          <w:szCs w:val="24"/>
        </w:rPr>
        <w:t>në kufizimet e raportit të shërbimit të borxhit kundrejt të ardhurave (DSTI), ku raporti llogaritet si më poshtë:</w:t>
      </w:r>
    </w:p>
    <w:p w14:paraId="33A209AB" w14:textId="77777777" w:rsidR="00C23112" w:rsidRPr="00A64C96" w:rsidRDefault="00C23112" w:rsidP="00CD1368">
      <w:pPr>
        <w:spacing w:after="0" w:line="240" w:lineRule="auto"/>
        <w:ind w:firstLine="288"/>
        <w:jc w:val="both"/>
        <w:rPr>
          <w:rFonts w:ascii="Garamond" w:hAnsi="Garamond"/>
          <w:sz w:val="24"/>
          <w:szCs w:val="24"/>
        </w:rPr>
      </w:pPr>
      <w:r w:rsidRPr="00A64C96">
        <w:rPr>
          <w:rFonts w:ascii="Garamond" w:hAnsi="Garamond"/>
          <w:sz w:val="24"/>
          <w:szCs w:val="24"/>
        </w:rPr>
        <w:t> </w:t>
      </w:r>
    </w:p>
    <w:p w14:paraId="6A59B046" w14:textId="77777777" w:rsidR="00C23112" w:rsidRPr="00A64C96" w:rsidRDefault="00C23112" w:rsidP="00763687">
      <w:pPr>
        <w:spacing w:after="0" w:line="240" w:lineRule="auto"/>
        <w:ind w:firstLine="284"/>
        <w:rPr>
          <w:rFonts w:ascii="Garamond" w:hAnsi="Garamond"/>
          <w:sz w:val="24"/>
          <w:szCs w:val="24"/>
        </w:rPr>
      </w:pPr>
      <w:r w:rsidRPr="00A64C96">
        <w:rPr>
          <w:rFonts w:ascii="Garamond" w:hAnsi="Garamond"/>
          <w:noProof/>
          <w:sz w:val="24"/>
          <w:szCs w:val="24"/>
        </w:rPr>
        <w:drawing>
          <wp:inline distT="0" distB="0" distL="0" distR="0" wp14:anchorId="2582D18E" wp14:editId="26AE0E5A">
            <wp:extent cx="5372100" cy="317500"/>
            <wp:effectExtent l="0" t="0" r="0" b="6350"/>
            <wp:docPr id="1" name="Picture 1" descr="C:\Users\Suada.Daci\AppData\Local\Microsoft\Windows\INetCache\Content.MSO\13F3C98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ada.Daci\AppData\Local\Microsoft\Windows\INetCache\Content.MSO\13F3C98C.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72100" cy="317500"/>
                    </a:xfrm>
                    <a:prstGeom prst="rect">
                      <a:avLst/>
                    </a:prstGeom>
                    <a:noFill/>
                    <a:ln>
                      <a:noFill/>
                    </a:ln>
                  </pic:spPr>
                </pic:pic>
              </a:graphicData>
            </a:graphic>
          </wp:inline>
        </w:drawing>
      </w:r>
      <w:r w:rsidRPr="00A64C96">
        <w:rPr>
          <w:rFonts w:ascii="Garamond" w:hAnsi="Garamond"/>
          <w:sz w:val="24"/>
          <w:szCs w:val="24"/>
        </w:rPr>
        <w:t> </w:t>
      </w:r>
    </w:p>
    <w:p w14:paraId="0DCC4E64" w14:textId="77777777" w:rsidR="00C23112" w:rsidRPr="00A64C96" w:rsidRDefault="00C23112" w:rsidP="00763687">
      <w:pPr>
        <w:spacing w:after="0" w:line="240" w:lineRule="auto"/>
        <w:ind w:firstLine="284"/>
        <w:rPr>
          <w:rFonts w:ascii="Garamond" w:hAnsi="Garamond"/>
          <w:sz w:val="24"/>
          <w:szCs w:val="24"/>
        </w:rPr>
      </w:pPr>
      <w:r w:rsidRPr="00A64C96">
        <w:rPr>
          <w:rFonts w:ascii="Garamond" w:hAnsi="Garamond"/>
          <w:i/>
          <w:iCs/>
          <w:sz w:val="24"/>
          <w:szCs w:val="24"/>
        </w:rPr>
        <w:t>ku:</w:t>
      </w:r>
    </w:p>
    <w:p w14:paraId="71E80773" w14:textId="77777777" w:rsidR="00C23112" w:rsidRPr="00A64C96" w:rsidRDefault="00C23112" w:rsidP="00763687">
      <w:pPr>
        <w:spacing w:after="0" w:line="240" w:lineRule="auto"/>
        <w:ind w:firstLine="284"/>
        <w:rPr>
          <w:rFonts w:ascii="Garamond" w:hAnsi="Garamond"/>
          <w:sz w:val="24"/>
          <w:szCs w:val="24"/>
        </w:rPr>
      </w:pPr>
      <w:r w:rsidRPr="00A64C96">
        <w:rPr>
          <w:rFonts w:ascii="Garamond" w:hAnsi="Garamond"/>
          <w:sz w:val="24"/>
          <w:szCs w:val="24"/>
        </w:rPr>
        <w:t> </w:t>
      </w:r>
    </w:p>
    <w:p w14:paraId="6D72BEA9" w14:textId="77777777" w:rsidR="00C23112" w:rsidRPr="00A64C96" w:rsidRDefault="00C23112" w:rsidP="00CD1368">
      <w:pPr>
        <w:spacing w:after="0" w:line="240" w:lineRule="auto"/>
        <w:ind w:firstLine="288"/>
        <w:jc w:val="both"/>
        <w:rPr>
          <w:rFonts w:ascii="Garamond" w:hAnsi="Garamond"/>
          <w:sz w:val="24"/>
          <w:szCs w:val="24"/>
        </w:rPr>
      </w:pPr>
      <w:r w:rsidRPr="00A64C96">
        <w:rPr>
          <w:rFonts w:ascii="Garamond" w:hAnsi="Garamond"/>
          <w:b/>
          <w:bCs/>
          <w:i/>
          <w:iCs/>
          <w:sz w:val="24"/>
          <w:szCs w:val="24"/>
        </w:rPr>
        <w:t>DS</w:t>
      </w:r>
      <w:r w:rsidRPr="00A64C96">
        <w:rPr>
          <w:rFonts w:ascii="Garamond" w:hAnsi="Garamond"/>
          <w:i/>
          <w:iCs/>
          <w:sz w:val="24"/>
          <w:szCs w:val="24"/>
        </w:rPr>
        <w:t xml:space="preserve"> – është shuma e të gjitha pagesave/detyrimeve financiare mujore lidhur me kredinë për të cilën kredimarrësi ka aplikuar, si dhe me kredi në institucione të tjera financiare, në momentin e dhënies së kredisë. Në shumën e pagesave/detyrimeve financiare do të përfshihen pagesa e kryegjësë, interesit dhe çdo komisioni tjetër, pjesë e kontratës së kredisë.  </w:t>
      </w:r>
    </w:p>
    <w:p w14:paraId="66094B35" w14:textId="362DF72F" w:rsidR="00C23112" w:rsidRPr="00A64C96" w:rsidRDefault="00C23112" w:rsidP="00CD1368">
      <w:pPr>
        <w:spacing w:after="0" w:line="240" w:lineRule="auto"/>
        <w:ind w:firstLine="288"/>
        <w:jc w:val="both"/>
        <w:rPr>
          <w:rFonts w:ascii="Garamond" w:hAnsi="Garamond"/>
          <w:sz w:val="24"/>
          <w:szCs w:val="24"/>
        </w:rPr>
      </w:pPr>
      <w:r w:rsidRPr="00A64C96">
        <w:rPr>
          <w:rFonts w:ascii="Garamond" w:hAnsi="Garamond"/>
          <w:b/>
          <w:bCs/>
          <w:i/>
          <w:iCs/>
          <w:sz w:val="24"/>
          <w:szCs w:val="24"/>
        </w:rPr>
        <w:t xml:space="preserve">I </w:t>
      </w:r>
      <w:r w:rsidRPr="00A64C96">
        <w:rPr>
          <w:rFonts w:ascii="Garamond" w:hAnsi="Garamond"/>
          <w:i/>
          <w:iCs/>
          <w:sz w:val="24"/>
          <w:szCs w:val="24"/>
        </w:rPr>
        <w:t>– është e ardhura neto mesatare e kredimarrësit, pas pagesave të taksave dhe kontributeve të tjera të detyrueshme shoqërore, të verifikueshme dhe që njihen si të qëndrueshme nga subjekti (p.sh</w:t>
      </w:r>
      <w:r w:rsidR="00CD1368">
        <w:rPr>
          <w:rFonts w:ascii="Garamond" w:hAnsi="Garamond"/>
          <w:i/>
          <w:iCs/>
          <w:sz w:val="24"/>
          <w:szCs w:val="24"/>
        </w:rPr>
        <w:t>.</w:t>
      </w:r>
      <w:r w:rsidRPr="00A64C96">
        <w:rPr>
          <w:rFonts w:ascii="Garamond" w:hAnsi="Garamond"/>
          <w:i/>
          <w:iCs/>
          <w:sz w:val="24"/>
          <w:szCs w:val="24"/>
        </w:rPr>
        <w:t xml:space="preserve"> duke konsideruar kontratat e përkohshme të punësimit, vetëpunësimin etj.). </w:t>
      </w:r>
    </w:p>
    <w:p w14:paraId="0D972D2A" w14:textId="718F4FB4" w:rsidR="00C23112" w:rsidRPr="00A64C96" w:rsidRDefault="00FE37DE" w:rsidP="00CD1368">
      <w:pPr>
        <w:spacing w:after="0" w:line="240" w:lineRule="auto"/>
        <w:ind w:firstLine="288"/>
        <w:jc w:val="both"/>
        <w:rPr>
          <w:rFonts w:ascii="Garamond" w:hAnsi="Garamond"/>
          <w:sz w:val="24"/>
          <w:szCs w:val="24"/>
        </w:rPr>
      </w:pPr>
      <w:r>
        <w:rPr>
          <w:rFonts w:ascii="Garamond" w:hAnsi="Garamond"/>
          <w:i/>
          <w:iCs/>
          <w:sz w:val="24"/>
          <w:szCs w:val="24"/>
        </w:rPr>
        <w:t>2</w:t>
      </w:r>
      <w:r w:rsidR="00C23112" w:rsidRPr="00A64C96">
        <w:rPr>
          <w:rFonts w:ascii="Garamond" w:hAnsi="Garamond"/>
          <w:i/>
          <w:iCs/>
          <w:sz w:val="24"/>
          <w:szCs w:val="24"/>
        </w:rPr>
        <w:t xml:space="preserve">. Subjekti, në llogaritjen e të ardhurave mesatare për qëllime të vlerësimit të aftësisë paguese të konsumatorit, merr në konsideratë të ardhurat e tij (konsumatorit), bazuar në të dhënat e të paktën 6 muajve të fundit përpara momentit të kryerjes së analizës financiare.  </w:t>
      </w:r>
    </w:p>
    <w:p w14:paraId="7BAC4FDD" w14:textId="4D99EA6F" w:rsidR="00C23112" w:rsidRPr="00A64C96" w:rsidRDefault="00FE37DE" w:rsidP="00CD1368">
      <w:pPr>
        <w:spacing w:after="0" w:line="240" w:lineRule="auto"/>
        <w:ind w:firstLine="288"/>
        <w:jc w:val="both"/>
        <w:rPr>
          <w:rFonts w:ascii="Garamond" w:hAnsi="Garamond"/>
          <w:sz w:val="24"/>
          <w:szCs w:val="24"/>
        </w:rPr>
      </w:pPr>
      <w:r>
        <w:rPr>
          <w:rFonts w:ascii="Garamond" w:hAnsi="Garamond"/>
          <w:i/>
          <w:iCs/>
          <w:sz w:val="24"/>
          <w:szCs w:val="24"/>
        </w:rPr>
        <w:t>3</w:t>
      </w:r>
      <w:r w:rsidR="00C23112" w:rsidRPr="00A64C96">
        <w:rPr>
          <w:rFonts w:ascii="Garamond" w:hAnsi="Garamond"/>
          <w:i/>
          <w:iCs/>
          <w:sz w:val="24"/>
          <w:szCs w:val="24"/>
        </w:rPr>
        <w:t>. Vlera e raportit të shërbimit të borxhit kundrejt të ardhurave (DSTI)</w:t>
      </w:r>
      <w:r w:rsidR="00CD1368">
        <w:rPr>
          <w:rFonts w:ascii="Garamond" w:hAnsi="Garamond"/>
          <w:i/>
          <w:iCs/>
          <w:sz w:val="24"/>
          <w:szCs w:val="24"/>
        </w:rPr>
        <w:t>,</w:t>
      </w:r>
      <w:r w:rsidR="00C23112" w:rsidRPr="00A64C96">
        <w:rPr>
          <w:rFonts w:ascii="Garamond" w:hAnsi="Garamond"/>
          <w:i/>
          <w:iCs/>
          <w:sz w:val="24"/>
          <w:szCs w:val="24"/>
        </w:rPr>
        <w:t xml:space="preserve"> e parashikuar në pikën 1 të këtij neni, nuk duhet të tejkalojë vlerën prej 60%. Kjo vlerë mund të jetë më e lartë në rastet kur kredimarrësi ka evidenca të mjaftueshme, të parashikuara në rregulloret e brendshme të subjektit, se niveli më i lartë i raportit DSTI nuk cenon shpenzimet e zakonshme të jetesës dhe rrjedhimisht pagesën e detyrimeve të kredisë. Në çdo rast, të ardhurat neto pas shërbimit të borxhit nuk duhet të jenë më të vogla se shpenzimet e arsyeshme të jetesës së kredimarrësve. </w:t>
      </w:r>
    </w:p>
    <w:p w14:paraId="1C80C68D" w14:textId="7ACEC2CC" w:rsidR="00C23112" w:rsidRPr="00A64C96" w:rsidRDefault="00FE37DE" w:rsidP="00CD1368">
      <w:pPr>
        <w:spacing w:after="0" w:line="240" w:lineRule="auto"/>
        <w:ind w:firstLine="288"/>
        <w:jc w:val="both"/>
        <w:rPr>
          <w:rFonts w:ascii="Garamond" w:hAnsi="Garamond"/>
          <w:sz w:val="24"/>
          <w:szCs w:val="24"/>
        </w:rPr>
      </w:pPr>
      <w:r>
        <w:rPr>
          <w:rFonts w:ascii="Garamond" w:hAnsi="Garamond"/>
          <w:i/>
          <w:iCs/>
          <w:sz w:val="24"/>
          <w:szCs w:val="24"/>
        </w:rPr>
        <w:t>4</w:t>
      </w:r>
      <w:r w:rsidR="00C23112" w:rsidRPr="00A64C96">
        <w:rPr>
          <w:rFonts w:ascii="Garamond" w:hAnsi="Garamond"/>
          <w:i/>
          <w:iCs/>
          <w:sz w:val="24"/>
          <w:szCs w:val="24"/>
        </w:rPr>
        <w:t>. Subjekti harton procedura të brendshme mbi llogaritjen e raportit të shërbimit të borxhit kundrejt të ardhurave (DSTI), si dhe përcakton kërkesa më të kufizuara për</w:t>
      </w:r>
      <w:r w:rsidR="00CD1368">
        <w:rPr>
          <w:rFonts w:ascii="Garamond" w:hAnsi="Garamond"/>
          <w:i/>
          <w:iCs/>
          <w:sz w:val="24"/>
          <w:szCs w:val="24"/>
        </w:rPr>
        <w:t xml:space="preserve"> </w:t>
      </w:r>
      <w:r w:rsidR="00C23112" w:rsidRPr="00A64C96">
        <w:rPr>
          <w:rFonts w:ascii="Garamond" w:hAnsi="Garamond"/>
          <w:i/>
          <w:iCs/>
          <w:sz w:val="24"/>
          <w:szCs w:val="24"/>
        </w:rPr>
        <w:t xml:space="preserve">sa lidhet me nivelin e treguesit për kredimarrësit me të ardhura të parregullta ose të luhatshme, apo për kredimarrësit monedha e të ardhurave të të cilëve është e ndryshme nga monedha e kredisë. </w:t>
      </w:r>
    </w:p>
    <w:p w14:paraId="134DCD0B" w14:textId="77777777" w:rsidR="00C23112" w:rsidRPr="00A64C96" w:rsidRDefault="00C23112" w:rsidP="00CD1368">
      <w:pPr>
        <w:spacing w:after="0" w:line="240" w:lineRule="auto"/>
        <w:ind w:firstLine="288"/>
        <w:jc w:val="both"/>
        <w:rPr>
          <w:rFonts w:ascii="Garamond" w:hAnsi="Garamond"/>
          <w:sz w:val="24"/>
          <w:szCs w:val="24"/>
        </w:rPr>
      </w:pPr>
      <w:r w:rsidRPr="00A64C96">
        <w:rPr>
          <w:rFonts w:ascii="Garamond" w:hAnsi="Garamond"/>
          <w:sz w:val="24"/>
          <w:szCs w:val="24"/>
        </w:rPr>
        <w:t> </w:t>
      </w:r>
    </w:p>
    <w:p w14:paraId="2ABFCCDB" w14:textId="77777777" w:rsidR="00C23112" w:rsidRPr="00A64C96" w:rsidRDefault="00C23112" w:rsidP="00CD1368">
      <w:pPr>
        <w:spacing w:after="0" w:line="240" w:lineRule="auto"/>
        <w:ind w:firstLine="288"/>
        <w:jc w:val="center"/>
        <w:rPr>
          <w:rFonts w:ascii="Garamond" w:hAnsi="Garamond"/>
          <w:sz w:val="24"/>
          <w:szCs w:val="24"/>
        </w:rPr>
      </w:pPr>
      <w:r w:rsidRPr="00A64C96">
        <w:rPr>
          <w:rFonts w:ascii="Garamond" w:hAnsi="Garamond"/>
          <w:bCs/>
          <w:i/>
          <w:iCs/>
          <w:sz w:val="24"/>
          <w:szCs w:val="24"/>
        </w:rPr>
        <w:t>Neni 13/3</w:t>
      </w:r>
    </w:p>
    <w:p w14:paraId="1B22A755" w14:textId="77777777" w:rsidR="00C23112" w:rsidRPr="00A64C96" w:rsidRDefault="00C23112" w:rsidP="00763687">
      <w:pPr>
        <w:spacing w:after="0" w:line="240" w:lineRule="auto"/>
        <w:ind w:firstLine="284"/>
        <w:jc w:val="center"/>
        <w:rPr>
          <w:rFonts w:ascii="Garamond" w:hAnsi="Garamond"/>
          <w:sz w:val="24"/>
          <w:szCs w:val="24"/>
        </w:rPr>
      </w:pPr>
      <w:r w:rsidRPr="00A64C96">
        <w:rPr>
          <w:rFonts w:ascii="Garamond" w:hAnsi="Garamond"/>
          <w:b/>
          <w:bCs/>
          <w:i/>
          <w:iCs/>
          <w:sz w:val="24"/>
          <w:szCs w:val="24"/>
        </w:rPr>
        <w:lastRenderedPageBreak/>
        <w:t>Kufizimet në kontratat e kredisë konsumatore</w:t>
      </w:r>
    </w:p>
    <w:p w14:paraId="1B7A1D15" w14:textId="77777777" w:rsidR="00C23112" w:rsidRPr="00A64C96" w:rsidRDefault="00C23112" w:rsidP="00763687">
      <w:pPr>
        <w:spacing w:after="0" w:line="240" w:lineRule="auto"/>
        <w:ind w:firstLine="284"/>
        <w:rPr>
          <w:rFonts w:ascii="Garamond" w:hAnsi="Garamond"/>
          <w:sz w:val="24"/>
          <w:szCs w:val="24"/>
        </w:rPr>
      </w:pPr>
      <w:r w:rsidRPr="00A64C96">
        <w:rPr>
          <w:rFonts w:ascii="Garamond" w:hAnsi="Garamond"/>
          <w:sz w:val="24"/>
          <w:szCs w:val="24"/>
        </w:rPr>
        <w:t> </w:t>
      </w:r>
    </w:p>
    <w:p w14:paraId="36BA60C2" w14:textId="77777777" w:rsidR="00C23112" w:rsidRPr="00A64C96" w:rsidRDefault="00C23112" w:rsidP="00CD1368">
      <w:pPr>
        <w:spacing w:after="0" w:line="240" w:lineRule="auto"/>
        <w:ind w:firstLine="288"/>
        <w:jc w:val="both"/>
        <w:rPr>
          <w:rFonts w:ascii="Garamond" w:hAnsi="Garamond"/>
          <w:sz w:val="24"/>
          <w:szCs w:val="24"/>
        </w:rPr>
      </w:pPr>
      <w:r w:rsidRPr="00A64C96">
        <w:rPr>
          <w:rFonts w:ascii="Garamond" w:hAnsi="Garamond"/>
          <w:i/>
          <w:iCs/>
          <w:sz w:val="24"/>
          <w:szCs w:val="24"/>
        </w:rPr>
        <w:t>1. Subjekti nuk lidh kontrata të kredisë konsumatore me persona nën moshën 18 vjeç.</w:t>
      </w:r>
    </w:p>
    <w:p w14:paraId="271EB9CF" w14:textId="77777777" w:rsidR="00C23112" w:rsidRPr="00A64C96" w:rsidRDefault="00C23112" w:rsidP="00CD1368">
      <w:pPr>
        <w:spacing w:after="0" w:line="240" w:lineRule="auto"/>
        <w:ind w:firstLine="288"/>
        <w:jc w:val="both"/>
        <w:rPr>
          <w:rFonts w:ascii="Garamond" w:hAnsi="Garamond"/>
          <w:sz w:val="24"/>
          <w:szCs w:val="24"/>
        </w:rPr>
      </w:pPr>
      <w:r w:rsidRPr="00A64C96">
        <w:rPr>
          <w:rFonts w:ascii="Garamond" w:hAnsi="Garamond"/>
          <w:i/>
          <w:iCs/>
          <w:sz w:val="24"/>
          <w:szCs w:val="24"/>
        </w:rPr>
        <w:t xml:space="preserve">2. Subjekti nuk lidh kontrata të kredisë konsumatore me persona të cilësuar me aftësi të kufizuara, ose me persona të cilët marrin vendime nën asistencën e një personi tjetër, kufizime të cilat ndikojnë në mosshlyerjen e detyrimit të kredisë. </w:t>
      </w:r>
    </w:p>
    <w:p w14:paraId="60CB110A" w14:textId="77777777" w:rsidR="00C23112" w:rsidRPr="00A64C96" w:rsidRDefault="00C23112" w:rsidP="00CD1368">
      <w:pPr>
        <w:spacing w:after="0" w:line="240" w:lineRule="auto"/>
        <w:ind w:firstLine="288"/>
        <w:jc w:val="both"/>
        <w:rPr>
          <w:rFonts w:ascii="Garamond" w:hAnsi="Garamond"/>
          <w:sz w:val="24"/>
          <w:szCs w:val="24"/>
        </w:rPr>
      </w:pPr>
      <w:r w:rsidRPr="00A64C96">
        <w:rPr>
          <w:rFonts w:ascii="Garamond" w:hAnsi="Garamond"/>
          <w:i/>
          <w:iCs/>
          <w:sz w:val="24"/>
          <w:szCs w:val="24"/>
        </w:rPr>
        <w:t>3. Subjekti nuk lidh kontrata të kredisë konsumatore gjatë fashës orare 22:00 deri në 07:00.</w:t>
      </w:r>
    </w:p>
    <w:p w14:paraId="69599A7A" w14:textId="77777777" w:rsidR="00C23112" w:rsidRPr="00A64C96" w:rsidRDefault="00C23112" w:rsidP="00CD1368">
      <w:pPr>
        <w:spacing w:after="0" w:line="240" w:lineRule="auto"/>
        <w:ind w:firstLine="288"/>
        <w:jc w:val="both"/>
        <w:rPr>
          <w:rFonts w:ascii="Garamond" w:hAnsi="Garamond"/>
          <w:sz w:val="24"/>
          <w:szCs w:val="24"/>
        </w:rPr>
      </w:pPr>
      <w:r w:rsidRPr="00A64C96">
        <w:rPr>
          <w:rFonts w:ascii="Garamond" w:hAnsi="Garamond"/>
          <w:i/>
          <w:iCs/>
          <w:sz w:val="24"/>
          <w:szCs w:val="24"/>
        </w:rPr>
        <w:t xml:space="preserve">4. Subjekti nuk lidh kontrata të kredisë konsumatore me persona të cilët rezultojnë në regjistrat e krijuar nga subjektet për personat që nuk lejohen të lidhin një kontratë kredie.  </w:t>
      </w:r>
    </w:p>
    <w:p w14:paraId="2D881F1A" w14:textId="77777777" w:rsidR="00C23112" w:rsidRPr="00A64C96" w:rsidRDefault="00C23112" w:rsidP="00CD1368">
      <w:pPr>
        <w:spacing w:after="0" w:line="240" w:lineRule="auto"/>
        <w:ind w:firstLine="288"/>
        <w:jc w:val="both"/>
        <w:rPr>
          <w:rFonts w:ascii="Garamond" w:hAnsi="Garamond"/>
          <w:sz w:val="24"/>
          <w:szCs w:val="24"/>
        </w:rPr>
      </w:pPr>
      <w:r w:rsidRPr="00A64C96">
        <w:rPr>
          <w:rFonts w:ascii="Garamond" w:hAnsi="Garamond"/>
          <w:i/>
          <w:iCs/>
          <w:sz w:val="24"/>
          <w:szCs w:val="24"/>
        </w:rPr>
        <w:t>5. Subjekti nuk ekspozohet në më shumë se 2 kredi konsumatore ndaj të njëjtit kredimarrës, në të njëjtën kohë.</w:t>
      </w:r>
    </w:p>
    <w:p w14:paraId="5A1DE7AF" w14:textId="77777777" w:rsidR="00C23112" w:rsidRPr="00A64C96" w:rsidRDefault="00C23112" w:rsidP="00CD1368">
      <w:pPr>
        <w:spacing w:after="0" w:line="240" w:lineRule="auto"/>
        <w:ind w:firstLine="288"/>
        <w:jc w:val="both"/>
        <w:rPr>
          <w:rFonts w:ascii="Garamond" w:hAnsi="Garamond"/>
          <w:sz w:val="24"/>
          <w:szCs w:val="24"/>
        </w:rPr>
      </w:pPr>
      <w:r w:rsidRPr="00A64C96">
        <w:rPr>
          <w:rFonts w:ascii="Garamond" w:hAnsi="Garamond"/>
          <w:sz w:val="24"/>
          <w:szCs w:val="24"/>
        </w:rPr>
        <w:t> </w:t>
      </w:r>
    </w:p>
    <w:p w14:paraId="484E0A1A" w14:textId="77777777" w:rsidR="00C23112" w:rsidRPr="00A64C96" w:rsidRDefault="00C23112" w:rsidP="00763687">
      <w:pPr>
        <w:spacing w:after="0" w:line="240" w:lineRule="auto"/>
        <w:ind w:firstLine="284"/>
        <w:jc w:val="center"/>
        <w:rPr>
          <w:rFonts w:ascii="Garamond" w:hAnsi="Garamond"/>
          <w:sz w:val="24"/>
          <w:szCs w:val="24"/>
        </w:rPr>
      </w:pPr>
      <w:r w:rsidRPr="00A64C96">
        <w:rPr>
          <w:rFonts w:ascii="Garamond" w:hAnsi="Garamond"/>
          <w:bCs/>
          <w:i/>
          <w:iCs/>
          <w:sz w:val="24"/>
          <w:szCs w:val="24"/>
        </w:rPr>
        <w:t>Neni 13/4</w:t>
      </w:r>
    </w:p>
    <w:p w14:paraId="74E66600" w14:textId="77777777" w:rsidR="00C23112" w:rsidRPr="00A64C96" w:rsidRDefault="00C23112" w:rsidP="00763687">
      <w:pPr>
        <w:spacing w:after="0" w:line="240" w:lineRule="auto"/>
        <w:ind w:firstLine="284"/>
        <w:jc w:val="center"/>
        <w:rPr>
          <w:rFonts w:ascii="Garamond" w:hAnsi="Garamond"/>
          <w:sz w:val="24"/>
          <w:szCs w:val="24"/>
        </w:rPr>
      </w:pPr>
      <w:r w:rsidRPr="00A64C96">
        <w:rPr>
          <w:rFonts w:ascii="Garamond" w:hAnsi="Garamond"/>
          <w:b/>
          <w:bCs/>
          <w:i/>
          <w:iCs/>
          <w:sz w:val="24"/>
          <w:szCs w:val="24"/>
        </w:rPr>
        <w:t>Administrimi i rrezikut të kredisë nga institucionet financiare të mikrokredisë</w:t>
      </w:r>
    </w:p>
    <w:p w14:paraId="45E4170B" w14:textId="77777777" w:rsidR="00C23112" w:rsidRPr="00A64C96" w:rsidRDefault="00C23112" w:rsidP="00763687">
      <w:pPr>
        <w:spacing w:after="0" w:line="240" w:lineRule="auto"/>
        <w:ind w:firstLine="284"/>
        <w:jc w:val="center"/>
        <w:rPr>
          <w:rFonts w:ascii="Garamond" w:hAnsi="Garamond"/>
          <w:sz w:val="24"/>
          <w:szCs w:val="24"/>
        </w:rPr>
      </w:pPr>
    </w:p>
    <w:p w14:paraId="5A54E360" w14:textId="77777777" w:rsidR="00C23112" w:rsidRPr="00A64C96" w:rsidRDefault="00C23112" w:rsidP="00CD1368">
      <w:pPr>
        <w:spacing w:after="0" w:line="240" w:lineRule="auto"/>
        <w:ind w:firstLine="288"/>
        <w:jc w:val="both"/>
        <w:rPr>
          <w:rFonts w:ascii="Garamond" w:hAnsi="Garamond"/>
          <w:sz w:val="24"/>
          <w:szCs w:val="24"/>
        </w:rPr>
      </w:pPr>
      <w:r w:rsidRPr="00A64C96">
        <w:rPr>
          <w:rFonts w:ascii="Garamond" w:hAnsi="Garamond"/>
          <w:i/>
          <w:iCs/>
          <w:sz w:val="24"/>
          <w:szCs w:val="24"/>
        </w:rPr>
        <w:t>Kërkesat e neneve 13, 13/1, 13/2 dhe 13/3 të kësaj rregulloreje do të zbatohen në të njëjtën mënyrë edhe nga institucionet financiare të mikrokredisë, për kontratat e kredisë konsumatore.”;</w:t>
      </w:r>
    </w:p>
    <w:p w14:paraId="05A3C6AD" w14:textId="77777777" w:rsidR="00C23112" w:rsidRPr="00A64C96" w:rsidRDefault="00C23112" w:rsidP="00CD1368">
      <w:pPr>
        <w:spacing w:after="0" w:line="240" w:lineRule="auto"/>
        <w:ind w:firstLine="288"/>
        <w:jc w:val="both"/>
        <w:rPr>
          <w:rFonts w:ascii="Garamond" w:hAnsi="Garamond"/>
          <w:sz w:val="24"/>
          <w:szCs w:val="24"/>
        </w:rPr>
      </w:pPr>
      <w:r w:rsidRPr="00A64C96">
        <w:rPr>
          <w:rFonts w:ascii="Garamond" w:hAnsi="Garamond"/>
          <w:sz w:val="24"/>
          <w:szCs w:val="24"/>
        </w:rPr>
        <w:t>c) Në nenin 20/3, pika 1, pas shkronjës “b” shtohet shkronja “c” me përmbajtjen e mëposhtme:</w:t>
      </w:r>
    </w:p>
    <w:p w14:paraId="7709846E" w14:textId="06804460" w:rsidR="00C23112" w:rsidRDefault="00311A23" w:rsidP="00CD1368">
      <w:pPr>
        <w:spacing w:after="0" w:line="240" w:lineRule="auto"/>
        <w:ind w:firstLine="288"/>
        <w:jc w:val="both"/>
        <w:rPr>
          <w:rFonts w:ascii="Garamond" w:hAnsi="Garamond"/>
          <w:i/>
          <w:iCs/>
          <w:sz w:val="24"/>
          <w:szCs w:val="24"/>
        </w:rPr>
      </w:pPr>
      <w:r w:rsidRPr="00A64C96">
        <w:rPr>
          <w:rFonts w:ascii="Garamond" w:hAnsi="Garamond"/>
          <w:i/>
          <w:iCs/>
          <w:sz w:val="24"/>
          <w:szCs w:val="24"/>
        </w:rPr>
        <w:t xml:space="preserve"> </w:t>
      </w:r>
      <w:r w:rsidR="00C23112" w:rsidRPr="00A64C96">
        <w:rPr>
          <w:rFonts w:ascii="Garamond" w:hAnsi="Garamond"/>
          <w:i/>
          <w:iCs/>
          <w:sz w:val="24"/>
          <w:szCs w:val="24"/>
        </w:rPr>
        <w:t>“c) burimi i shlyerjes së detyrimit të kredive sipas shkronj</w:t>
      </w:r>
      <w:r w:rsidR="00CD1368">
        <w:rPr>
          <w:rFonts w:ascii="Garamond" w:hAnsi="Garamond"/>
          <w:i/>
          <w:iCs/>
          <w:sz w:val="24"/>
          <w:szCs w:val="24"/>
        </w:rPr>
        <w:t>ave</w:t>
      </w:r>
      <w:r w:rsidR="00C23112" w:rsidRPr="00A64C96">
        <w:rPr>
          <w:rFonts w:ascii="Garamond" w:hAnsi="Garamond"/>
          <w:i/>
          <w:iCs/>
          <w:sz w:val="24"/>
          <w:szCs w:val="24"/>
        </w:rPr>
        <w:t> “a” dhe “b” të kësaj pike, nuk duhet të jetë kredi.”.</w:t>
      </w:r>
    </w:p>
    <w:p w14:paraId="01CBC7BB" w14:textId="77777777" w:rsidR="00CD1368" w:rsidRPr="00A64C96" w:rsidRDefault="00CD1368" w:rsidP="00CD1368">
      <w:pPr>
        <w:spacing w:after="0" w:line="240" w:lineRule="auto"/>
        <w:ind w:firstLine="288"/>
        <w:jc w:val="both"/>
        <w:rPr>
          <w:rFonts w:ascii="Garamond" w:hAnsi="Garamond"/>
          <w:sz w:val="24"/>
          <w:szCs w:val="24"/>
        </w:rPr>
      </w:pPr>
    </w:p>
    <w:p w14:paraId="432A68E5" w14:textId="30639493" w:rsidR="00C23112" w:rsidRPr="0011409A" w:rsidRDefault="0011409A" w:rsidP="00CD1368">
      <w:pPr>
        <w:spacing w:after="0" w:line="240" w:lineRule="auto"/>
        <w:ind w:firstLine="288"/>
        <w:jc w:val="both"/>
        <w:rPr>
          <w:rFonts w:ascii="Garamond" w:hAnsi="Garamond"/>
          <w:sz w:val="24"/>
          <w:szCs w:val="24"/>
        </w:rPr>
      </w:pPr>
      <w:r w:rsidRPr="0011409A">
        <w:rPr>
          <w:rFonts w:ascii="Garamond" w:hAnsi="Garamond"/>
          <w:sz w:val="24"/>
          <w:szCs w:val="24"/>
        </w:rPr>
        <w:t>2</w:t>
      </w:r>
      <w:r w:rsidR="00C23112" w:rsidRPr="0011409A">
        <w:rPr>
          <w:rFonts w:ascii="Garamond" w:hAnsi="Garamond"/>
          <w:sz w:val="24"/>
          <w:szCs w:val="24"/>
        </w:rPr>
        <w:t>. Ngarkohen subjektet financiare jobanka të licencuara nga Banka e Shqipërisë për veprimtarinë e kredidhënies dhe institucionet financiare të mikrokredisë me zbatimin e këtij vendimi.</w:t>
      </w:r>
    </w:p>
    <w:p w14:paraId="4D06F9A0" w14:textId="10F1B757" w:rsidR="00C23112" w:rsidRPr="0011409A" w:rsidRDefault="0011409A" w:rsidP="00CD1368">
      <w:pPr>
        <w:spacing w:after="0" w:line="240" w:lineRule="auto"/>
        <w:ind w:firstLine="288"/>
        <w:jc w:val="both"/>
        <w:rPr>
          <w:rFonts w:ascii="Garamond" w:hAnsi="Garamond"/>
          <w:sz w:val="24"/>
          <w:szCs w:val="24"/>
        </w:rPr>
      </w:pPr>
      <w:r w:rsidRPr="0011409A">
        <w:rPr>
          <w:rFonts w:ascii="Garamond" w:hAnsi="Garamond"/>
          <w:sz w:val="24"/>
          <w:szCs w:val="24"/>
        </w:rPr>
        <w:t>3</w:t>
      </w:r>
      <w:r w:rsidR="00C23112" w:rsidRPr="0011409A">
        <w:rPr>
          <w:rFonts w:ascii="Garamond" w:hAnsi="Garamond"/>
          <w:sz w:val="24"/>
          <w:szCs w:val="24"/>
        </w:rPr>
        <w:t>. Ngarkohet Departamenti i Mbikëqyrjes së Bankës së Shqipërisë për ndjekjen e zbatimit të këtij vendimi.</w:t>
      </w:r>
    </w:p>
    <w:p w14:paraId="1FA34033" w14:textId="141B641C" w:rsidR="00C23112" w:rsidRPr="00A64C96" w:rsidRDefault="0011409A" w:rsidP="00CD1368">
      <w:pPr>
        <w:spacing w:after="0" w:line="240" w:lineRule="auto"/>
        <w:ind w:firstLine="288"/>
        <w:jc w:val="both"/>
        <w:rPr>
          <w:rFonts w:ascii="Garamond" w:hAnsi="Garamond"/>
          <w:sz w:val="24"/>
          <w:szCs w:val="24"/>
        </w:rPr>
      </w:pPr>
      <w:r w:rsidRPr="0011409A">
        <w:rPr>
          <w:rFonts w:ascii="Garamond" w:hAnsi="Garamond"/>
          <w:sz w:val="24"/>
          <w:szCs w:val="24"/>
        </w:rPr>
        <w:t>4</w:t>
      </w:r>
      <w:r w:rsidR="00C23112" w:rsidRPr="0011409A">
        <w:rPr>
          <w:rFonts w:ascii="Garamond" w:hAnsi="Garamond"/>
          <w:sz w:val="24"/>
          <w:szCs w:val="24"/>
        </w:rPr>
        <w:t>. Ngarkohen</w:t>
      </w:r>
      <w:bookmarkStart w:id="0" w:name="_GoBack"/>
      <w:bookmarkEnd w:id="0"/>
      <w:r w:rsidR="00C23112" w:rsidRPr="00A64C96">
        <w:rPr>
          <w:rFonts w:ascii="Garamond" w:hAnsi="Garamond"/>
          <w:sz w:val="24"/>
          <w:szCs w:val="24"/>
        </w:rPr>
        <w:t xml:space="preserve"> Kabineti i Guvernatorit dhe Departamenti i Kërkimeve me publikimin e këtij vendimi, përkatësisht në Fletoren Zyrtare të Republikës së Shqipërisë dhe në Buletinin Zyrtar të Bankës së Shqipërisë.</w:t>
      </w:r>
    </w:p>
    <w:p w14:paraId="6BB1F389" w14:textId="77777777" w:rsidR="00CE5964" w:rsidRDefault="00C23112" w:rsidP="00CD1368">
      <w:pPr>
        <w:spacing w:after="0" w:line="240" w:lineRule="auto"/>
        <w:ind w:firstLine="288"/>
        <w:jc w:val="both"/>
        <w:rPr>
          <w:rFonts w:ascii="Garamond" w:hAnsi="Garamond"/>
          <w:bCs/>
          <w:sz w:val="24"/>
          <w:szCs w:val="24"/>
        </w:rPr>
      </w:pPr>
      <w:r w:rsidRPr="00A64C96">
        <w:rPr>
          <w:rFonts w:ascii="Garamond" w:hAnsi="Garamond"/>
          <w:sz w:val="24"/>
          <w:szCs w:val="24"/>
        </w:rPr>
        <w:t>Ky vendim hyn në fuqi më 1 janar 2025.</w:t>
      </w:r>
      <w:r w:rsidR="00CE5964" w:rsidRPr="00CE5964">
        <w:rPr>
          <w:rFonts w:ascii="Garamond" w:hAnsi="Garamond"/>
          <w:bCs/>
          <w:sz w:val="24"/>
          <w:szCs w:val="24"/>
        </w:rPr>
        <w:t xml:space="preserve"> </w:t>
      </w:r>
    </w:p>
    <w:p w14:paraId="09F1B071" w14:textId="180AA6E9" w:rsidR="00CE5964" w:rsidRDefault="00CE5964" w:rsidP="00CE5964">
      <w:pPr>
        <w:spacing w:after="0" w:line="240" w:lineRule="auto"/>
        <w:ind w:firstLine="288"/>
        <w:jc w:val="right"/>
        <w:rPr>
          <w:rFonts w:ascii="Garamond" w:hAnsi="Garamond"/>
          <w:b/>
          <w:bCs/>
          <w:sz w:val="24"/>
          <w:szCs w:val="24"/>
        </w:rPr>
      </w:pPr>
      <w:r w:rsidRPr="00A64C96">
        <w:rPr>
          <w:rFonts w:ascii="Garamond" w:hAnsi="Garamond"/>
          <w:bCs/>
          <w:sz w:val="24"/>
          <w:szCs w:val="24"/>
        </w:rPr>
        <w:t>KRYETAR</w:t>
      </w:r>
      <w:r w:rsidRPr="00CE5964">
        <w:rPr>
          <w:rFonts w:ascii="Garamond" w:hAnsi="Garamond"/>
          <w:b/>
          <w:bCs/>
          <w:sz w:val="24"/>
          <w:szCs w:val="24"/>
        </w:rPr>
        <w:t xml:space="preserve"> </w:t>
      </w:r>
    </w:p>
    <w:p w14:paraId="54E2AC88" w14:textId="74D42739" w:rsidR="00C23112" w:rsidRPr="00A64C96" w:rsidRDefault="00CE5964" w:rsidP="00CE5964">
      <w:pPr>
        <w:spacing w:after="0" w:line="240" w:lineRule="auto"/>
        <w:ind w:firstLine="288"/>
        <w:jc w:val="right"/>
        <w:rPr>
          <w:rFonts w:ascii="Garamond" w:hAnsi="Garamond"/>
          <w:sz w:val="24"/>
          <w:szCs w:val="24"/>
        </w:rPr>
      </w:pPr>
      <w:r w:rsidRPr="00A64C96">
        <w:rPr>
          <w:rFonts w:ascii="Garamond" w:hAnsi="Garamond"/>
          <w:b/>
          <w:bCs/>
          <w:sz w:val="24"/>
          <w:szCs w:val="24"/>
        </w:rPr>
        <w:t>Gent Sejko</w:t>
      </w:r>
    </w:p>
    <w:p w14:paraId="1701CC9A" w14:textId="77777777" w:rsidR="00311A23" w:rsidRPr="00A64C96" w:rsidRDefault="00311A23" w:rsidP="00CD1368">
      <w:pPr>
        <w:spacing w:after="0" w:line="240" w:lineRule="auto"/>
        <w:ind w:firstLine="288"/>
        <w:jc w:val="both"/>
        <w:rPr>
          <w:rFonts w:ascii="Garamond" w:hAnsi="Garamond"/>
          <w:sz w:val="24"/>
          <w:szCs w:val="24"/>
        </w:rPr>
      </w:pPr>
    </w:p>
    <w:p w14:paraId="0B9429A9" w14:textId="77777777" w:rsidR="00C23112" w:rsidRPr="00A64C96" w:rsidRDefault="00C23112" w:rsidP="00763687">
      <w:pPr>
        <w:spacing w:after="0" w:line="240" w:lineRule="auto"/>
        <w:ind w:firstLine="284"/>
        <w:jc w:val="center"/>
        <w:rPr>
          <w:rFonts w:ascii="Garamond" w:hAnsi="Garamond"/>
          <w:sz w:val="24"/>
          <w:szCs w:val="24"/>
        </w:rPr>
      </w:pPr>
    </w:p>
    <w:p w14:paraId="4E0EFF6D" w14:textId="77777777" w:rsidR="00C23112" w:rsidRPr="00A64C96" w:rsidRDefault="00C23112" w:rsidP="00763687">
      <w:pPr>
        <w:spacing w:after="0" w:line="240" w:lineRule="auto"/>
        <w:ind w:firstLine="284"/>
        <w:rPr>
          <w:rFonts w:ascii="Garamond" w:hAnsi="Garamond"/>
          <w:sz w:val="24"/>
          <w:szCs w:val="24"/>
        </w:rPr>
      </w:pPr>
      <w:r w:rsidRPr="00A64C96">
        <w:rPr>
          <w:rFonts w:ascii="Garamond" w:hAnsi="Garamond"/>
          <w:sz w:val="24"/>
          <w:szCs w:val="24"/>
        </w:rPr>
        <w:t> </w:t>
      </w:r>
    </w:p>
    <w:p w14:paraId="3069D9EE" w14:textId="77777777" w:rsidR="00704AE7" w:rsidRPr="00A64C96" w:rsidRDefault="00704AE7" w:rsidP="00763687">
      <w:pPr>
        <w:spacing w:after="0" w:line="240" w:lineRule="auto"/>
        <w:ind w:firstLine="284"/>
        <w:rPr>
          <w:rFonts w:ascii="Garamond" w:hAnsi="Garamond"/>
          <w:sz w:val="24"/>
          <w:szCs w:val="24"/>
        </w:rPr>
      </w:pPr>
    </w:p>
    <w:sectPr w:rsidR="00704AE7" w:rsidRPr="00A64C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23B06"/>
    <w:multiLevelType w:val="hybridMultilevel"/>
    <w:tmpl w:val="21401630"/>
    <w:lvl w:ilvl="0" w:tplc="71BA7738">
      <w:start w:val="3"/>
      <w:numFmt w:val="lowerLetter"/>
      <w:lvlText w:val="%1."/>
      <w:lvlJc w:val="left"/>
      <w:pPr>
        <w:tabs>
          <w:tab w:val="num" w:pos="720"/>
        </w:tabs>
        <w:ind w:left="720" w:hanging="360"/>
      </w:pPr>
    </w:lvl>
    <w:lvl w:ilvl="1" w:tplc="1188DABE" w:tentative="1">
      <w:start w:val="1"/>
      <w:numFmt w:val="decimal"/>
      <w:lvlText w:val="%2."/>
      <w:lvlJc w:val="left"/>
      <w:pPr>
        <w:tabs>
          <w:tab w:val="num" w:pos="1440"/>
        </w:tabs>
        <w:ind w:left="1440" w:hanging="360"/>
      </w:pPr>
    </w:lvl>
    <w:lvl w:ilvl="2" w:tplc="22EC105C" w:tentative="1">
      <w:start w:val="1"/>
      <w:numFmt w:val="decimal"/>
      <w:lvlText w:val="%3."/>
      <w:lvlJc w:val="left"/>
      <w:pPr>
        <w:tabs>
          <w:tab w:val="num" w:pos="2160"/>
        </w:tabs>
        <w:ind w:left="2160" w:hanging="360"/>
      </w:pPr>
    </w:lvl>
    <w:lvl w:ilvl="3" w:tplc="FFCA8656" w:tentative="1">
      <w:start w:val="1"/>
      <w:numFmt w:val="decimal"/>
      <w:lvlText w:val="%4."/>
      <w:lvlJc w:val="left"/>
      <w:pPr>
        <w:tabs>
          <w:tab w:val="num" w:pos="2880"/>
        </w:tabs>
        <w:ind w:left="2880" w:hanging="360"/>
      </w:pPr>
    </w:lvl>
    <w:lvl w:ilvl="4" w:tplc="FD3C8F96" w:tentative="1">
      <w:start w:val="1"/>
      <w:numFmt w:val="decimal"/>
      <w:lvlText w:val="%5."/>
      <w:lvlJc w:val="left"/>
      <w:pPr>
        <w:tabs>
          <w:tab w:val="num" w:pos="3600"/>
        </w:tabs>
        <w:ind w:left="3600" w:hanging="360"/>
      </w:pPr>
    </w:lvl>
    <w:lvl w:ilvl="5" w:tplc="0C7A021A" w:tentative="1">
      <w:start w:val="1"/>
      <w:numFmt w:val="decimal"/>
      <w:lvlText w:val="%6."/>
      <w:lvlJc w:val="left"/>
      <w:pPr>
        <w:tabs>
          <w:tab w:val="num" w:pos="4320"/>
        </w:tabs>
        <w:ind w:left="4320" w:hanging="360"/>
      </w:pPr>
    </w:lvl>
    <w:lvl w:ilvl="6" w:tplc="E76CC3D2" w:tentative="1">
      <w:start w:val="1"/>
      <w:numFmt w:val="decimal"/>
      <w:lvlText w:val="%7."/>
      <w:lvlJc w:val="left"/>
      <w:pPr>
        <w:tabs>
          <w:tab w:val="num" w:pos="5040"/>
        </w:tabs>
        <w:ind w:left="5040" w:hanging="360"/>
      </w:pPr>
    </w:lvl>
    <w:lvl w:ilvl="7" w:tplc="06DC7F22" w:tentative="1">
      <w:start w:val="1"/>
      <w:numFmt w:val="decimal"/>
      <w:lvlText w:val="%8."/>
      <w:lvlJc w:val="left"/>
      <w:pPr>
        <w:tabs>
          <w:tab w:val="num" w:pos="5760"/>
        </w:tabs>
        <w:ind w:left="5760" w:hanging="360"/>
      </w:pPr>
    </w:lvl>
    <w:lvl w:ilvl="8" w:tplc="B4DAACC2" w:tentative="1">
      <w:start w:val="1"/>
      <w:numFmt w:val="decimal"/>
      <w:lvlText w:val="%9."/>
      <w:lvlJc w:val="left"/>
      <w:pPr>
        <w:tabs>
          <w:tab w:val="num" w:pos="6480"/>
        </w:tabs>
        <w:ind w:left="6480" w:hanging="360"/>
      </w:pPr>
    </w:lvl>
  </w:abstractNum>
  <w:abstractNum w:abstractNumId="1" w15:restartNumberingAfterBreak="0">
    <w:nsid w:val="0D651AE5"/>
    <w:multiLevelType w:val="multilevel"/>
    <w:tmpl w:val="D97AB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7D5DF5"/>
    <w:multiLevelType w:val="multilevel"/>
    <w:tmpl w:val="78F85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9B1336"/>
    <w:multiLevelType w:val="multilevel"/>
    <w:tmpl w:val="4D869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393892"/>
    <w:multiLevelType w:val="multilevel"/>
    <w:tmpl w:val="1298B6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C04D77"/>
    <w:multiLevelType w:val="multilevel"/>
    <w:tmpl w:val="39D4F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B5475C"/>
    <w:multiLevelType w:val="multilevel"/>
    <w:tmpl w:val="9670D1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B57462"/>
    <w:multiLevelType w:val="multilevel"/>
    <w:tmpl w:val="24DC7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2A5D68"/>
    <w:multiLevelType w:val="multilevel"/>
    <w:tmpl w:val="5F76C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1A4FA6"/>
    <w:multiLevelType w:val="multilevel"/>
    <w:tmpl w:val="D3FC0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E9263AA"/>
    <w:multiLevelType w:val="hybridMultilevel"/>
    <w:tmpl w:val="9578C5A2"/>
    <w:lvl w:ilvl="0" w:tplc="8836F0BE">
      <w:start w:val="2"/>
      <w:numFmt w:val="lowerLetter"/>
      <w:lvlText w:val="%1."/>
      <w:lvlJc w:val="left"/>
      <w:pPr>
        <w:tabs>
          <w:tab w:val="num" w:pos="720"/>
        </w:tabs>
        <w:ind w:left="720" w:hanging="360"/>
      </w:pPr>
    </w:lvl>
    <w:lvl w:ilvl="1" w:tplc="56C0624C" w:tentative="1">
      <w:start w:val="1"/>
      <w:numFmt w:val="decimal"/>
      <w:lvlText w:val="%2."/>
      <w:lvlJc w:val="left"/>
      <w:pPr>
        <w:tabs>
          <w:tab w:val="num" w:pos="1440"/>
        </w:tabs>
        <w:ind w:left="1440" w:hanging="360"/>
      </w:pPr>
    </w:lvl>
    <w:lvl w:ilvl="2" w:tplc="5180F544" w:tentative="1">
      <w:start w:val="1"/>
      <w:numFmt w:val="decimal"/>
      <w:lvlText w:val="%3."/>
      <w:lvlJc w:val="left"/>
      <w:pPr>
        <w:tabs>
          <w:tab w:val="num" w:pos="2160"/>
        </w:tabs>
        <w:ind w:left="2160" w:hanging="360"/>
      </w:pPr>
    </w:lvl>
    <w:lvl w:ilvl="3" w:tplc="C50A9AE0" w:tentative="1">
      <w:start w:val="1"/>
      <w:numFmt w:val="decimal"/>
      <w:lvlText w:val="%4."/>
      <w:lvlJc w:val="left"/>
      <w:pPr>
        <w:tabs>
          <w:tab w:val="num" w:pos="2880"/>
        </w:tabs>
        <w:ind w:left="2880" w:hanging="360"/>
      </w:pPr>
    </w:lvl>
    <w:lvl w:ilvl="4" w:tplc="0B54E2C8" w:tentative="1">
      <w:start w:val="1"/>
      <w:numFmt w:val="decimal"/>
      <w:lvlText w:val="%5."/>
      <w:lvlJc w:val="left"/>
      <w:pPr>
        <w:tabs>
          <w:tab w:val="num" w:pos="3600"/>
        </w:tabs>
        <w:ind w:left="3600" w:hanging="360"/>
      </w:pPr>
    </w:lvl>
    <w:lvl w:ilvl="5" w:tplc="92B21C98" w:tentative="1">
      <w:start w:val="1"/>
      <w:numFmt w:val="decimal"/>
      <w:lvlText w:val="%6."/>
      <w:lvlJc w:val="left"/>
      <w:pPr>
        <w:tabs>
          <w:tab w:val="num" w:pos="4320"/>
        </w:tabs>
        <w:ind w:left="4320" w:hanging="360"/>
      </w:pPr>
    </w:lvl>
    <w:lvl w:ilvl="6" w:tplc="56C08A36" w:tentative="1">
      <w:start w:val="1"/>
      <w:numFmt w:val="decimal"/>
      <w:lvlText w:val="%7."/>
      <w:lvlJc w:val="left"/>
      <w:pPr>
        <w:tabs>
          <w:tab w:val="num" w:pos="5040"/>
        </w:tabs>
        <w:ind w:left="5040" w:hanging="360"/>
      </w:pPr>
    </w:lvl>
    <w:lvl w:ilvl="7" w:tplc="AA94952C" w:tentative="1">
      <w:start w:val="1"/>
      <w:numFmt w:val="decimal"/>
      <w:lvlText w:val="%8."/>
      <w:lvlJc w:val="left"/>
      <w:pPr>
        <w:tabs>
          <w:tab w:val="num" w:pos="5760"/>
        </w:tabs>
        <w:ind w:left="5760" w:hanging="360"/>
      </w:pPr>
    </w:lvl>
    <w:lvl w:ilvl="8" w:tplc="2F2AB446" w:tentative="1">
      <w:start w:val="1"/>
      <w:numFmt w:val="decimal"/>
      <w:lvlText w:val="%9."/>
      <w:lvlJc w:val="left"/>
      <w:pPr>
        <w:tabs>
          <w:tab w:val="num" w:pos="6480"/>
        </w:tabs>
        <w:ind w:left="6480" w:hanging="360"/>
      </w:pPr>
    </w:lvl>
  </w:abstractNum>
  <w:abstractNum w:abstractNumId="11" w15:restartNumberingAfterBreak="0">
    <w:nsid w:val="71B61739"/>
    <w:multiLevelType w:val="multilevel"/>
    <w:tmpl w:val="515818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5"/>
    <w:lvlOverride w:ilvl="0">
      <w:lvl w:ilvl="0">
        <w:numFmt w:val="lowerLetter"/>
        <w:lvlText w:val="%1."/>
        <w:lvlJc w:val="left"/>
      </w:lvl>
    </w:lvlOverride>
  </w:num>
  <w:num w:numId="3">
    <w:abstractNumId w:val="10"/>
  </w:num>
  <w:num w:numId="4">
    <w:abstractNumId w:val="7"/>
  </w:num>
  <w:num w:numId="5">
    <w:abstractNumId w:val="7"/>
    <w:lvlOverride w:ilvl="0">
      <w:lvl w:ilvl="0">
        <w:numFmt w:val="lowerLetter"/>
        <w:lvlText w:val="%1."/>
        <w:lvlJc w:val="left"/>
      </w:lvl>
    </w:lvlOverride>
  </w:num>
  <w:num w:numId="6">
    <w:abstractNumId w:val="7"/>
    <w:lvlOverride w:ilvl="0">
      <w:lvl w:ilvl="0">
        <w:numFmt w:val="decimal"/>
        <w:lvlText w:val="%1."/>
        <w:lvlJc w:val="left"/>
      </w:lvl>
    </w:lvlOverride>
  </w:num>
  <w:num w:numId="7">
    <w:abstractNumId w:val="3"/>
  </w:num>
  <w:num w:numId="8">
    <w:abstractNumId w:val="9"/>
  </w:num>
  <w:num w:numId="9">
    <w:abstractNumId w:val="11"/>
    <w:lvlOverride w:ilvl="0">
      <w:lvl w:ilvl="0">
        <w:numFmt w:val="decimal"/>
        <w:lvlText w:val="%1."/>
        <w:lvlJc w:val="left"/>
      </w:lvl>
    </w:lvlOverride>
  </w:num>
  <w:num w:numId="10">
    <w:abstractNumId w:val="4"/>
    <w:lvlOverride w:ilvl="0">
      <w:lvl w:ilvl="0">
        <w:numFmt w:val="decimal"/>
        <w:lvlText w:val="%1."/>
        <w:lvlJc w:val="left"/>
      </w:lvl>
    </w:lvlOverride>
  </w:num>
  <w:num w:numId="11">
    <w:abstractNumId w:val="2"/>
  </w:num>
  <w:num w:numId="12">
    <w:abstractNumId w:val="0"/>
  </w:num>
  <w:num w:numId="13">
    <w:abstractNumId w:val="1"/>
  </w:num>
  <w:num w:numId="14">
    <w:abstractNumId w:val="6"/>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112"/>
    <w:rsid w:val="000D6A40"/>
    <w:rsid w:val="0011409A"/>
    <w:rsid w:val="001D2A7B"/>
    <w:rsid w:val="00204281"/>
    <w:rsid w:val="00311A23"/>
    <w:rsid w:val="00704AE7"/>
    <w:rsid w:val="00763687"/>
    <w:rsid w:val="00A64C96"/>
    <w:rsid w:val="00AE483A"/>
    <w:rsid w:val="00C23112"/>
    <w:rsid w:val="00CD1368"/>
    <w:rsid w:val="00CE5964"/>
    <w:rsid w:val="00D5271B"/>
    <w:rsid w:val="00F77D32"/>
    <w:rsid w:val="00FE3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0EF91"/>
  <w15:chartTrackingRefBased/>
  <w15:docId w15:val="{EADAC11A-AA95-4C0D-8E7C-6BFDA44CE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6732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E4D6B34458FB4253A771B3C120CE2B0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47</Nr_x002e__x0020_akti>
    <Data_x0020_e_x0020_Krijimit xmlns="0e656187-b300-4fb0-8bf4-3a50f872073c">2024-10-07T14:24:30Z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2024-10-07T00:00:00Z</Date_x0020_protokolli>
    <Titulli xmlns="0e656187-b300-4fb0-8bf4-3a50f872073c">Për disa ndryshime në rregulloren "Për administrimin e rrezikut në veprimtarinë e subjekteve financiare jobanka"</Titulli>
    <Modifikuesi xmlns="0e656187-b300-4fb0-8bf4-3a50f872073c">Fjora.Cahani</Modifikuesi>
    <Nr_x002e__x0020_prot_x0020_QBZ xmlns="0e656187-b300-4fb0-8bf4-3a50f872073c">1724/1</Nr_x002e__x0020_prot_x0020_QBZ>
    <Data_x0020_e_x0020_Modifikimit xmlns="0e656187-b300-4fb0-8bf4-3a50f872073c">2024-10-08T10:48:46Z</Data_x0020_e_x0020_Modifikimit>
    <Dekretuar xmlns="0e656187-b300-4fb0-8bf4-3a50f872073c">false</Dekretuar>
    <Data xmlns="0e656187-b300-4fb0-8bf4-3a50f872073c">2024-10-02T00:00:00Z</Data>
    <Nr_x002e__x0020_protokolli_x0020_i_x0020_aktit xmlns="0e656187-b300-4fb0-8bf4-3a50f872073c">4096</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E4D6B34458FB4253A771B3C120CE2B0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83A75C5-D6F0-492D-BD93-0A9D757AAE54}">
  <ds:schemaRefs>
    <ds:schemaRef ds:uri="http://schemas.microsoft.com/sharepoint/v3/contenttype/forms"/>
  </ds:schemaRefs>
</ds:datastoreItem>
</file>

<file path=customXml/itemProps2.xml><?xml version="1.0" encoding="utf-8"?>
<ds:datastoreItem xmlns:ds="http://schemas.openxmlformats.org/officeDocument/2006/customXml" ds:itemID="{26E4BC43-5DE4-4B3A-81DB-9EE670705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685A3DB-41CA-4666-BC8D-FC11A037E348}">
  <ds:schemaRefs>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2006/metadata/properties"/>
    <ds:schemaRef ds:uri="0e656187-b300-4fb0-8bf4-3a50f872073c"/>
    <ds:schemaRef ds:uri="http://purl.org/dc/dcmitype/"/>
    <ds:schemaRef ds:uri="http://purl.org/dc/terms/"/>
  </ds:schemaRefs>
</ds:datastoreItem>
</file>

<file path=customXml/itemProps4.xml><?xml version="1.0" encoding="utf-8"?>
<ds:datastoreItem xmlns:ds="http://schemas.openxmlformats.org/officeDocument/2006/customXml" ds:itemID="{595E3ACE-B1F4-4C80-8487-DB409E4C2E33}">
  <ds:schemaRefs>
    <ds:schemaRef ds:uri="http://schemas.microsoft.com/sharepoint/v3/contenttype/forms"/>
  </ds:schemaRefs>
</ds:datastoreItem>
</file>

<file path=customXml/itemProps5.xml><?xml version="1.0" encoding="utf-8"?>
<ds:datastoreItem xmlns:ds="http://schemas.openxmlformats.org/officeDocument/2006/customXml" ds:itemID="{04A1DFF1-3781-401D-89F7-98DD7962FC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1270</Words>
  <Characters>7243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Për disa ndryshime në rregulloren "Për administrimin e rrezikut në veprimtarinë e subjekteve financiare jobanka"</vt:lpstr>
    </vt:vector>
  </TitlesOfParts>
  <Company>AKSHI</Company>
  <LinksUpToDate>false</LinksUpToDate>
  <CharactersWithSpaces>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në rregulloren "Për administrimin e rrezikut në veprimtarinë e subjekteve financiare jobanka"</dc:title>
  <dc:creator>Suada Daci</dc:creator>
  <cp:lastModifiedBy>Amarilda Muja</cp:lastModifiedBy>
  <cp:revision>8</cp:revision>
  <dcterms:created xsi:type="dcterms:W3CDTF">2024-10-08T08:25:00Z</dcterms:created>
  <dcterms:modified xsi:type="dcterms:W3CDTF">2024-10-08T10:29:00Z</dcterms:modified>
</cp:coreProperties>
</file>