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C5517"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VENDIM</w:t>
      </w:r>
    </w:p>
    <w:p w14:paraId="67991118"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Nr. 51, datë 6.11.2024</w:t>
      </w:r>
    </w:p>
    <w:p w14:paraId="7631B955" w14:textId="77777777" w:rsidR="00D20524" w:rsidRPr="00474D79" w:rsidRDefault="00D20524" w:rsidP="00D20524">
      <w:pPr>
        <w:spacing w:after="0" w:line="240" w:lineRule="auto"/>
        <w:ind w:firstLine="284"/>
        <w:jc w:val="center"/>
        <w:rPr>
          <w:rFonts w:ascii="Garamond" w:hAnsi="Garamond"/>
          <w:b/>
          <w:bCs/>
          <w:sz w:val="24"/>
          <w:szCs w:val="24"/>
        </w:rPr>
      </w:pPr>
    </w:p>
    <w:p w14:paraId="6C9FD621"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cs="Times New Roman Bold"/>
          <w:b/>
          <w:bCs/>
          <w:sz w:val="24"/>
          <w:szCs w:val="24"/>
        </w:rPr>
        <w:t xml:space="preserve">PËR MIRATIMIN E RREGULLORES </w:t>
      </w:r>
      <w:r w:rsidRPr="00474D79">
        <w:rPr>
          <w:rFonts w:ascii="Garamond" w:eastAsia="Arial Unicode MS" w:hAnsi="Garamond" w:cs="Arial Unicode MS"/>
          <w:b/>
          <w:bCs/>
          <w:sz w:val="24"/>
          <w:szCs w:val="24"/>
        </w:rPr>
        <w:t>“</w:t>
      </w:r>
      <w:r w:rsidRPr="00474D79">
        <w:rPr>
          <w:rFonts w:ascii="Garamond" w:hAnsi="Garamond" w:cs="Times New Roman Bold"/>
          <w:b/>
          <w:bCs/>
          <w:sz w:val="24"/>
          <w:szCs w:val="24"/>
        </w:rPr>
        <w:t>PËR ADMINISTRIMIN E RREZIKUT OPERACIONAL NGA BANKAT, INSTITUCIONET E PAGESAVE DHE INSTITUCIONET E PARASË ELEKTRONIKE</w:t>
      </w:r>
      <w:r w:rsidRPr="00474D79">
        <w:rPr>
          <w:rFonts w:ascii="Garamond" w:eastAsia="Arial Unicode MS" w:hAnsi="Garamond" w:cs="Arial Unicode MS"/>
          <w:b/>
          <w:bCs/>
          <w:sz w:val="24"/>
          <w:szCs w:val="24"/>
        </w:rPr>
        <w:t>”</w:t>
      </w:r>
    </w:p>
    <w:p w14:paraId="4AE6B1B0" w14:textId="77777777" w:rsidR="00D20524" w:rsidRPr="00474D79" w:rsidRDefault="00D20524" w:rsidP="00D20524">
      <w:pPr>
        <w:spacing w:after="0" w:line="240" w:lineRule="auto"/>
        <w:ind w:firstLine="284"/>
        <w:jc w:val="center"/>
        <w:rPr>
          <w:rFonts w:ascii="Garamond" w:hAnsi="Garamond"/>
          <w:b/>
          <w:bCs/>
          <w:sz w:val="24"/>
          <w:szCs w:val="24"/>
        </w:rPr>
      </w:pPr>
    </w:p>
    <w:p w14:paraId="0F3B96F7" w14:textId="7F77926D"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Në bazë dhe për zbatim të nenit 12, shkronja “a” dhe nenit 43, shkronja “c”</w:t>
      </w:r>
      <w:r w:rsidR="00462D82">
        <w:rPr>
          <w:rFonts w:ascii="Garamond" w:hAnsi="Garamond"/>
          <w:sz w:val="24"/>
          <w:szCs w:val="24"/>
        </w:rPr>
        <w:t>,</w:t>
      </w:r>
      <w:r w:rsidRPr="00474D79">
        <w:rPr>
          <w:rFonts w:ascii="Garamond" w:hAnsi="Garamond"/>
          <w:sz w:val="24"/>
          <w:szCs w:val="24"/>
        </w:rPr>
        <w:t xml:space="preserve"> të ligjit nr. 8269, datë 23.12.1997</w:t>
      </w:r>
      <w:r w:rsidR="00462D82">
        <w:rPr>
          <w:rFonts w:ascii="Garamond" w:hAnsi="Garamond"/>
          <w:sz w:val="24"/>
          <w:szCs w:val="24"/>
        </w:rPr>
        <w:t>,</w:t>
      </w:r>
      <w:r w:rsidRPr="00474D79">
        <w:rPr>
          <w:rFonts w:ascii="Garamond" w:hAnsi="Garamond"/>
          <w:sz w:val="24"/>
          <w:szCs w:val="24"/>
        </w:rPr>
        <w:t xml:space="preserve"> “Për Bankën e Shqipërisë”, </w:t>
      </w:r>
      <w:r w:rsidR="00462D82" w:rsidRPr="00474D79">
        <w:rPr>
          <w:rFonts w:ascii="Garamond" w:hAnsi="Garamond"/>
          <w:sz w:val="24"/>
          <w:szCs w:val="24"/>
        </w:rPr>
        <w:t>të</w:t>
      </w:r>
      <w:r w:rsidRPr="00474D79">
        <w:rPr>
          <w:rFonts w:ascii="Garamond" w:hAnsi="Garamond"/>
          <w:sz w:val="24"/>
          <w:szCs w:val="24"/>
        </w:rPr>
        <w:t xml:space="preserve"> ndryshuar;</w:t>
      </w:r>
      <w:r w:rsidR="00462D82" w:rsidRPr="00462D82">
        <w:rPr>
          <w:rFonts w:ascii="Garamond" w:hAnsi="Garamond"/>
          <w:sz w:val="24"/>
          <w:szCs w:val="24"/>
        </w:rPr>
        <w:t xml:space="preserve"> </w:t>
      </w:r>
      <w:r w:rsidR="00462D82" w:rsidRPr="00474D79">
        <w:rPr>
          <w:rFonts w:ascii="Garamond" w:hAnsi="Garamond"/>
          <w:sz w:val="24"/>
          <w:szCs w:val="24"/>
        </w:rPr>
        <w:t>të</w:t>
      </w:r>
      <w:r w:rsidRPr="00474D79">
        <w:rPr>
          <w:rFonts w:ascii="Garamond" w:hAnsi="Garamond"/>
          <w:sz w:val="24"/>
          <w:szCs w:val="24"/>
        </w:rPr>
        <w:t xml:space="preserve"> nenit 57, pika 4, nenit 58, pika 1, shkronja “c” dhe nenit 126</w:t>
      </w:r>
      <w:r w:rsidR="00462D82">
        <w:rPr>
          <w:rFonts w:ascii="Garamond" w:hAnsi="Garamond"/>
          <w:sz w:val="24"/>
          <w:szCs w:val="24"/>
        </w:rPr>
        <w:t>,</w:t>
      </w:r>
      <w:r w:rsidRPr="00474D79">
        <w:rPr>
          <w:rFonts w:ascii="Garamond" w:hAnsi="Garamond"/>
          <w:sz w:val="24"/>
          <w:szCs w:val="24"/>
        </w:rPr>
        <w:t xml:space="preserve"> të ligjit nr. 9662, datë 18.12.2006</w:t>
      </w:r>
      <w:r w:rsidR="00462D82">
        <w:rPr>
          <w:rFonts w:ascii="Garamond" w:hAnsi="Garamond"/>
          <w:sz w:val="24"/>
          <w:szCs w:val="24"/>
        </w:rPr>
        <w:t>,</w:t>
      </w:r>
      <w:r w:rsidRPr="00474D79">
        <w:rPr>
          <w:rFonts w:ascii="Garamond" w:hAnsi="Garamond"/>
          <w:sz w:val="24"/>
          <w:szCs w:val="24"/>
        </w:rPr>
        <w:t xml:space="preserve"> “Për bankat në Republikën e Shqipërisë”, </w:t>
      </w:r>
      <w:r w:rsidR="00462D82" w:rsidRPr="00474D79">
        <w:rPr>
          <w:rFonts w:ascii="Garamond" w:hAnsi="Garamond"/>
          <w:sz w:val="24"/>
          <w:szCs w:val="24"/>
        </w:rPr>
        <w:t>të</w:t>
      </w:r>
      <w:r w:rsidRPr="00474D79">
        <w:rPr>
          <w:rFonts w:ascii="Garamond" w:hAnsi="Garamond"/>
          <w:sz w:val="24"/>
          <w:szCs w:val="24"/>
        </w:rPr>
        <w:t xml:space="preserve"> ndryshuar; dhe të nenit 88, pika 3</w:t>
      </w:r>
      <w:r w:rsidR="00462D82">
        <w:rPr>
          <w:rFonts w:ascii="Garamond" w:hAnsi="Garamond"/>
          <w:sz w:val="24"/>
          <w:szCs w:val="24"/>
        </w:rPr>
        <w:t>,</w:t>
      </w:r>
      <w:r w:rsidRPr="00474D79">
        <w:rPr>
          <w:rFonts w:ascii="Garamond" w:hAnsi="Garamond"/>
          <w:sz w:val="24"/>
          <w:szCs w:val="24"/>
        </w:rPr>
        <w:t xml:space="preserve"> të ligjit nr. 55/2020, datë 30.4.2020</w:t>
      </w:r>
      <w:r w:rsidR="00462D82">
        <w:rPr>
          <w:rFonts w:ascii="Garamond" w:hAnsi="Garamond"/>
          <w:sz w:val="24"/>
          <w:szCs w:val="24"/>
        </w:rPr>
        <w:t>,</w:t>
      </w:r>
      <w:r w:rsidRPr="00474D79">
        <w:rPr>
          <w:rFonts w:ascii="Garamond" w:hAnsi="Garamond"/>
          <w:sz w:val="24"/>
          <w:szCs w:val="24"/>
        </w:rPr>
        <w:t xml:space="preserve"> “Për shërbimet e pagesave”; Këshilli Mbikëqyrës i Bankës së Shqipërisë, me propozim të Departamentit të Mbikëqyrjes,</w:t>
      </w:r>
    </w:p>
    <w:p w14:paraId="7C1B3607" w14:textId="77777777" w:rsidR="00D20524" w:rsidRPr="00474D79" w:rsidRDefault="00D20524" w:rsidP="00D20524">
      <w:pPr>
        <w:spacing w:after="0" w:line="240" w:lineRule="auto"/>
        <w:ind w:firstLine="284"/>
        <w:jc w:val="both"/>
        <w:rPr>
          <w:rFonts w:ascii="Garamond" w:hAnsi="Garamond" w:cs="Arial"/>
          <w:b/>
          <w:bCs/>
          <w:smallCaps/>
          <w:sz w:val="24"/>
          <w:szCs w:val="24"/>
        </w:rPr>
      </w:pPr>
    </w:p>
    <w:p w14:paraId="3AF4A281" w14:textId="77777777" w:rsidR="00D20524" w:rsidRPr="00474D79" w:rsidRDefault="00D20524" w:rsidP="00D20524">
      <w:pPr>
        <w:spacing w:after="0" w:line="240" w:lineRule="auto"/>
        <w:ind w:firstLine="284"/>
        <w:jc w:val="center"/>
        <w:rPr>
          <w:rFonts w:ascii="Garamond" w:hAnsi="Garamond"/>
          <w:sz w:val="24"/>
          <w:szCs w:val="24"/>
        </w:rPr>
      </w:pPr>
      <w:r w:rsidRPr="00474D79">
        <w:rPr>
          <w:rFonts w:ascii="Garamond" w:hAnsi="Garamond"/>
          <w:sz w:val="24"/>
          <w:szCs w:val="24"/>
        </w:rPr>
        <w:t>VENDOSI:</w:t>
      </w:r>
    </w:p>
    <w:p w14:paraId="560B015C" w14:textId="77777777" w:rsidR="00D20524" w:rsidRPr="00474D79" w:rsidRDefault="00D20524" w:rsidP="00D20524">
      <w:pPr>
        <w:spacing w:after="0" w:line="240" w:lineRule="auto"/>
        <w:ind w:firstLine="284"/>
        <w:jc w:val="both"/>
        <w:rPr>
          <w:rFonts w:ascii="Garamond" w:hAnsi="Garamond" w:cs="Arial"/>
          <w:b/>
          <w:bCs/>
          <w:smallCaps/>
          <w:sz w:val="24"/>
          <w:szCs w:val="24"/>
        </w:rPr>
      </w:pPr>
    </w:p>
    <w:p w14:paraId="7F3FFFBC" w14:textId="0339B58F"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1. Të miratojë rregulloren “Për administrimin e rrezikut operacional nga bankat, institucionet e pagesave dhe institucionet e parasë elektronike”, sipas tekstit bashkëlidhur këtij vendimi.</w:t>
      </w:r>
    </w:p>
    <w:p w14:paraId="5542BCEA" w14:textId="36C930B8" w:rsidR="00D20524" w:rsidRPr="00474D79" w:rsidRDefault="00D20524" w:rsidP="00D20524">
      <w:pPr>
        <w:pStyle w:val="BodyText"/>
        <w:tabs>
          <w:tab w:val="left" w:pos="-360"/>
        </w:tabs>
        <w:spacing w:line="240" w:lineRule="auto"/>
        <w:ind w:firstLine="284"/>
        <w:rPr>
          <w:rFonts w:ascii="Garamond" w:hAnsi="Garamond"/>
        </w:rPr>
      </w:pPr>
      <w:r w:rsidRPr="00474D79">
        <w:rPr>
          <w:rFonts w:ascii="Garamond" w:hAnsi="Garamond"/>
        </w:rPr>
        <w:t>2. Ngarkohen subjektet e rregullores për zbatimin e këtij vendimi.</w:t>
      </w:r>
    </w:p>
    <w:p w14:paraId="7C565351" w14:textId="545661FB" w:rsidR="00D20524" w:rsidRPr="00474D79" w:rsidRDefault="00D20524" w:rsidP="00D20524">
      <w:pPr>
        <w:pStyle w:val="BodyText"/>
        <w:tabs>
          <w:tab w:val="left" w:pos="-360"/>
        </w:tabs>
        <w:spacing w:line="240" w:lineRule="auto"/>
        <w:ind w:firstLine="284"/>
        <w:rPr>
          <w:rFonts w:ascii="Garamond" w:hAnsi="Garamond"/>
        </w:rPr>
      </w:pPr>
      <w:r w:rsidRPr="00474D79">
        <w:rPr>
          <w:rFonts w:ascii="Garamond" w:hAnsi="Garamond"/>
        </w:rPr>
        <w:t>3. Ngarkohet Departamenti i Mbikëqyrjes në Bankën e Shqipërisë për ndjekjen e zbatimit të këtij vendimi.</w:t>
      </w:r>
    </w:p>
    <w:p w14:paraId="16C7435D" w14:textId="55EF4230" w:rsidR="00D20524" w:rsidRPr="00474D79" w:rsidRDefault="00D20524" w:rsidP="00D20524">
      <w:pPr>
        <w:pStyle w:val="BodyText"/>
        <w:tabs>
          <w:tab w:val="left" w:pos="-360"/>
        </w:tabs>
        <w:spacing w:line="240" w:lineRule="auto"/>
        <w:ind w:firstLine="284"/>
        <w:rPr>
          <w:rFonts w:ascii="Garamond" w:hAnsi="Garamond"/>
        </w:rPr>
      </w:pPr>
      <w:r w:rsidRPr="00474D79">
        <w:rPr>
          <w:rFonts w:ascii="Garamond" w:hAnsi="Garamond"/>
        </w:rPr>
        <w:t>4. Ngarkohen Kabineti i Guvernatorit dhe Departamenti i Kërkimeve me publikimin e këtij vendimi, përkatësisht në Fletoren Zyrtare të Republikës së Shqipërisë dhe në Buletinin Zyrtar të Bankës së Shqipërisë.</w:t>
      </w:r>
    </w:p>
    <w:p w14:paraId="757000DA" w14:textId="7777777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Ky vendim hyn në fuqi 15 ditë pas botimit në Fletoren Zyrtare.</w:t>
      </w:r>
    </w:p>
    <w:p w14:paraId="64DDA2A1" w14:textId="77777777" w:rsidR="00D20524" w:rsidRPr="00474D79" w:rsidRDefault="00D20524" w:rsidP="00D20524">
      <w:pPr>
        <w:spacing w:after="0" w:line="240" w:lineRule="auto"/>
        <w:ind w:firstLine="284"/>
        <w:jc w:val="both"/>
        <w:rPr>
          <w:rFonts w:ascii="Garamond" w:hAnsi="Garamond"/>
          <w:sz w:val="24"/>
          <w:szCs w:val="24"/>
        </w:rPr>
      </w:pPr>
    </w:p>
    <w:p w14:paraId="25B4E902" w14:textId="77777777" w:rsidR="00D20524" w:rsidRPr="00474D79" w:rsidRDefault="00D20524" w:rsidP="00D20524">
      <w:pPr>
        <w:tabs>
          <w:tab w:val="left" w:pos="2820"/>
          <w:tab w:val="left" w:pos="5480"/>
          <w:tab w:val="left" w:pos="8300"/>
        </w:tabs>
        <w:spacing w:after="0" w:line="240" w:lineRule="auto"/>
        <w:ind w:firstLine="284"/>
        <w:jc w:val="right"/>
        <w:rPr>
          <w:rFonts w:ascii="Garamond" w:hAnsi="Garamond" w:cs="Garamond"/>
          <w:sz w:val="24"/>
          <w:szCs w:val="24"/>
        </w:rPr>
      </w:pPr>
      <w:r w:rsidRPr="00474D79">
        <w:rPr>
          <w:rFonts w:ascii="Garamond" w:hAnsi="Garamond" w:cs="Garamond"/>
          <w:sz w:val="24"/>
          <w:szCs w:val="24"/>
        </w:rPr>
        <w:t>KRYETAR</w:t>
      </w:r>
    </w:p>
    <w:p w14:paraId="285BC87F" w14:textId="77777777" w:rsidR="00D20524" w:rsidRDefault="00D20524" w:rsidP="00D20524">
      <w:pPr>
        <w:tabs>
          <w:tab w:val="left" w:pos="2820"/>
          <w:tab w:val="left" w:pos="5480"/>
          <w:tab w:val="left" w:pos="8300"/>
        </w:tabs>
        <w:spacing w:after="0" w:line="240" w:lineRule="auto"/>
        <w:ind w:firstLine="284"/>
        <w:jc w:val="right"/>
        <w:rPr>
          <w:rFonts w:ascii="Garamond" w:hAnsi="Garamond" w:cs="Garamond"/>
          <w:b/>
          <w:bCs/>
          <w:sz w:val="24"/>
          <w:szCs w:val="24"/>
        </w:rPr>
      </w:pPr>
      <w:r w:rsidRPr="00474D79">
        <w:rPr>
          <w:rFonts w:ascii="Garamond" w:hAnsi="Garamond" w:cs="Garamond"/>
          <w:b/>
          <w:bCs/>
          <w:sz w:val="24"/>
          <w:szCs w:val="24"/>
        </w:rPr>
        <w:t xml:space="preserve">Gent Sejko </w:t>
      </w:r>
    </w:p>
    <w:p w14:paraId="2219A060" w14:textId="4C2A3EBE" w:rsidR="008B0ACF" w:rsidRDefault="008B0ACF" w:rsidP="00D20524">
      <w:pPr>
        <w:tabs>
          <w:tab w:val="left" w:pos="2820"/>
          <w:tab w:val="left" w:pos="5480"/>
          <w:tab w:val="left" w:pos="8300"/>
        </w:tabs>
        <w:spacing w:after="0" w:line="240" w:lineRule="auto"/>
        <w:ind w:firstLine="284"/>
        <w:jc w:val="right"/>
        <w:rPr>
          <w:rFonts w:ascii="Garamond" w:hAnsi="Garamond" w:cs="Garamond"/>
          <w:b/>
          <w:bCs/>
          <w:sz w:val="24"/>
          <w:szCs w:val="24"/>
        </w:rPr>
      </w:pPr>
    </w:p>
    <w:p w14:paraId="0BB5DDE3" w14:textId="77777777" w:rsidR="008B0ACF" w:rsidRPr="00474D79" w:rsidRDefault="008B0ACF" w:rsidP="00D20524">
      <w:pPr>
        <w:tabs>
          <w:tab w:val="left" w:pos="2820"/>
          <w:tab w:val="left" w:pos="5480"/>
          <w:tab w:val="left" w:pos="8300"/>
        </w:tabs>
        <w:spacing w:after="0" w:line="240" w:lineRule="auto"/>
        <w:ind w:firstLine="284"/>
        <w:jc w:val="right"/>
        <w:rPr>
          <w:rFonts w:ascii="Garamond" w:hAnsi="Garamond" w:cs="Garamond"/>
          <w:b/>
          <w:bCs/>
          <w:sz w:val="24"/>
          <w:szCs w:val="24"/>
        </w:rPr>
      </w:pPr>
    </w:p>
    <w:p w14:paraId="35F18856" w14:textId="66616C61" w:rsidR="008B0ACF" w:rsidRDefault="008B0ACF" w:rsidP="008B0ACF">
      <w:pPr>
        <w:spacing w:after="0" w:line="240" w:lineRule="auto"/>
        <w:ind w:firstLine="284"/>
        <w:jc w:val="center"/>
        <w:rPr>
          <w:rFonts w:ascii="Garamond" w:eastAsia="Arial Unicode MS" w:hAnsi="Garamond" w:cs="Arial Unicode MS"/>
          <w:bCs/>
          <w:sz w:val="24"/>
          <w:szCs w:val="24"/>
        </w:rPr>
      </w:pPr>
      <w:r w:rsidRPr="008B0ACF">
        <w:rPr>
          <w:rFonts w:ascii="Garamond" w:hAnsi="Garamond" w:cs="Times New Roman Bold"/>
          <w:bCs/>
          <w:sz w:val="24"/>
          <w:szCs w:val="24"/>
        </w:rPr>
        <w:t>RREGULLORE</w:t>
      </w:r>
    </w:p>
    <w:p w14:paraId="7C56EB6D" w14:textId="0E08102E" w:rsidR="008B0ACF" w:rsidRPr="008B0ACF" w:rsidRDefault="008B0ACF" w:rsidP="008B0ACF">
      <w:pPr>
        <w:spacing w:after="0" w:line="240" w:lineRule="auto"/>
        <w:ind w:firstLine="284"/>
        <w:jc w:val="center"/>
        <w:rPr>
          <w:rFonts w:ascii="Garamond" w:hAnsi="Garamond"/>
          <w:bCs/>
          <w:sz w:val="24"/>
          <w:szCs w:val="24"/>
        </w:rPr>
      </w:pPr>
      <w:r w:rsidRPr="008B0ACF">
        <w:rPr>
          <w:rFonts w:ascii="Garamond" w:hAnsi="Garamond" w:cs="Times New Roman Bold"/>
          <w:bCs/>
          <w:sz w:val="24"/>
          <w:szCs w:val="24"/>
        </w:rPr>
        <w:t>PËR ADMINISTRIMIN E RREZIKUT OPERACIONAL NGA BANKAT, INSTITUCIONET E PAGESAVE DHE INSTITUCIONET E PARASË ELEKTRONIKE</w:t>
      </w:r>
    </w:p>
    <w:p w14:paraId="2D92BA6C" w14:textId="77777777" w:rsidR="008B0ACF" w:rsidRPr="00474D79" w:rsidRDefault="008B0ACF" w:rsidP="008B0ACF">
      <w:pPr>
        <w:spacing w:after="0" w:line="240" w:lineRule="auto"/>
        <w:ind w:firstLine="284"/>
        <w:jc w:val="center"/>
        <w:rPr>
          <w:rFonts w:ascii="Garamond" w:hAnsi="Garamond"/>
          <w:b/>
          <w:bCs/>
          <w:sz w:val="24"/>
          <w:szCs w:val="24"/>
        </w:rPr>
      </w:pPr>
    </w:p>
    <w:p w14:paraId="642770A6" w14:textId="77777777" w:rsidR="00D20524" w:rsidRPr="00474D79" w:rsidRDefault="00D20524" w:rsidP="00D20524">
      <w:pPr>
        <w:spacing w:after="0" w:line="240" w:lineRule="auto"/>
        <w:ind w:firstLine="284"/>
        <w:jc w:val="both"/>
        <w:rPr>
          <w:rFonts w:ascii="Garamond" w:hAnsi="Garamond"/>
          <w:sz w:val="24"/>
          <w:szCs w:val="24"/>
        </w:rPr>
      </w:pPr>
    </w:p>
    <w:p w14:paraId="450A58F3" w14:textId="77777777" w:rsidR="00D20524" w:rsidRPr="00462D82" w:rsidRDefault="00D20524" w:rsidP="00D20524">
      <w:pPr>
        <w:spacing w:after="0" w:line="240" w:lineRule="auto"/>
        <w:ind w:firstLine="284"/>
        <w:jc w:val="center"/>
        <w:rPr>
          <w:rFonts w:ascii="Garamond" w:hAnsi="Garamond"/>
          <w:bCs/>
          <w:sz w:val="24"/>
          <w:szCs w:val="24"/>
        </w:rPr>
      </w:pPr>
      <w:r w:rsidRPr="00462D82">
        <w:rPr>
          <w:rFonts w:ascii="Garamond" w:hAnsi="Garamond"/>
          <w:bCs/>
          <w:sz w:val="24"/>
          <w:szCs w:val="24"/>
        </w:rPr>
        <w:t>KREU I</w:t>
      </w:r>
    </w:p>
    <w:p w14:paraId="39032F14" w14:textId="77777777" w:rsidR="00D20524" w:rsidRPr="00462D82" w:rsidRDefault="00D20524" w:rsidP="00D20524">
      <w:pPr>
        <w:spacing w:after="0" w:line="240" w:lineRule="auto"/>
        <w:ind w:firstLine="284"/>
        <w:jc w:val="center"/>
        <w:rPr>
          <w:rFonts w:ascii="Garamond" w:hAnsi="Garamond"/>
          <w:bCs/>
          <w:sz w:val="24"/>
          <w:szCs w:val="24"/>
        </w:rPr>
      </w:pPr>
      <w:r w:rsidRPr="00462D82">
        <w:rPr>
          <w:rFonts w:ascii="Garamond" w:hAnsi="Garamond"/>
          <w:bCs/>
          <w:sz w:val="24"/>
          <w:szCs w:val="24"/>
        </w:rPr>
        <w:t>TË PËRGJITHSHME</w:t>
      </w:r>
    </w:p>
    <w:p w14:paraId="4A31F313" w14:textId="77777777" w:rsidR="00D20524" w:rsidRPr="00462D82" w:rsidRDefault="00D20524" w:rsidP="00D20524">
      <w:pPr>
        <w:spacing w:after="0" w:line="240" w:lineRule="auto"/>
        <w:ind w:firstLine="284"/>
        <w:jc w:val="center"/>
        <w:rPr>
          <w:rFonts w:ascii="Garamond" w:hAnsi="Garamond"/>
          <w:bCs/>
          <w:sz w:val="24"/>
          <w:szCs w:val="24"/>
        </w:rPr>
      </w:pPr>
    </w:p>
    <w:p w14:paraId="7946ED73"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1</w:t>
      </w:r>
    </w:p>
    <w:p w14:paraId="311054E8"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Objekti</w:t>
      </w:r>
    </w:p>
    <w:p w14:paraId="5A961322" w14:textId="77777777" w:rsidR="00D20524" w:rsidRPr="00474D79" w:rsidRDefault="00D20524" w:rsidP="00D20524">
      <w:pPr>
        <w:spacing w:after="0" w:line="240" w:lineRule="auto"/>
        <w:ind w:firstLine="284"/>
        <w:jc w:val="center"/>
        <w:rPr>
          <w:rFonts w:ascii="Garamond" w:hAnsi="Garamond"/>
          <w:b/>
          <w:bCs/>
          <w:sz w:val="24"/>
          <w:szCs w:val="24"/>
        </w:rPr>
      </w:pPr>
    </w:p>
    <w:p w14:paraId="4A68EACC" w14:textId="7777777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Objekti i kësaj rregulloreje është përcaktimi i kërkesave dhe rregullave minimale për administrimin e rrezikut operacional në veprimtarinë bankare dhe/ose financiare nga subjektet e kësaj rregulloreje.</w:t>
      </w:r>
    </w:p>
    <w:p w14:paraId="36048015" w14:textId="05EF618C" w:rsidR="00D20524" w:rsidRDefault="00D20524" w:rsidP="00D20524">
      <w:pPr>
        <w:tabs>
          <w:tab w:val="left" w:pos="360"/>
        </w:tabs>
        <w:spacing w:after="0" w:line="240" w:lineRule="auto"/>
        <w:ind w:firstLine="284"/>
        <w:jc w:val="both"/>
        <w:rPr>
          <w:rFonts w:ascii="Garamond" w:hAnsi="Garamond"/>
          <w:sz w:val="24"/>
          <w:szCs w:val="24"/>
        </w:rPr>
      </w:pPr>
    </w:p>
    <w:p w14:paraId="4B7DDD40" w14:textId="77777777" w:rsidR="00442134" w:rsidRPr="00474D79" w:rsidRDefault="00442134" w:rsidP="00D20524">
      <w:pPr>
        <w:tabs>
          <w:tab w:val="left" w:pos="360"/>
        </w:tabs>
        <w:spacing w:after="0" w:line="240" w:lineRule="auto"/>
        <w:ind w:firstLine="284"/>
        <w:jc w:val="both"/>
        <w:rPr>
          <w:rFonts w:ascii="Garamond" w:hAnsi="Garamond"/>
          <w:sz w:val="24"/>
          <w:szCs w:val="24"/>
        </w:rPr>
      </w:pPr>
    </w:p>
    <w:p w14:paraId="65B275A6"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lastRenderedPageBreak/>
        <w:t>Neni 2</w:t>
      </w:r>
    </w:p>
    <w:p w14:paraId="0A586136"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Subjektet</w:t>
      </w:r>
    </w:p>
    <w:p w14:paraId="7B960A6A" w14:textId="77777777" w:rsidR="00D20524" w:rsidRPr="00474D79" w:rsidRDefault="00D20524" w:rsidP="00D20524">
      <w:pPr>
        <w:spacing w:after="0" w:line="240" w:lineRule="auto"/>
        <w:ind w:firstLine="284"/>
        <w:jc w:val="center"/>
        <w:rPr>
          <w:rFonts w:ascii="Garamond" w:hAnsi="Garamond"/>
          <w:b/>
          <w:bCs/>
          <w:sz w:val="24"/>
          <w:szCs w:val="24"/>
        </w:rPr>
      </w:pPr>
    </w:p>
    <w:p w14:paraId="461A6E62" w14:textId="58F5BE82"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1. Subjekte të kësaj rregulloreje janë bankat dhe degët e bankave të huaja, institucionet e pagesave dhe institucionet e parasë elektronike, të licencuara nga Banka e Shqipërisë për të ushtruar veprimtari bankare dhe financiare në Republikën e Shqipërisë, të cilat do të referohen në vijim në këtë rregullore, me termin “subjekte”.</w:t>
      </w:r>
      <w:r w:rsidR="002F4A24">
        <w:rPr>
          <w:rFonts w:ascii="Garamond" w:hAnsi="Garamond"/>
          <w:b/>
          <w:bCs/>
          <w:sz w:val="24"/>
          <w:szCs w:val="24"/>
        </w:rPr>
        <w:t xml:space="preserve"> </w:t>
      </w:r>
    </w:p>
    <w:p w14:paraId="7F097266" w14:textId="468D9C15"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2. Banka e Shqipërisë, bazuar në vlerësimet e saj mbikëqyrëse</w:t>
      </w:r>
      <w:r w:rsidR="00462D82">
        <w:rPr>
          <w:rFonts w:ascii="Garamond" w:hAnsi="Garamond"/>
          <w:sz w:val="24"/>
          <w:szCs w:val="24"/>
        </w:rPr>
        <w:t>,</w:t>
      </w:r>
      <w:r w:rsidRPr="00474D79">
        <w:rPr>
          <w:rFonts w:ascii="Garamond" w:hAnsi="Garamond"/>
          <w:sz w:val="24"/>
          <w:szCs w:val="24"/>
        </w:rPr>
        <w:t xml:space="preserve"> lidhur me volumin dhe kompleksitetin e veprimtarisë apo nivelin e ekspozimit ndaj rrezikut operacional, mund të vendosë që përveç subjekteve të parashikuara në pikën 1 të këtij neni, të përfshijë si subjekte të kësaj rregulloreje edhe subjekte financiare jobanka apo shoqëri kursim-krediti të caktuara, që janë subjekte të rregullores nr. 3, datë 19.1.2011</w:t>
      </w:r>
      <w:r w:rsidR="00462D82">
        <w:rPr>
          <w:rFonts w:ascii="Garamond" w:hAnsi="Garamond"/>
          <w:sz w:val="24"/>
          <w:szCs w:val="24"/>
        </w:rPr>
        <w:t>,</w:t>
      </w:r>
      <w:r w:rsidRPr="00474D79">
        <w:rPr>
          <w:rFonts w:ascii="Garamond" w:hAnsi="Garamond"/>
          <w:sz w:val="24"/>
          <w:szCs w:val="24"/>
        </w:rPr>
        <w:t xml:space="preserve"> “Për administrimin e rrezikut operacional nga subjektet financiare jobanka, shoqëritë e kursim-kreditit dhe unionet e tyre”, e ndryshuar. </w:t>
      </w:r>
    </w:p>
    <w:p w14:paraId="2876BA3A" w14:textId="67F9B2AA"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3. Në rastet e parashikuara në pikën 2 të këtij neni, Banka e Shqipërisë njofton subjektin financiar jobankë apo shoqërinë e kursim-kreditit, si dhe përcakton edhe afatin kohor brenda të cilit subjekti duhet të sigurojë plotësimin e kërkesave të kësaj rregulloreje.</w:t>
      </w:r>
    </w:p>
    <w:p w14:paraId="6DD3109E"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55317D86"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3</w:t>
      </w:r>
    </w:p>
    <w:p w14:paraId="66A96EE5"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Baza ligjore</w:t>
      </w:r>
    </w:p>
    <w:p w14:paraId="0D1032A4" w14:textId="77777777" w:rsidR="00D20524" w:rsidRPr="00474D79" w:rsidRDefault="00D20524" w:rsidP="00D20524">
      <w:pPr>
        <w:spacing w:after="0" w:line="240" w:lineRule="auto"/>
        <w:ind w:firstLine="284"/>
        <w:jc w:val="center"/>
        <w:rPr>
          <w:rFonts w:ascii="Garamond" w:hAnsi="Garamond"/>
          <w:b/>
          <w:bCs/>
          <w:sz w:val="24"/>
          <w:szCs w:val="24"/>
        </w:rPr>
      </w:pPr>
    </w:p>
    <w:p w14:paraId="41738330" w14:textId="7777777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Kjo rregullore nxirret në bazë dhe për zbatim të:</w:t>
      </w:r>
    </w:p>
    <w:p w14:paraId="077C9877" w14:textId="40476EEB"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a) nenit 12, shkronja “a” dhe nenit 43, shkronja “c”</w:t>
      </w:r>
      <w:r w:rsidR="00462D82">
        <w:rPr>
          <w:rFonts w:ascii="Garamond" w:hAnsi="Garamond"/>
          <w:sz w:val="24"/>
          <w:szCs w:val="24"/>
        </w:rPr>
        <w:t>,</w:t>
      </w:r>
      <w:r w:rsidRPr="00474D79">
        <w:rPr>
          <w:rFonts w:ascii="Garamond" w:hAnsi="Garamond"/>
          <w:sz w:val="24"/>
          <w:szCs w:val="24"/>
        </w:rPr>
        <w:t xml:space="preserve"> të ligjit nr. 8269</w:t>
      </w:r>
      <w:r w:rsidR="00462D82">
        <w:rPr>
          <w:rFonts w:ascii="Garamond" w:hAnsi="Garamond"/>
          <w:sz w:val="24"/>
          <w:szCs w:val="24"/>
        </w:rPr>
        <w:t>,</w:t>
      </w:r>
      <w:r w:rsidRPr="00474D79">
        <w:rPr>
          <w:rFonts w:ascii="Garamond" w:hAnsi="Garamond"/>
          <w:sz w:val="24"/>
          <w:szCs w:val="24"/>
        </w:rPr>
        <w:t xml:space="preserve"> datë 23.12.1997</w:t>
      </w:r>
      <w:r w:rsidR="00462D82">
        <w:rPr>
          <w:rFonts w:ascii="Garamond" w:hAnsi="Garamond"/>
          <w:sz w:val="24"/>
          <w:szCs w:val="24"/>
        </w:rPr>
        <w:t>,</w:t>
      </w:r>
      <w:r w:rsidRPr="00474D79">
        <w:rPr>
          <w:rFonts w:ascii="Garamond" w:hAnsi="Garamond"/>
          <w:sz w:val="24"/>
          <w:szCs w:val="24"/>
        </w:rPr>
        <w:t xml:space="preserve"> “Për Bankën e Shqipërisë”, </w:t>
      </w:r>
      <w:r w:rsidR="00462D82" w:rsidRPr="00474D79">
        <w:rPr>
          <w:rFonts w:ascii="Garamond" w:hAnsi="Garamond"/>
          <w:sz w:val="24"/>
          <w:szCs w:val="24"/>
        </w:rPr>
        <w:t>të</w:t>
      </w:r>
      <w:r w:rsidRPr="00474D79">
        <w:rPr>
          <w:rFonts w:ascii="Garamond" w:hAnsi="Garamond"/>
          <w:sz w:val="24"/>
          <w:szCs w:val="24"/>
        </w:rPr>
        <w:t xml:space="preserve"> ndryshuar; </w:t>
      </w:r>
    </w:p>
    <w:p w14:paraId="51F1C068" w14:textId="656C1807"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b) nenit 57, pika 4, nenit 58, pika 1, shkronja “c” dhe nenit 126</w:t>
      </w:r>
      <w:r w:rsidR="00462D82">
        <w:rPr>
          <w:rFonts w:ascii="Garamond" w:hAnsi="Garamond"/>
          <w:sz w:val="24"/>
          <w:szCs w:val="24"/>
        </w:rPr>
        <w:t>,</w:t>
      </w:r>
      <w:r w:rsidRPr="00474D79">
        <w:rPr>
          <w:rFonts w:ascii="Garamond" w:hAnsi="Garamond"/>
          <w:sz w:val="24"/>
          <w:szCs w:val="24"/>
        </w:rPr>
        <w:t xml:space="preserve"> të ligjit nr. 9662, datë 18.12.2006</w:t>
      </w:r>
      <w:r w:rsidR="00462D82">
        <w:rPr>
          <w:rFonts w:ascii="Garamond" w:hAnsi="Garamond"/>
          <w:sz w:val="24"/>
          <w:szCs w:val="24"/>
        </w:rPr>
        <w:t>,</w:t>
      </w:r>
      <w:r w:rsidRPr="00474D79">
        <w:rPr>
          <w:rFonts w:ascii="Garamond" w:hAnsi="Garamond"/>
          <w:sz w:val="24"/>
          <w:szCs w:val="24"/>
        </w:rPr>
        <w:t xml:space="preserve"> “Për bankat në Republikën e Shqipërisë”, i cili këtu e më poshtë në këtë rregullore do të quhet ligji “Për bankat”;</w:t>
      </w:r>
    </w:p>
    <w:p w14:paraId="426F31F1" w14:textId="5B2CF5DF"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c) nenit 88, pika 3</w:t>
      </w:r>
      <w:r w:rsidR="00462D82">
        <w:rPr>
          <w:rFonts w:ascii="Garamond" w:hAnsi="Garamond"/>
          <w:sz w:val="24"/>
          <w:szCs w:val="24"/>
        </w:rPr>
        <w:t>,</w:t>
      </w:r>
      <w:r w:rsidRPr="00474D79">
        <w:rPr>
          <w:rFonts w:ascii="Garamond" w:hAnsi="Garamond"/>
          <w:sz w:val="24"/>
          <w:szCs w:val="24"/>
        </w:rPr>
        <w:t xml:space="preserve"> të ligjit nr. 55/2020, datë 30.4.2020</w:t>
      </w:r>
      <w:r w:rsidR="00462D82">
        <w:rPr>
          <w:rFonts w:ascii="Garamond" w:hAnsi="Garamond"/>
          <w:sz w:val="24"/>
          <w:szCs w:val="24"/>
        </w:rPr>
        <w:t>,</w:t>
      </w:r>
      <w:r w:rsidRPr="00474D79">
        <w:rPr>
          <w:rFonts w:ascii="Garamond" w:hAnsi="Garamond"/>
          <w:sz w:val="24"/>
          <w:szCs w:val="24"/>
        </w:rPr>
        <w:t xml:space="preserve"> “Për shërbimet e pagesave”, i cili këtu e më poshtë në këtë rregullore do të quhet ligji “Për shërbimet e pagesave”.</w:t>
      </w:r>
    </w:p>
    <w:p w14:paraId="3EDBD46D" w14:textId="77777777" w:rsidR="00D20524" w:rsidRPr="00474D79" w:rsidRDefault="00D20524" w:rsidP="00D20524">
      <w:pPr>
        <w:tabs>
          <w:tab w:val="left" w:pos="360"/>
        </w:tabs>
        <w:spacing w:after="0" w:line="240" w:lineRule="auto"/>
        <w:ind w:firstLine="284"/>
        <w:jc w:val="both"/>
        <w:rPr>
          <w:rFonts w:ascii="Garamond" w:hAnsi="Garamond"/>
          <w:sz w:val="24"/>
          <w:szCs w:val="24"/>
        </w:rPr>
      </w:pPr>
    </w:p>
    <w:p w14:paraId="48ACB327"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4</w:t>
      </w:r>
    </w:p>
    <w:p w14:paraId="2461C034"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Përkufizime</w:t>
      </w:r>
    </w:p>
    <w:p w14:paraId="551746FB" w14:textId="77777777" w:rsidR="00D20524" w:rsidRPr="00474D79" w:rsidRDefault="00D20524" w:rsidP="00D20524">
      <w:pPr>
        <w:spacing w:after="0" w:line="240" w:lineRule="auto"/>
        <w:ind w:firstLine="284"/>
        <w:jc w:val="center"/>
        <w:rPr>
          <w:rFonts w:ascii="Garamond" w:hAnsi="Garamond"/>
          <w:b/>
          <w:bCs/>
          <w:sz w:val="24"/>
          <w:szCs w:val="24"/>
        </w:rPr>
      </w:pPr>
    </w:p>
    <w:p w14:paraId="790AFEF2" w14:textId="7B836444"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1. Termat e përdorur në këtë rregullore kanë të njëjtin kuptim me termat e përkufizuar në ligjin “Për bankat” dhe në ligjin “Për shërbimet e pagesave”, si dhe në akte të tjera nënligjore të Bankës së Shqipërisë.</w:t>
      </w:r>
    </w:p>
    <w:p w14:paraId="35E37C1B" w14:textId="7CB37343"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2. Përveç sa parashikohet në pikën 1 të këtij neni, për qëllime të zbatimit të kësaj rregulloreje, termat e mëposhtëm kanë këtë kuptim:</w:t>
      </w:r>
    </w:p>
    <w:p w14:paraId="731CEAC0" w14:textId="5742A706"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 xml:space="preserve">a) “rrezik operacional” </w:t>
      </w:r>
      <w:r w:rsidR="00462D82">
        <w:rPr>
          <w:rFonts w:ascii="Garamond" w:hAnsi="Garamond"/>
          <w:sz w:val="24"/>
          <w:szCs w:val="24"/>
        </w:rPr>
        <w:t>–</w:t>
      </w:r>
      <w:r w:rsidRPr="00474D79">
        <w:rPr>
          <w:rFonts w:ascii="Garamond" w:hAnsi="Garamond"/>
          <w:sz w:val="24"/>
          <w:szCs w:val="24"/>
        </w:rPr>
        <w:t xml:space="preserve"> është mundësia që subjekti të pësojë humbje financiare, si rezultat i papërshtatshmërisë ose dështimit të proceseve të brendshme dhe të sistemeve, i gabimeve njerëzore, ose i ngjarjeve të jashtme. Rreziku operacional përfshin edhe rrezikun ligjor, por përjashton rrezikun reputacional dhe strategjik. Për qëllime të sistemit të brendshëm të administrimit të rrezikut operacional, subjekti mund të përcaktojë përkufizime më të specifikuara të këtij rreziku, me kusht që ato të përmbajnë </w:t>
      </w:r>
      <w:r w:rsidRPr="008B0ACF">
        <w:rPr>
          <w:rFonts w:ascii="Garamond" w:hAnsi="Garamond"/>
          <w:sz w:val="24"/>
          <w:szCs w:val="24"/>
        </w:rPr>
        <w:t>minimalisht element</w:t>
      </w:r>
      <w:r w:rsidR="00462D82" w:rsidRPr="008B0ACF">
        <w:rPr>
          <w:rFonts w:ascii="Garamond" w:hAnsi="Garamond"/>
          <w:sz w:val="24"/>
          <w:szCs w:val="24"/>
        </w:rPr>
        <w:t>e</w:t>
      </w:r>
      <w:r w:rsidRPr="008B0ACF">
        <w:rPr>
          <w:rFonts w:ascii="Garamond" w:hAnsi="Garamond"/>
          <w:sz w:val="24"/>
          <w:szCs w:val="24"/>
        </w:rPr>
        <w:t>t e përkufizimit</w:t>
      </w:r>
      <w:r w:rsidRPr="00474D79">
        <w:rPr>
          <w:rFonts w:ascii="Garamond" w:hAnsi="Garamond"/>
          <w:sz w:val="24"/>
          <w:szCs w:val="24"/>
        </w:rPr>
        <w:t xml:space="preserve"> të kësaj rregulloreje;</w:t>
      </w:r>
    </w:p>
    <w:p w14:paraId="3766CAE0" w14:textId="2FE45407"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 xml:space="preserve">b) “rrezik ligjor” </w:t>
      </w:r>
      <w:r w:rsidR="00462D82">
        <w:rPr>
          <w:rFonts w:ascii="Garamond" w:hAnsi="Garamond"/>
          <w:sz w:val="24"/>
          <w:szCs w:val="24"/>
        </w:rPr>
        <w:t>–</w:t>
      </w:r>
      <w:r w:rsidRPr="00474D79">
        <w:rPr>
          <w:rFonts w:ascii="Garamond" w:hAnsi="Garamond"/>
          <w:sz w:val="24"/>
          <w:szCs w:val="24"/>
        </w:rPr>
        <w:t xml:space="preserve"> është mundësia që subjekti të pësojë humbje financiare, si rezultat i moszbatimit ose i zbatimit në mënyrën jo të duhur të detyrimeve ligjore dhe/ose kontraktuale, duke përfshirë dhe procedura të tjera ligjore të cilat mund të ndikojnë negativisht në rezultatin financiar; </w:t>
      </w:r>
    </w:p>
    <w:p w14:paraId="7D81C86A" w14:textId="2902B5A1"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lastRenderedPageBreak/>
        <w:t xml:space="preserve">c) “rrezik strategjik” </w:t>
      </w:r>
      <w:r w:rsidR="00462D82">
        <w:rPr>
          <w:rFonts w:ascii="Garamond" w:hAnsi="Garamond"/>
          <w:sz w:val="24"/>
          <w:szCs w:val="24"/>
        </w:rPr>
        <w:t>–</w:t>
      </w:r>
      <w:r w:rsidRPr="00474D79">
        <w:rPr>
          <w:rFonts w:ascii="Garamond" w:hAnsi="Garamond"/>
          <w:sz w:val="24"/>
          <w:szCs w:val="24"/>
        </w:rPr>
        <w:t xml:space="preserve"> është mundësia që të cenohet arritja e objektivave strategjikë të subjektit, me pasojë fundore humbje financiare, për shkak të ndryshimeve në mjedisin e biznesit dhe nga vendimet e papërshtatshme të biznesit, zbatimi i gabuar i vendimeve ose mungesa e reagimit ndaj ndryshimeve në mjedisin e biznesit;</w:t>
      </w:r>
    </w:p>
    <w:p w14:paraId="76F290ED" w14:textId="4BA16177"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 xml:space="preserve">d) “rrezik reputacional” </w:t>
      </w:r>
      <w:r w:rsidR="00462D82">
        <w:rPr>
          <w:rFonts w:ascii="Garamond" w:hAnsi="Garamond"/>
          <w:sz w:val="24"/>
          <w:szCs w:val="24"/>
        </w:rPr>
        <w:t>–</w:t>
      </w:r>
      <w:r w:rsidRPr="00474D79">
        <w:rPr>
          <w:rFonts w:ascii="Garamond" w:hAnsi="Garamond"/>
          <w:sz w:val="24"/>
          <w:szCs w:val="24"/>
        </w:rPr>
        <w:t xml:space="preserve"> është mundësia që subjekti të pësojë humbje financiare të shkaktuara nga perceptimi negativ nga ana e klientëve, kundërpartive, aksionarëve, investitorëve, mbajtësve të borxhit, tregjeve, palëve të tjera të interesit, rregullatorëve, etj., që mund të ndikojnë negativisht në aftësinë e subjektit për të vazhduar të operojë/funksionojë apo për të krijuar marrëdhënie të reja biznesi dhe për të pasur akses të vazhdueshëm në burime financimi (p.sh nëpërmjet tregjeve ndërbankare, të kapitalit dhe borxhit apo në publikun e gjerë);</w:t>
      </w:r>
      <w:r w:rsidR="002F4A24">
        <w:rPr>
          <w:rFonts w:ascii="Garamond" w:hAnsi="Garamond"/>
          <w:sz w:val="24"/>
          <w:szCs w:val="24"/>
        </w:rPr>
        <w:t xml:space="preserve"> </w:t>
      </w:r>
    </w:p>
    <w:p w14:paraId="52AECF34" w14:textId="5FA9C287" w:rsidR="00D20524" w:rsidRPr="00474D79" w:rsidRDefault="00D20524" w:rsidP="00D20524">
      <w:pPr>
        <w:pStyle w:val="ListParagraph"/>
        <w:tabs>
          <w:tab w:val="left" w:pos="720"/>
        </w:tabs>
        <w:spacing w:after="0" w:line="240" w:lineRule="auto"/>
        <w:ind w:left="0" w:firstLine="284"/>
        <w:jc w:val="both"/>
        <w:rPr>
          <w:rFonts w:ascii="Garamond" w:hAnsi="Garamond"/>
          <w:sz w:val="24"/>
          <w:szCs w:val="24"/>
        </w:rPr>
      </w:pPr>
      <w:r w:rsidRPr="00474D79">
        <w:rPr>
          <w:rFonts w:ascii="Garamond" w:hAnsi="Garamond"/>
          <w:sz w:val="24"/>
          <w:szCs w:val="24"/>
        </w:rPr>
        <w:t>e) “rrezik i sjelljes (</w:t>
      </w:r>
      <w:r w:rsidRPr="00474D79">
        <w:rPr>
          <w:rFonts w:ascii="Garamond" w:hAnsi="Garamond"/>
          <w:i/>
          <w:iCs/>
          <w:sz w:val="24"/>
          <w:szCs w:val="24"/>
        </w:rPr>
        <w:t>conduct risk</w:t>
      </w:r>
      <w:r w:rsidRPr="00474D79">
        <w:rPr>
          <w:rFonts w:ascii="Garamond" w:hAnsi="Garamond"/>
          <w:sz w:val="24"/>
          <w:szCs w:val="24"/>
        </w:rPr>
        <w:t xml:space="preserve">)” </w:t>
      </w:r>
      <w:r w:rsidR="00462D82">
        <w:rPr>
          <w:rFonts w:ascii="Garamond" w:hAnsi="Garamond"/>
          <w:sz w:val="24"/>
          <w:szCs w:val="24"/>
        </w:rPr>
        <w:t>–</w:t>
      </w:r>
      <w:r w:rsidRPr="00474D79">
        <w:rPr>
          <w:rFonts w:ascii="Garamond" w:hAnsi="Garamond"/>
          <w:sz w:val="24"/>
          <w:szCs w:val="24"/>
        </w:rPr>
        <w:t xml:space="preserve"> është mundësia që subjekti të pësojë humbje financiare, si pasojë e ofrimit të papërshtatshëm të shërbimeve financiare, duke përfshirë rastet e një qasjeje të gabuar apo të qëllimtë ndaj klientit, ose për shkak të neglizhencës;</w:t>
      </w:r>
    </w:p>
    <w:p w14:paraId="174FE884" w14:textId="2A76B0EC" w:rsidR="00D20524" w:rsidRPr="00474D79" w:rsidRDefault="00D20524" w:rsidP="00D20524">
      <w:pPr>
        <w:pStyle w:val="ListParagraph"/>
        <w:tabs>
          <w:tab w:val="left" w:pos="720"/>
        </w:tabs>
        <w:spacing w:after="0" w:line="240" w:lineRule="auto"/>
        <w:ind w:left="0" w:firstLine="284"/>
        <w:jc w:val="both"/>
        <w:rPr>
          <w:rFonts w:ascii="Garamond" w:hAnsi="Garamond"/>
          <w:sz w:val="24"/>
          <w:szCs w:val="24"/>
        </w:rPr>
      </w:pPr>
      <w:r w:rsidRPr="00474D79">
        <w:rPr>
          <w:rFonts w:ascii="Garamond" w:hAnsi="Garamond"/>
          <w:sz w:val="24"/>
          <w:szCs w:val="24"/>
        </w:rPr>
        <w:t>f) “rrezik i modelit” - është mundësia që subjekti të pësojë humbje financiare, si pasojë e vendimeve të marra prej tij, bazuar kryesisht në rezultatet e modeleve të brendshme, të shkaktuara nga gabimet në zhvillimin, zbatimin ose përdorimin e këtyre modeleve;</w:t>
      </w:r>
    </w:p>
    <w:p w14:paraId="6F97D5A2" w14:textId="6E409226" w:rsidR="00D20524" w:rsidRPr="00474D79" w:rsidRDefault="00D20524" w:rsidP="00D20524">
      <w:pPr>
        <w:pStyle w:val="ListParagraph"/>
        <w:tabs>
          <w:tab w:val="left" w:pos="720"/>
        </w:tabs>
        <w:spacing w:after="0" w:line="240" w:lineRule="auto"/>
        <w:ind w:left="0" w:firstLine="284"/>
        <w:jc w:val="both"/>
        <w:rPr>
          <w:rFonts w:ascii="Garamond" w:hAnsi="Garamond"/>
          <w:sz w:val="24"/>
          <w:szCs w:val="24"/>
        </w:rPr>
      </w:pPr>
      <w:r w:rsidRPr="00474D79">
        <w:rPr>
          <w:rFonts w:ascii="Garamond" w:hAnsi="Garamond"/>
          <w:sz w:val="24"/>
          <w:szCs w:val="24"/>
        </w:rPr>
        <w:t>g) “rrezik i qenësishëm (</w:t>
      </w:r>
      <w:r w:rsidRPr="00474D79">
        <w:rPr>
          <w:rFonts w:ascii="Garamond" w:hAnsi="Garamond"/>
          <w:i/>
          <w:iCs/>
          <w:sz w:val="24"/>
          <w:szCs w:val="24"/>
        </w:rPr>
        <w:t>inherent risk</w:t>
      </w:r>
      <w:r w:rsidRPr="00474D79">
        <w:rPr>
          <w:rFonts w:ascii="Garamond" w:hAnsi="Garamond"/>
          <w:sz w:val="24"/>
          <w:szCs w:val="24"/>
        </w:rPr>
        <w:t xml:space="preserve">)” </w:t>
      </w:r>
      <w:r w:rsidR="00462D82">
        <w:rPr>
          <w:rFonts w:ascii="Garamond" w:hAnsi="Garamond"/>
          <w:sz w:val="24"/>
          <w:szCs w:val="24"/>
        </w:rPr>
        <w:t>–</w:t>
      </w:r>
      <w:r w:rsidRPr="00474D79">
        <w:rPr>
          <w:rFonts w:ascii="Garamond" w:hAnsi="Garamond"/>
          <w:sz w:val="24"/>
          <w:szCs w:val="24"/>
        </w:rPr>
        <w:t xml:space="preserve"> është rreziku ndaj të cilit subjekti ekspozohet, pa marrë në konsideratë mjediset e kontrollit;</w:t>
      </w:r>
    </w:p>
    <w:p w14:paraId="2EEBA535" w14:textId="4DB043C7" w:rsidR="00D20524" w:rsidRPr="00474D79" w:rsidRDefault="00D20524" w:rsidP="00D20524">
      <w:pPr>
        <w:pStyle w:val="ListParagraph"/>
        <w:tabs>
          <w:tab w:val="left" w:pos="720"/>
        </w:tabs>
        <w:spacing w:after="0" w:line="240" w:lineRule="auto"/>
        <w:ind w:left="0" w:firstLine="284"/>
        <w:jc w:val="both"/>
        <w:rPr>
          <w:rFonts w:ascii="Garamond" w:hAnsi="Garamond"/>
          <w:sz w:val="24"/>
          <w:szCs w:val="24"/>
        </w:rPr>
      </w:pPr>
      <w:r w:rsidRPr="00474D79">
        <w:rPr>
          <w:rFonts w:ascii="Garamond" w:hAnsi="Garamond"/>
          <w:sz w:val="24"/>
          <w:szCs w:val="24"/>
        </w:rPr>
        <w:t>h) “rrezik i mbetur (</w:t>
      </w:r>
      <w:r w:rsidRPr="00474D79">
        <w:rPr>
          <w:rFonts w:ascii="Garamond" w:hAnsi="Garamond"/>
          <w:i/>
          <w:iCs/>
          <w:sz w:val="24"/>
          <w:szCs w:val="24"/>
        </w:rPr>
        <w:t>residual risk</w:t>
      </w:r>
      <w:r w:rsidRPr="00474D79">
        <w:rPr>
          <w:rFonts w:ascii="Garamond" w:hAnsi="Garamond"/>
          <w:sz w:val="24"/>
          <w:szCs w:val="24"/>
        </w:rPr>
        <w:t xml:space="preserve">)” </w:t>
      </w:r>
      <w:r w:rsidR="00462D82">
        <w:rPr>
          <w:rFonts w:ascii="Garamond" w:hAnsi="Garamond"/>
          <w:sz w:val="24"/>
          <w:szCs w:val="24"/>
        </w:rPr>
        <w:t>–</w:t>
      </w:r>
      <w:r w:rsidRPr="00474D79">
        <w:rPr>
          <w:rFonts w:ascii="Garamond" w:hAnsi="Garamond"/>
          <w:sz w:val="24"/>
          <w:szCs w:val="24"/>
        </w:rPr>
        <w:t xml:space="preserve"> është rreziku ndaj të cilit subjekti ekspozohet, pas zbatimit të teknikave të zbutjes së rrezikut dhe ndërveprimit me sistemet e kontrollit;</w:t>
      </w:r>
    </w:p>
    <w:p w14:paraId="212DB7C0" w14:textId="6DC1A8F3" w:rsidR="00D20524" w:rsidRPr="00474D79" w:rsidRDefault="00D20524" w:rsidP="00D20524">
      <w:pPr>
        <w:pStyle w:val="ListParagraph"/>
        <w:tabs>
          <w:tab w:val="left" w:pos="720"/>
        </w:tabs>
        <w:spacing w:after="0" w:line="240" w:lineRule="auto"/>
        <w:ind w:left="0" w:firstLine="284"/>
        <w:jc w:val="both"/>
        <w:rPr>
          <w:rFonts w:ascii="Garamond" w:hAnsi="Garamond"/>
          <w:sz w:val="24"/>
          <w:szCs w:val="24"/>
        </w:rPr>
      </w:pPr>
      <w:r w:rsidRPr="00474D79">
        <w:rPr>
          <w:rFonts w:ascii="Garamond" w:hAnsi="Garamond"/>
          <w:sz w:val="24"/>
          <w:szCs w:val="24"/>
        </w:rPr>
        <w:t>i) “sistem i administrimit të rrezikut operacional (</w:t>
      </w:r>
      <w:r w:rsidRPr="00474D79">
        <w:rPr>
          <w:rFonts w:ascii="Garamond" w:hAnsi="Garamond"/>
          <w:i/>
          <w:iCs/>
          <w:sz w:val="24"/>
          <w:szCs w:val="24"/>
        </w:rPr>
        <w:t>operational risk framework</w:t>
      </w:r>
      <w:r w:rsidRPr="00474D79">
        <w:rPr>
          <w:rFonts w:ascii="Garamond" w:hAnsi="Garamond"/>
          <w:sz w:val="24"/>
          <w:szCs w:val="24"/>
        </w:rPr>
        <w:t xml:space="preserve">)” </w:t>
      </w:r>
      <w:r w:rsidR="00462D82">
        <w:rPr>
          <w:rFonts w:ascii="Garamond" w:hAnsi="Garamond"/>
          <w:sz w:val="24"/>
          <w:szCs w:val="24"/>
        </w:rPr>
        <w:t>–</w:t>
      </w:r>
      <w:r w:rsidRPr="00474D79">
        <w:rPr>
          <w:rFonts w:ascii="Garamond" w:hAnsi="Garamond"/>
          <w:sz w:val="24"/>
          <w:szCs w:val="24"/>
        </w:rPr>
        <w:t xml:space="preserve"> është tërësia e politikave, procedurave, rregullave dhe strukturave të subjektit, si dhe mekanizmave të përdorura prej tij, që shërbejnë për administrimin e rrezikut operacional;</w:t>
      </w:r>
    </w:p>
    <w:p w14:paraId="71EEFDE4" w14:textId="3243F298" w:rsidR="00D20524" w:rsidRPr="00474D79" w:rsidRDefault="00D20524" w:rsidP="00D20524">
      <w:pPr>
        <w:pStyle w:val="ListParagraph"/>
        <w:tabs>
          <w:tab w:val="left" w:pos="720"/>
        </w:tabs>
        <w:spacing w:after="0" w:line="240" w:lineRule="auto"/>
        <w:ind w:left="0" w:firstLine="284"/>
        <w:jc w:val="both"/>
        <w:rPr>
          <w:rFonts w:ascii="Garamond" w:hAnsi="Garamond"/>
          <w:sz w:val="24"/>
          <w:szCs w:val="24"/>
        </w:rPr>
      </w:pPr>
      <w:r w:rsidRPr="00474D79">
        <w:rPr>
          <w:rFonts w:ascii="Garamond" w:hAnsi="Garamond"/>
          <w:sz w:val="24"/>
          <w:szCs w:val="24"/>
        </w:rPr>
        <w:t>j) “marrëveshje me të tretët (</w:t>
      </w:r>
      <w:r w:rsidRPr="00474D79">
        <w:rPr>
          <w:rFonts w:ascii="Garamond" w:hAnsi="Garamond"/>
          <w:i/>
          <w:iCs/>
          <w:sz w:val="24"/>
          <w:szCs w:val="24"/>
        </w:rPr>
        <w:t>outsourcing</w:t>
      </w:r>
      <w:r w:rsidRPr="00474D79">
        <w:rPr>
          <w:rFonts w:ascii="Garamond" w:hAnsi="Garamond"/>
          <w:sz w:val="24"/>
          <w:szCs w:val="24"/>
        </w:rPr>
        <w:t xml:space="preserve">)” </w:t>
      </w:r>
      <w:r w:rsidR="00462D82">
        <w:rPr>
          <w:rFonts w:ascii="Garamond" w:hAnsi="Garamond"/>
          <w:sz w:val="24"/>
          <w:szCs w:val="24"/>
        </w:rPr>
        <w:t>–</w:t>
      </w:r>
      <w:r w:rsidRPr="00474D79">
        <w:rPr>
          <w:rFonts w:ascii="Garamond" w:hAnsi="Garamond"/>
          <w:sz w:val="24"/>
          <w:szCs w:val="24"/>
        </w:rPr>
        <w:t xml:space="preserve"> është një marrëveshje e çdo forme ndërmjet subjektit dhe një pale të tretë (ofruesi shërbimi), sipas së cilës pala e tretë (ofruesi i shërbimit) kryen një proces, një shërbim ose një funksion, që në rast të kundërt do të kryhej nga vetë subjekti;</w:t>
      </w:r>
    </w:p>
    <w:p w14:paraId="788EF60E" w14:textId="38B941E1"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k) “oreksi/toleranca ndaj rrezikut operacional (</w:t>
      </w:r>
      <w:r w:rsidRPr="00474D79">
        <w:rPr>
          <w:rFonts w:ascii="Garamond" w:hAnsi="Garamond"/>
          <w:i/>
          <w:iCs/>
          <w:sz w:val="24"/>
          <w:szCs w:val="24"/>
        </w:rPr>
        <w:t>operational</w:t>
      </w:r>
      <w:r w:rsidRPr="00474D79">
        <w:rPr>
          <w:rFonts w:ascii="Garamond" w:hAnsi="Garamond"/>
          <w:sz w:val="24"/>
          <w:szCs w:val="24"/>
        </w:rPr>
        <w:t xml:space="preserve"> </w:t>
      </w:r>
      <w:r w:rsidRPr="00474D79">
        <w:rPr>
          <w:rFonts w:ascii="Garamond" w:hAnsi="Garamond"/>
          <w:i/>
          <w:iCs/>
          <w:sz w:val="24"/>
          <w:szCs w:val="24"/>
        </w:rPr>
        <w:t>risk appetite/tolerance</w:t>
      </w:r>
      <w:r w:rsidRPr="00474D79">
        <w:rPr>
          <w:rFonts w:ascii="Garamond" w:hAnsi="Garamond"/>
          <w:sz w:val="24"/>
          <w:szCs w:val="24"/>
        </w:rPr>
        <w:t xml:space="preserve">)” </w:t>
      </w:r>
      <w:r w:rsidR="00462D82">
        <w:rPr>
          <w:rFonts w:ascii="Garamond" w:hAnsi="Garamond"/>
          <w:sz w:val="24"/>
          <w:szCs w:val="24"/>
        </w:rPr>
        <w:t>–</w:t>
      </w:r>
      <w:r w:rsidRPr="00474D79">
        <w:rPr>
          <w:rFonts w:ascii="Garamond" w:hAnsi="Garamond"/>
          <w:sz w:val="24"/>
          <w:szCs w:val="24"/>
        </w:rPr>
        <w:t xml:space="preserve"> oreksi për rrezik në kontekstin e rrezikut operacional, është i qenësishëm (</w:t>
      </w:r>
      <w:r w:rsidRPr="00474D79">
        <w:rPr>
          <w:rFonts w:ascii="Garamond" w:hAnsi="Garamond"/>
          <w:i/>
          <w:iCs/>
          <w:sz w:val="24"/>
          <w:szCs w:val="24"/>
        </w:rPr>
        <w:t>inherent</w:t>
      </w:r>
      <w:r w:rsidRPr="00474D79">
        <w:rPr>
          <w:rFonts w:ascii="Garamond" w:hAnsi="Garamond"/>
          <w:sz w:val="24"/>
          <w:szCs w:val="24"/>
        </w:rPr>
        <w:t>) në aktivitetin e subjektit dhe pranimi i tij nuk sjell përfitime të drejtpërdrejta, por ka vetëm efekt negativ financiar. Toleranca ndaj rrezikut operacional përbën vlerën maksimale të humbjes që pranohet kundrejt këtij rreziku;</w:t>
      </w:r>
    </w:p>
    <w:p w14:paraId="1F827C63" w14:textId="1AE54839" w:rsidR="00D20524" w:rsidRPr="00474D79" w:rsidRDefault="00D20524" w:rsidP="00D20524">
      <w:pPr>
        <w:pStyle w:val="ListParagraph"/>
        <w:tabs>
          <w:tab w:val="left" w:pos="720"/>
        </w:tabs>
        <w:spacing w:after="0" w:line="240" w:lineRule="auto"/>
        <w:ind w:left="0" w:firstLine="284"/>
        <w:jc w:val="both"/>
        <w:rPr>
          <w:rFonts w:ascii="Garamond" w:hAnsi="Garamond"/>
          <w:sz w:val="24"/>
          <w:szCs w:val="24"/>
        </w:rPr>
      </w:pPr>
      <w:r w:rsidRPr="00474D79">
        <w:rPr>
          <w:rFonts w:ascii="Garamond" w:hAnsi="Garamond"/>
          <w:sz w:val="24"/>
          <w:szCs w:val="24"/>
        </w:rPr>
        <w:t xml:space="preserve">l) “baza e të dhënave të ngjarjeve të rrezikut operacional” </w:t>
      </w:r>
      <w:r w:rsidR="00462D82">
        <w:rPr>
          <w:rFonts w:ascii="Garamond" w:hAnsi="Garamond"/>
          <w:sz w:val="24"/>
          <w:szCs w:val="24"/>
        </w:rPr>
        <w:t>–</w:t>
      </w:r>
      <w:r w:rsidRPr="00474D79">
        <w:rPr>
          <w:rFonts w:ascii="Garamond" w:hAnsi="Garamond"/>
          <w:sz w:val="24"/>
          <w:szCs w:val="24"/>
        </w:rPr>
        <w:t xml:space="preserve"> është një regjistër, në të cilin grumbullohen, analizohen, mbahen dhe nga ku eksportohen/nxirren ngjarjet e rrezikut operacional. Baza e të dhënave të ngjarjeve të rrezikut operacional përmban informacion mbi ekspozimin ndaj rrezikut operacional, humbjet dhe efektivitetin e funksioneve të kontrollit të subjektit. Ky regjistër përmban të paktën të dhëna mbi datën e ngjarjes, humbjet bruto, shumën e rikuperuar dhe humbjen neto (pas rikuperimit), proceset/produktet e lidhura me humbjen, linjën e biznesit të lidhur me humbjen, llojin e humbjes, faktorët shkakësorë, etj.;</w:t>
      </w:r>
    </w:p>
    <w:p w14:paraId="6BEA9AD5" w14:textId="5FB6F121" w:rsidR="00D20524" w:rsidRPr="00474D79" w:rsidRDefault="00D20524" w:rsidP="00D20524">
      <w:pPr>
        <w:pStyle w:val="ListParagraph"/>
        <w:tabs>
          <w:tab w:val="left" w:pos="720"/>
        </w:tabs>
        <w:spacing w:after="0" w:line="240" w:lineRule="auto"/>
        <w:ind w:left="0" w:firstLine="284"/>
        <w:jc w:val="both"/>
        <w:rPr>
          <w:rFonts w:ascii="Garamond" w:hAnsi="Garamond"/>
          <w:sz w:val="24"/>
          <w:szCs w:val="24"/>
        </w:rPr>
      </w:pPr>
      <w:r w:rsidRPr="00474D79">
        <w:rPr>
          <w:rFonts w:ascii="Garamond" w:hAnsi="Garamond"/>
          <w:sz w:val="24"/>
          <w:szCs w:val="24"/>
        </w:rPr>
        <w:t>m) “tregues të paralajmërimit të hershëm (</w:t>
      </w:r>
      <w:r w:rsidRPr="00474D79">
        <w:rPr>
          <w:rFonts w:ascii="Garamond" w:hAnsi="Garamond"/>
          <w:i/>
          <w:iCs/>
          <w:sz w:val="24"/>
          <w:szCs w:val="24"/>
        </w:rPr>
        <w:t>early warning indicators</w:t>
      </w:r>
      <w:r w:rsidRPr="00474D79">
        <w:rPr>
          <w:rFonts w:ascii="Garamond" w:hAnsi="Garamond"/>
          <w:sz w:val="24"/>
          <w:szCs w:val="24"/>
        </w:rPr>
        <w:t xml:space="preserve">)” </w:t>
      </w:r>
      <w:r w:rsidR="00462D82">
        <w:rPr>
          <w:rFonts w:ascii="Garamond" w:hAnsi="Garamond"/>
          <w:sz w:val="24"/>
          <w:szCs w:val="24"/>
        </w:rPr>
        <w:t>–</w:t>
      </w:r>
      <w:r w:rsidRPr="00474D79">
        <w:rPr>
          <w:rFonts w:ascii="Garamond" w:hAnsi="Garamond"/>
          <w:sz w:val="24"/>
          <w:szCs w:val="24"/>
        </w:rPr>
        <w:t xml:space="preserve"> janë tregues që ndihmojnë në identifikimin e hershëm të çështjeve, të cilat mund të ndikojnë në rritjen e ekspozimit ndaj rrezikut operacional. Treguesit mbulojnë të gjitha aktivitetet e subjektit, sipas prioritetit/rëndësisë dhe mund të jenë tregues performance, tregues rreziku dhe/ose tregues kontrolli. Treguesit shoqërohen me limite monitorimi të përshtatshëm dhe masa të përshkallëzuara, me qëllim zbutjen e rreziqeve dhe shërbejnë si pjesë e infrastrukturës së subjektit në drejtim të përcaktimit të oreksit për rrezik;</w:t>
      </w:r>
    </w:p>
    <w:p w14:paraId="2242D86A" w14:textId="1DBF9668" w:rsidR="00D20524" w:rsidRPr="00474D79" w:rsidRDefault="00D20524" w:rsidP="00D20524">
      <w:pPr>
        <w:pStyle w:val="ListParagraph"/>
        <w:tabs>
          <w:tab w:val="left" w:pos="720"/>
        </w:tabs>
        <w:spacing w:after="0" w:line="240" w:lineRule="auto"/>
        <w:ind w:left="0" w:firstLine="284"/>
        <w:jc w:val="both"/>
        <w:rPr>
          <w:rFonts w:ascii="Garamond" w:hAnsi="Garamond"/>
          <w:sz w:val="24"/>
          <w:szCs w:val="24"/>
        </w:rPr>
      </w:pPr>
      <w:r w:rsidRPr="00474D79">
        <w:rPr>
          <w:rFonts w:ascii="Garamond" w:hAnsi="Garamond"/>
          <w:sz w:val="24"/>
          <w:szCs w:val="24"/>
        </w:rPr>
        <w:lastRenderedPageBreak/>
        <w:t>n) “hartëzimi dhe vetëvlerësimi i rreziqeve (</w:t>
      </w:r>
      <w:r w:rsidRPr="00474D79">
        <w:rPr>
          <w:rFonts w:ascii="Garamond" w:hAnsi="Garamond"/>
          <w:i/>
          <w:iCs/>
          <w:sz w:val="24"/>
          <w:szCs w:val="24"/>
        </w:rPr>
        <w:t>risk mapping and self-assessment</w:t>
      </w:r>
      <w:r w:rsidRPr="00474D79">
        <w:rPr>
          <w:rFonts w:ascii="Garamond" w:hAnsi="Garamond"/>
          <w:sz w:val="24"/>
          <w:szCs w:val="24"/>
        </w:rPr>
        <w:t xml:space="preserve">)” </w:t>
      </w:r>
      <w:r w:rsidR="00462D82">
        <w:rPr>
          <w:rFonts w:ascii="Garamond" w:hAnsi="Garamond"/>
          <w:sz w:val="24"/>
          <w:szCs w:val="24"/>
        </w:rPr>
        <w:t>–</w:t>
      </w:r>
      <w:r w:rsidRPr="00474D79">
        <w:rPr>
          <w:rFonts w:ascii="Garamond" w:hAnsi="Garamond"/>
          <w:sz w:val="24"/>
          <w:szCs w:val="24"/>
        </w:rPr>
        <w:t xml:space="preserve"> është një mekanizëm i përdorur nga subjekti, i cili vlerëson proceset e punës në aktivitetet e tij, të ndarë sipas përgjegjësisë (</w:t>
      </w:r>
      <w:r w:rsidRPr="00474D79">
        <w:rPr>
          <w:rFonts w:ascii="Garamond" w:hAnsi="Garamond"/>
          <w:i/>
          <w:iCs/>
          <w:sz w:val="24"/>
          <w:szCs w:val="24"/>
        </w:rPr>
        <w:t>owner</w:t>
      </w:r>
      <w:r w:rsidRPr="00474D79">
        <w:rPr>
          <w:rFonts w:ascii="Garamond" w:hAnsi="Garamond"/>
          <w:sz w:val="24"/>
          <w:szCs w:val="24"/>
        </w:rPr>
        <w:t>) së procesit, kundrejt masës së ekspozimit të tyre ndaj rrezikut dhe llojit të rreziqeve, mjaftueshmërisë dhe llojit të sistemeve të kontrollit të aplikuar për çdo proces, rrezikut të mbetur dhe humbjes financiare të mundshme që buron nga materializimi i rrezikut;</w:t>
      </w:r>
    </w:p>
    <w:p w14:paraId="797517DF" w14:textId="436F2752" w:rsidR="00D20524" w:rsidRPr="00474D79" w:rsidRDefault="00D20524" w:rsidP="00D20524">
      <w:pPr>
        <w:pStyle w:val="ListParagraph"/>
        <w:tabs>
          <w:tab w:val="left" w:pos="720"/>
        </w:tabs>
        <w:spacing w:after="0" w:line="240" w:lineRule="auto"/>
        <w:ind w:left="0" w:firstLine="284"/>
        <w:jc w:val="both"/>
        <w:rPr>
          <w:rFonts w:ascii="Garamond" w:hAnsi="Garamond"/>
          <w:sz w:val="24"/>
          <w:szCs w:val="24"/>
        </w:rPr>
      </w:pPr>
      <w:r w:rsidRPr="00474D79">
        <w:rPr>
          <w:rFonts w:ascii="Garamond" w:hAnsi="Garamond"/>
          <w:sz w:val="24"/>
          <w:szCs w:val="24"/>
        </w:rPr>
        <w:t>o) “ngjarje kufitare (</w:t>
      </w:r>
      <w:r w:rsidRPr="00474D79">
        <w:rPr>
          <w:rFonts w:ascii="Garamond" w:hAnsi="Garamond"/>
          <w:i/>
          <w:iCs/>
          <w:sz w:val="24"/>
          <w:szCs w:val="24"/>
        </w:rPr>
        <w:t>boundary event</w:t>
      </w:r>
      <w:r w:rsidRPr="00474D79">
        <w:rPr>
          <w:rFonts w:ascii="Garamond" w:hAnsi="Garamond"/>
          <w:sz w:val="24"/>
          <w:szCs w:val="24"/>
        </w:rPr>
        <w:t xml:space="preserve">)” </w:t>
      </w:r>
      <w:r w:rsidR="00462D82">
        <w:rPr>
          <w:rFonts w:ascii="Garamond" w:hAnsi="Garamond"/>
          <w:sz w:val="24"/>
          <w:szCs w:val="24"/>
        </w:rPr>
        <w:t>–</w:t>
      </w:r>
      <w:r w:rsidRPr="00474D79">
        <w:rPr>
          <w:rFonts w:ascii="Garamond" w:hAnsi="Garamond"/>
          <w:sz w:val="24"/>
          <w:szCs w:val="24"/>
        </w:rPr>
        <w:t xml:space="preserve"> janë ngjarje që burojnë nga incidente me natyrë rrezikun operacional, por që materializohen në humbje të lidhura me rrezikun e kredisë (</w:t>
      </w:r>
      <w:r w:rsidRPr="00474D79">
        <w:rPr>
          <w:rFonts w:ascii="Garamond" w:hAnsi="Garamond"/>
          <w:i/>
          <w:iCs/>
          <w:sz w:val="24"/>
          <w:szCs w:val="24"/>
        </w:rPr>
        <w:t>credit risk boundary event</w:t>
      </w:r>
      <w:r w:rsidRPr="00474D79">
        <w:rPr>
          <w:rFonts w:ascii="Garamond" w:hAnsi="Garamond"/>
          <w:sz w:val="24"/>
          <w:szCs w:val="24"/>
        </w:rPr>
        <w:t>) ose të lidhura me rrezikun e tregut (</w:t>
      </w:r>
      <w:r w:rsidRPr="00474D79">
        <w:rPr>
          <w:rFonts w:ascii="Garamond" w:hAnsi="Garamond"/>
          <w:i/>
          <w:iCs/>
          <w:sz w:val="24"/>
          <w:szCs w:val="24"/>
        </w:rPr>
        <w:t>market risk boundary event</w:t>
      </w:r>
      <w:r w:rsidRPr="00474D79">
        <w:rPr>
          <w:rFonts w:ascii="Garamond" w:hAnsi="Garamond"/>
          <w:sz w:val="24"/>
          <w:szCs w:val="24"/>
        </w:rPr>
        <w:t>);</w:t>
      </w:r>
    </w:p>
    <w:p w14:paraId="1C21BD26" w14:textId="0DBCFD9E" w:rsidR="00D20524" w:rsidRPr="00474D79" w:rsidRDefault="00D20524" w:rsidP="00D20524">
      <w:pPr>
        <w:pStyle w:val="ListParagraph"/>
        <w:tabs>
          <w:tab w:val="left" w:pos="720"/>
        </w:tabs>
        <w:spacing w:after="0" w:line="240" w:lineRule="auto"/>
        <w:ind w:left="0" w:firstLine="284"/>
        <w:jc w:val="both"/>
        <w:rPr>
          <w:rFonts w:ascii="Garamond" w:hAnsi="Garamond"/>
          <w:sz w:val="24"/>
          <w:szCs w:val="24"/>
        </w:rPr>
      </w:pPr>
      <w:r w:rsidRPr="00474D79">
        <w:rPr>
          <w:rFonts w:ascii="Garamond" w:hAnsi="Garamond"/>
          <w:sz w:val="24"/>
          <w:szCs w:val="24"/>
        </w:rPr>
        <w:t>p) “humbje efektive” – janë humbje me efekt ekonomik negativ të lidhura me ngjarje të rrezikut operacional, të cilat në përgjithësi nuk bien në kategoritë e parashikuara në shkronjat “q” deri në “y” të kësaj pike;</w:t>
      </w:r>
    </w:p>
    <w:p w14:paraId="55622D73" w14:textId="6EEB1DE6" w:rsidR="00D20524" w:rsidRPr="00474D79" w:rsidRDefault="00D20524" w:rsidP="00D20524">
      <w:pPr>
        <w:pStyle w:val="ListParagraph"/>
        <w:tabs>
          <w:tab w:val="left" w:pos="720"/>
        </w:tabs>
        <w:spacing w:after="0" w:line="240" w:lineRule="auto"/>
        <w:ind w:left="0" w:firstLine="284"/>
        <w:jc w:val="both"/>
        <w:rPr>
          <w:rFonts w:ascii="Garamond" w:hAnsi="Garamond"/>
          <w:sz w:val="24"/>
          <w:szCs w:val="24"/>
        </w:rPr>
      </w:pPr>
      <w:r w:rsidRPr="00474D79">
        <w:rPr>
          <w:rFonts w:ascii="Garamond" w:hAnsi="Garamond"/>
          <w:sz w:val="24"/>
          <w:szCs w:val="24"/>
        </w:rPr>
        <w:t>q) “provigjione specifike” – janë provigjionet që burojnë nga ngjarje të rrezikut operacional, që kanë një mundësi të lartë të materializimit të humbjes. Këto provigjione lidhen me ngjarje të tipit mashtrim i brendshëm/i jashtëm si pjesë e aktivitetit të kredidhënies; procese gjyqësore në kontekstin e ngjarjeve të tipit praktikat e punësimit dhe siguria në vendin e punës apo klientët, produktet dhe praktikat e biznesit; dëmtime të aktiveve fizike. Ato llogariten si diferencë ndërmjet humbjes së mundshme dhe sipas rastit, vlerës neto të kolateralit, ose disbursimit të konfirmuar nga siguracioni, nëse këto të fundit ekzistojnë;</w:t>
      </w:r>
    </w:p>
    <w:p w14:paraId="32767C08" w14:textId="55E6BAB5"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r) “humbje të mbetura pezull (</w:t>
      </w:r>
      <w:r w:rsidRPr="00474D79">
        <w:rPr>
          <w:rFonts w:ascii="Garamond" w:hAnsi="Garamond"/>
          <w:i/>
          <w:iCs/>
          <w:sz w:val="24"/>
          <w:szCs w:val="24"/>
        </w:rPr>
        <w:t>pending losses</w:t>
      </w:r>
      <w:r w:rsidRPr="00474D79">
        <w:rPr>
          <w:rFonts w:ascii="Garamond" w:hAnsi="Garamond"/>
          <w:sz w:val="24"/>
          <w:szCs w:val="24"/>
        </w:rPr>
        <w:t>)” – janë humbje që burojnë nga ngjarje të rrezikut operacional, me efekt negativ financiar, të regjistruara përkohësisht në llogari tranzitore/pezull dhe që nuk janë reflektuar ende në pasqyrën e të ardhurave dhe shpenzimeve (PASH);</w:t>
      </w:r>
    </w:p>
    <w:p w14:paraId="0680FDED" w14:textId="701453EB"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s) “humbje të pamaterializuara (</w:t>
      </w:r>
      <w:r w:rsidRPr="00474D79">
        <w:rPr>
          <w:rFonts w:ascii="Garamond" w:hAnsi="Garamond"/>
          <w:i/>
          <w:iCs/>
          <w:sz w:val="24"/>
          <w:szCs w:val="24"/>
        </w:rPr>
        <w:t>near misses</w:t>
      </w:r>
      <w:r w:rsidRPr="00474D79">
        <w:rPr>
          <w:rFonts w:ascii="Garamond" w:hAnsi="Garamond"/>
          <w:sz w:val="24"/>
          <w:szCs w:val="24"/>
        </w:rPr>
        <w:t xml:space="preserve">)” </w:t>
      </w:r>
      <w:r w:rsidR="00462D82">
        <w:rPr>
          <w:rFonts w:ascii="Garamond" w:hAnsi="Garamond"/>
          <w:sz w:val="24"/>
          <w:szCs w:val="24"/>
        </w:rPr>
        <w:t>–</w:t>
      </w:r>
      <w:r w:rsidRPr="00474D79">
        <w:rPr>
          <w:rFonts w:ascii="Garamond" w:hAnsi="Garamond"/>
          <w:sz w:val="24"/>
          <w:szCs w:val="24"/>
        </w:rPr>
        <w:t xml:space="preserve"> lidhen me ngjarje të rrezikut operacional, të cilat nuk shkaktojnë efekte me humbje financiare. Këto janë ngjarje që mund të kishin prodhuar një efekt negativ në pasqyrën e të ardhurave dhe shpenzimeve (PASH), por që nuk rezultuan të tilla për shkak të një kontrolli të momentit të fundit apo për arsye rastësore;</w:t>
      </w:r>
    </w:p>
    <w:p w14:paraId="1D9A175C" w14:textId="6B94DCC6"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t) “humbjet në kohë (</w:t>
      </w:r>
      <w:r w:rsidRPr="00474D79">
        <w:rPr>
          <w:rFonts w:ascii="Garamond" w:hAnsi="Garamond"/>
          <w:i/>
          <w:iCs/>
          <w:sz w:val="24"/>
          <w:szCs w:val="24"/>
        </w:rPr>
        <w:t>timing losses</w:t>
      </w:r>
      <w:r w:rsidRPr="00474D79">
        <w:rPr>
          <w:rFonts w:ascii="Garamond" w:hAnsi="Garamond"/>
          <w:sz w:val="24"/>
          <w:szCs w:val="24"/>
        </w:rPr>
        <w:t xml:space="preserve">)” </w:t>
      </w:r>
      <w:r w:rsidR="009437DE">
        <w:rPr>
          <w:rFonts w:ascii="Garamond" w:hAnsi="Garamond"/>
          <w:sz w:val="24"/>
          <w:szCs w:val="24"/>
        </w:rPr>
        <w:t>–</w:t>
      </w:r>
      <w:r w:rsidRPr="00474D79">
        <w:rPr>
          <w:rFonts w:ascii="Garamond" w:hAnsi="Garamond"/>
          <w:sz w:val="24"/>
          <w:szCs w:val="24"/>
        </w:rPr>
        <w:t xml:space="preserve"> janë humbje që burojnë nga ngjarje të rrezikut operacional, me efekte financiare negative në pasqyrën e flukseve të parasë ose pasqyrën e të ardhurave dhe shpenzimeve (PASH) të periudhave të mëparshme;</w:t>
      </w:r>
      <w:r w:rsidR="002F4A24">
        <w:rPr>
          <w:rFonts w:ascii="Garamond" w:hAnsi="Garamond"/>
          <w:sz w:val="24"/>
          <w:szCs w:val="24"/>
        </w:rPr>
        <w:t xml:space="preserve"> </w:t>
      </w:r>
    </w:p>
    <w:p w14:paraId="3B7EE8FB" w14:textId="4C976AB5"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u) “kompensim” – janë pagesat ndaj palëve të treta, që kanë pësuar një humbje financiare për shkak të përfitimeve nga subjekti, në kundërshtim me kushtet kontraktuale. Çdo shumë e njohur për kompensim që nuk ndodh gjatë vitit fiskal, duhet të konsiderohet si humbje në kohë (</w:t>
      </w:r>
      <w:r w:rsidRPr="00474D79">
        <w:rPr>
          <w:rFonts w:ascii="Garamond" w:hAnsi="Garamond"/>
          <w:i/>
          <w:iCs/>
          <w:sz w:val="24"/>
          <w:szCs w:val="24"/>
        </w:rPr>
        <w:t>timing losses</w:t>
      </w:r>
      <w:r w:rsidRPr="00474D79">
        <w:rPr>
          <w:rFonts w:ascii="Garamond" w:hAnsi="Garamond"/>
          <w:sz w:val="24"/>
          <w:szCs w:val="24"/>
        </w:rPr>
        <w:t>);</w:t>
      </w:r>
    </w:p>
    <w:p w14:paraId="0EBCC6BE" w14:textId="56B41ABB"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v) “humbje të rikuperuara menjëherë (</w:t>
      </w:r>
      <w:r w:rsidRPr="00474D79">
        <w:rPr>
          <w:rFonts w:ascii="Garamond" w:hAnsi="Garamond"/>
          <w:i/>
          <w:iCs/>
          <w:sz w:val="24"/>
          <w:szCs w:val="24"/>
        </w:rPr>
        <w:t>rapidly recovered losses</w:t>
      </w:r>
      <w:r w:rsidRPr="00474D79">
        <w:rPr>
          <w:rFonts w:ascii="Garamond" w:hAnsi="Garamond"/>
          <w:sz w:val="24"/>
          <w:szCs w:val="24"/>
        </w:rPr>
        <w:t>)”</w:t>
      </w:r>
      <w:r w:rsidR="009437DE" w:rsidRPr="009437DE">
        <w:rPr>
          <w:rFonts w:ascii="Garamond" w:hAnsi="Garamond"/>
          <w:sz w:val="24"/>
          <w:szCs w:val="24"/>
        </w:rPr>
        <w:t xml:space="preserve"> </w:t>
      </w:r>
      <w:r w:rsidR="009437DE">
        <w:rPr>
          <w:rFonts w:ascii="Garamond" w:hAnsi="Garamond"/>
          <w:sz w:val="24"/>
          <w:szCs w:val="24"/>
        </w:rPr>
        <w:t>–</w:t>
      </w:r>
      <w:r w:rsidRPr="00474D79">
        <w:rPr>
          <w:rFonts w:ascii="Garamond" w:hAnsi="Garamond"/>
          <w:sz w:val="24"/>
          <w:szCs w:val="24"/>
        </w:rPr>
        <w:t xml:space="preserve"> lidhen me ngjarje të rrezikut operacional, që shkaktojnë humbje të rikuperuara plotësisht brenda një harku kohor prej pesë ditë pune nga data e ndodhjes së ngjarjes;</w:t>
      </w:r>
    </w:p>
    <w:p w14:paraId="7B212D87" w14:textId="233EF5C1"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x) “fitime/të ardhura operacionale” – lidhen me ngjarje të rrezikut operacional, të cilat mund të kishin prodhuar humbje, por për shkak të materializimit të një rrethane të favorshme, prodhuan fitime/të ardhura;</w:t>
      </w:r>
    </w:p>
    <w:p w14:paraId="42DC9153" w14:textId="7ADD48EB"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y) “kosto oportune/të ardhura të munguara” </w:t>
      </w:r>
      <w:r w:rsidR="009437DE">
        <w:rPr>
          <w:rFonts w:ascii="Garamond" w:hAnsi="Garamond"/>
          <w:sz w:val="24"/>
          <w:szCs w:val="24"/>
        </w:rPr>
        <w:t>–</w:t>
      </w:r>
      <w:r w:rsidRPr="00474D79">
        <w:rPr>
          <w:rFonts w:ascii="Garamond" w:hAnsi="Garamond"/>
          <w:sz w:val="24"/>
          <w:szCs w:val="24"/>
        </w:rPr>
        <w:t xml:space="preserve"> janë të ardhura të parealizuara, që shkaktohen nga materializimi i ngjarjeve të rrezikut operacional. </w:t>
      </w:r>
    </w:p>
    <w:p w14:paraId="22BFEB9B" w14:textId="2E9A7363"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3. Termat e përdorur në këtë rregullore “këshill drejtues” dhe “drejtori”, të cilët i referohen formës së organizimit juridik të bankave nuk kushtëzojnë ose kufizojnë zbatimin e kërkesave të kësaj rregullore</w:t>
      </w:r>
      <w:r w:rsidR="00803D90">
        <w:rPr>
          <w:rFonts w:ascii="Garamond" w:hAnsi="Garamond"/>
          <w:sz w:val="24"/>
          <w:szCs w:val="24"/>
        </w:rPr>
        <w:t>je</w:t>
      </w:r>
      <w:r w:rsidRPr="00474D79">
        <w:rPr>
          <w:rFonts w:ascii="Garamond" w:hAnsi="Garamond"/>
          <w:sz w:val="24"/>
          <w:szCs w:val="24"/>
        </w:rPr>
        <w:t xml:space="preserve"> për subjektet e tjera të rregullores. Këto terma në rastin e subjekteve të tjera, të cilat nuk janë të organizuara si banka, do të nënkuptojnë organet përkatëse të subjektit, të cilat ushtrojnë funksionet analoge të “këshillit drejtues” dhe “drejtorisë”, në varësi të organizimit juridik të tyre.</w:t>
      </w:r>
    </w:p>
    <w:p w14:paraId="02EDDFBF" w14:textId="77777777" w:rsidR="00D20524" w:rsidRPr="009437DE" w:rsidRDefault="00D20524" w:rsidP="00D20524">
      <w:pPr>
        <w:spacing w:after="0" w:line="240" w:lineRule="auto"/>
        <w:ind w:firstLine="284"/>
        <w:jc w:val="center"/>
        <w:rPr>
          <w:rFonts w:ascii="Garamond" w:hAnsi="Garamond" w:cs="Times New Roman Bold"/>
          <w:bCs/>
          <w:caps/>
          <w:sz w:val="24"/>
          <w:szCs w:val="24"/>
        </w:rPr>
      </w:pPr>
      <w:r w:rsidRPr="009437DE">
        <w:rPr>
          <w:rFonts w:ascii="Garamond" w:hAnsi="Garamond" w:cs="Times New Roman Bold"/>
          <w:bCs/>
          <w:caps/>
          <w:sz w:val="24"/>
          <w:szCs w:val="24"/>
        </w:rPr>
        <w:lastRenderedPageBreak/>
        <w:t>Kreu II</w:t>
      </w:r>
    </w:p>
    <w:p w14:paraId="7AAD45F9" w14:textId="77777777" w:rsidR="00D20524" w:rsidRPr="009437DE" w:rsidRDefault="00D20524" w:rsidP="00D20524">
      <w:pPr>
        <w:spacing w:after="0" w:line="240" w:lineRule="auto"/>
        <w:ind w:firstLine="284"/>
        <w:jc w:val="center"/>
        <w:rPr>
          <w:rFonts w:ascii="Garamond" w:hAnsi="Garamond" w:cs="Times New Roman Bold"/>
          <w:bCs/>
          <w:caps/>
          <w:sz w:val="24"/>
          <w:szCs w:val="24"/>
        </w:rPr>
      </w:pPr>
      <w:r w:rsidRPr="009437DE">
        <w:rPr>
          <w:rFonts w:ascii="Garamond" w:hAnsi="Garamond" w:cs="Times New Roman Bold"/>
          <w:bCs/>
          <w:caps/>
          <w:sz w:val="24"/>
          <w:szCs w:val="24"/>
        </w:rPr>
        <w:t>DREJTIMI I rrezikut operacional</w:t>
      </w:r>
    </w:p>
    <w:p w14:paraId="64626C60" w14:textId="77777777" w:rsidR="00D20524" w:rsidRPr="00474D79" w:rsidRDefault="00D20524" w:rsidP="00D20524">
      <w:pPr>
        <w:spacing w:after="0" w:line="240" w:lineRule="auto"/>
        <w:ind w:firstLine="284"/>
        <w:jc w:val="center"/>
        <w:rPr>
          <w:rFonts w:ascii="Garamond" w:hAnsi="Garamond"/>
          <w:b/>
          <w:bCs/>
          <w:sz w:val="24"/>
          <w:szCs w:val="24"/>
        </w:rPr>
      </w:pPr>
    </w:p>
    <w:p w14:paraId="2EE486A7"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5</w:t>
      </w:r>
    </w:p>
    <w:p w14:paraId="100E7E1A"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Sistemi i administrimit të rrezikut operacional</w:t>
      </w:r>
    </w:p>
    <w:p w14:paraId="17085F39" w14:textId="77777777" w:rsidR="00D20524" w:rsidRPr="00474D79" w:rsidRDefault="00D20524" w:rsidP="00D20524">
      <w:pPr>
        <w:spacing w:after="0" w:line="240" w:lineRule="auto"/>
        <w:ind w:firstLine="284"/>
        <w:jc w:val="center"/>
        <w:rPr>
          <w:rFonts w:ascii="Garamond" w:hAnsi="Garamond"/>
          <w:b/>
          <w:bCs/>
          <w:sz w:val="24"/>
          <w:szCs w:val="24"/>
        </w:rPr>
      </w:pPr>
    </w:p>
    <w:p w14:paraId="3739D4E4" w14:textId="76497321" w:rsidR="00D20524" w:rsidRPr="00474D79" w:rsidRDefault="00D20524" w:rsidP="00D20524">
      <w:pPr>
        <w:spacing w:after="0" w:line="240" w:lineRule="auto"/>
        <w:ind w:firstLine="284"/>
        <w:jc w:val="both"/>
        <w:rPr>
          <w:rFonts w:ascii="Garamond" w:hAnsi="Garamond"/>
          <w:b/>
          <w:bCs/>
          <w:sz w:val="24"/>
          <w:szCs w:val="24"/>
        </w:rPr>
      </w:pPr>
      <w:r w:rsidRPr="00474D79">
        <w:rPr>
          <w:rFonts w:ascii="Garamond" w:hAnsi="Garamond"/>
          <w:sz w:val="24"/>
          <w:szCs w:val="24"/>
        </w:rPr>
        <w:t>1. Sistemi i administrimit të rrezikut operacional është tërësia e politikave, procedurave, rregullave, strukturave dhe mekanizmave të subjektit, që shërbejnë për administrimin e rrezikut operacional.</w:t>
      </w:r>
    </w:p>
    <w:p w14:paraId="40A8F7BC" w14:textId="7AD2B4D7" w:rsidR="00D20524" w:rsidRPr="00474D79" w:rsidRDefault="00D20524" w:rsidP="00D20524">
      <w:pPr>
        <w:spacing w:after="0" w:line="240" w:lineRule="auto"/>
        <w:ind w:firstLine="284"/>
        <w:jc w:val="both"/>
        <w:rPr>
          <w:rFonts w:ascii="Garamond" w:hAnsi="Garamond"/>
          <w:b/>
          <w:bCs/>
          <w:sz w:val="24"/>
          <w:szCs w:val="24"/>
        </w:rPr>
      </w:pPr>
      <w:r w:rsidRPr="00474D79">
        <w:rPr>
          <w:rFonts w:ascii="Garamond" w:hAnsi="Garamond"/>
          <w:sz w:val="24"/>
          <w:szCs w:val="24"/>
        </w:rPr>
        <w:t>2. Subjekti</w:t>
      </w:r>
      <w:r w:rsidRPr="00474D79">
        <w:rPr>
          <w:rFonts w:ascii="Garamond" w:hAnsi="Garamond"/>
          <w:b/>
          <w:bCs/>
          <w:sz w:val="24"/>
          <w:szCs w:val="24"/>
        </w:rPr>
        <w:t xml:space="preserve"> </w:t>
      </w:r>
      <w:r w:rsidRPr="00474D79">
        <w:rPr>
          <w:rFonts w:ascii="Garamond" w:hAnsi="Garamond"/>
          <w:sz w:val="24"/>
          <w:szCs w:val="24"/>
        </w:rPr>
        <w:t>krijon dhe zhvillon sistemin e administrimit të rrezikut operacional,</w:t>
      </w:r>
      <w:r w:rsidRPr="00474D79">
        <w:rPr>
          <w:rFonts w:ascii="Garamond" w:hAnsi="Garamond"/>
          <w:b/>
          <w:bCs/>
          <w:sz w:val="24"/>
          <w:szCs w:val="24"/>
        </w:rPr>
        <w:t xml:space="preserve"> </w:t>
      </w:r>
      <w:r w:rsidRPr="00474D79">
        <w:rPr>
          <w:rFonts w:ascii="Garamond" w:hAnsi="Garamond"/>
          <w:sz w:val="24"/>
          <w:szCs w:val="24"/>
        </w:rPr>
        <w:t>në përputhje me natyrën, vëllimin dhe kompleksitetin e veprimtarisë së tij bankare dhe/ose financiare.</w:t>
      </w:r>
    </w:p>
    <w:p w14:paraId="2D34B706" w14:textId="688886CA" w:rsidR="00D20524" w:rsidRPr="00474D79" w:rsidRDefault="00D20524" w:rsidP="00D20524">
      <w:pPr>
        <w:spacing w:after="0" w:line="240" w:lineRule="auto"/>
        <w:ind w:firstLine="284"/>
        <w:jc w:val="both"/>
        <w:rPr>
          <w:rFonts w:ascii="Garamond" w:hAnsi="Garamond"/>
          <w:b/>
          <w:bCs/>
          <w:sz w:val="24"/>
          <w:szCs w:val="24"/>
        </w:rPr>
      </w:pPr>
      <w:r w:rsidRPr="00474D79">
        <w:rPr>
          <w:rFonts w:ascii="Garamond" w:hAnsi="Garamond"/>
          <w:sz w:val="24"/>
          <w:szCs w:val="24"/>
        </w:rPr>
        <w:t>3. Sistemi i administrimit të rrezikut operacional ka për qëllim të sigurojë identifikimin dhe vlerësimin, matjen, kontrollin dhe zbutjen, monitorimin në vazhdimësi, si dhe raportimin periodik te strukturat e brendshme drejtuese, të rrezikut operacional.</w:t>
      </w:r>
    </w:p>
    <w:p w14:paraId="5A5E1ED8"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67D2311D"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6</w:t>
      </w:r>
    </w:p>
    <w:p w14:paraId="05B30DEA"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Struktura organizative për administrimin e rrezikut operacional</w:t>
      </w:r>
    </w:p>
    <w:p w14:paraId="41297E75" w14:textId="77777777" w:rsidR="00D20524" w:rsidRPr="00474D79" w:rsidRDefault="00D20524" w:rsidP="00D20524">
      <w:pPr>
        <w:spacing w:after="0" w:line="240" w:lineRule="auto"/>
        <w:ind w:firstLine="284"/>
        <w:jc w:val="center"/>
        <w:rPr>
          <w:rFonts w:ascii="Garamond" w:hAnsi="Garamond"/>
          <w:b/>
          <w:bCs/>
          <w:sz w:val="24"/>
          <w:szCs w:val="24"/>
        </w:rPr>
      </w:pPr>
    </w:p>
    <w:p w14:paraId="6FE52E09" w14:textId="66061274"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1. Subjekti krijon një strukturë të përshtatshme organizative për administrimin e rrezikut operacional, duke përcaktuar qartë kompetencat dhe përgjegjësitë e organeve drejtuese, si dhe të gjitha strukturave/njësive të përfshira në administrimin e rrezikut operacional, sipas tr</w:t>
      </w:r>
      <w:r w:rsidR="005A76A1">
        <w:rPr>
          <w:rFonts w:ascii="Garamond" w:hAnsi="Garamond"/>
          <w:sz w:val="24"/>
          <w:szCs w:val="24"/>
        </w:rPr>
        <w:t>i</w:t>
      </w:r>
      <w:r w:rsidRPr="00474D79">
        <w:rPr>
          <w:rFonts w:ascii="Garamond" w:hAnsi="Garamond"/>
          <w:sz w:val="24"/>
          <w:szCs w:val="24"/>
        </w:rPr>
        <w:t xml:space="preserve"> linjave të kontrollit.</w:t>
      </w:r>
    </w:p>
    <w:p w14:paraId="4623FFD0" w14:textId="4D40F18C"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2. Në veçanti, subjekti siguron që struktura/njësia e administrimit të rrezikut operacional si pjesë e linjës së dytë të mbrojtjes dhe si pjesë e rëndësishme e sistemit të administrimit të rrezikut operacional, të jetë e ndarë qartë nga pikëpamja organizative dhe operacionale prej linjave të biznesit dhe funksioneve të tjera mbështetëse operacionale.</w:t>
      </w:r>
    </w:p>
    <w:p w14:paraId="6E19A1CE" w14:textId="11FEDBF0"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3. Struktura/njësia e administrimit të rrezikut operacional, në varësi të zgjedhjes së strukturave drejtuese të subjektit dhe parimit të proporcionalitetit, mund të jetë pjesë e strukturës së përgjithshme të administrimit të rreziqeve, ose një njësi që mund të qëndrojë jashtë kësaj strukture.</w:t>
      </w:r>
    </w:p>
    <w:p w14:paraId="68615478" w14:textId="794839F6"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4. Struktura/njësia e parashikuar në pikën 3 të këtij neni, në çdo rast</w:t>
      </w:r>
      <w:r w:rsidR="005A76A1">
        <w:rPr>
          <w:rFonts w:ascii="Garamond" w:hAnsi="Garamond"/>
          <w:sz w:val="24"/>
          <w:szCs w:val="24"/>
        </w:rPr>
        <w:t>,</w:t>
      </w:r>
      <w:r w:rsidRPr="00474D79">
        <w:rPr>
          <w:rFonts w:ascii="Garamond" w:hAnsi="Garamond"/>
          <w:sz w:val="24"/>
          <w:szCs w:val="24"/>
        </w:rPr>
        <w:t xml:space="preserve"> funksionon si linjë e dytë e kontrollit dhe duhet të raportojë drejtpërdrejt te këshilli drejtues, drejtoria apo struktura/komitete të tjera të përcaktuara sipas rastit, për qëllime të administrimit të rrezikut operacional. </w:t>
      </w:r>
    </w:p>
    <w:p w14:paraId="78F26A83"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06ED2B83"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7</w:t>
      </w:r>
    </w:p>
    <w:p w14:paraId="53AB073F"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Këshilli drejtues</w:t>
      </w:r>
    </w:p>
    <w:p w14:paraId="6341E0BD" w14:textId="77777777" w:rsidR="00D20524" w:rsidRPr="00474D79" w:rsidRDefault="00D20524" w:rsidP="00D20524">
      <w:pPr>
        <w:spacing w:after="0" w:line="240" w:lineRule="auto"/>
        <w:ind w:firstLine="284"/>
        <w:jc w:val="center"/>
        <w:rPr>
          <w:rFonts w:ascii="Garamond" w:hAnsi="Garamond"/>
          <w:b/>
          <w:bCs/>
          <w:sz w:val="24"/>
          <w:szCs w:val="24"/>
        </w:rPr>
      </w:pPr>
    </w:p>
    <w:p w14:paraId="71579F3B" w14:textId="6A371B4F"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1. Këshilli drejtues, pa rënë ndesh me përcaktimet e përgjegjësive dhe rolit të tij të përcaktuar në kuadrin ligjor e rregullativ, është përgjegjës për:</w:t>
      </w:r>
    </w:p>
    <w:p w14:paraId="49847BD7" w14:textId="63DDBFEC"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a) të krijuar një kulturë të administrimit të rrezikut dhe për të siguruar që subjekti ka procese të përshtatshme, për të kuptuar natyrën</w:t>
      </w:r>
      <w:r w:rsidR="002F4A24">
        <w:rPr>
          <w:rFonts w:ascii="Garamond" w:hAnsi="Garamond"/>
          <w:sz w:val="24"/>
          <w:szCs w:val="24"/>
        </w:rPr>
        <w:t xml:space="preserve"> </w:t>
      </w:r>
      <w:r w:rsidRPr="00474D79">
        <w:rPr>
          <w:rFonts w:ascii="Garamond" w:hAnsi="Garamond"/>
          <w:sz w:val="24"/>
          <w:szCs w:val="24"/>
        </w:rPr>
        <w:t>e rrezikut operacional që buron nga</w:t>
      </w:r>
      <w:r w:rsidR="002F4A24">
        <w:rPr>
          <w:rFonts w:ascii="Garamond" w:hAnsi="Garamond"/>
          <w:sz w:val="24"/>
          <w:szCs w:val="24"/>
        </w:rPr>
        <w:t xml:space="preserve"> </w:t>
      </w:r>
      <w:r w:rsidRPr="00474D79">
        <w:rPr>
          <w:rFonts w:ascii="Garamond" w:hAnsi="Garamond"/>
          <w:sz w:val="24"/>
          <w:szCs w:val="24"/>
        </w:rPr>
        <w:t>strategjitë dhe aktivitetet aktuale dhe të planifikuara të subjektit;</w:t>
      </w:r>
    </w:p>
    <w:p w14:paraId="7A8FC609" w14:textId="62E47FE9"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b) të siguruar që proceset e administrimit të rrezikut operacional i nënshtrohen një monitorimi/mbikëqyrjeje gjithëpërfshirëse dhe dinamike</w:t>
      </w:r>
      <w:r w:rsidR="005A76A1">
        <w:rPr>
          <w:rFonts w:ascii="Garamond" w:hAnsi="Garamond"/>
          <w:sz w:val="24"/>
          <w:szCs w:val="24"/>
        </w:rPr>
        <w:t>,</w:t>
      </w:r>
      <w:r w:rsidRPr="00474D79">
        <w:rPr>
          <w:rFonts w:ascii="Garamond" w:hAnsi="Garamond"/>
          <w:sz w:val="24"/>
          <w:szCs w:val="24"/>
        </w:rPr>
        <w:t xml:space="preserve"> dhe janë plotësisht të integruar ose të koordinuar me sistemin e përgjithshëm të administrimit të të gjitha rreziqeve të subjektit;</w:t>
      </w:r>
    </w:p>
    <w:p w14:paraId="78AD4CCA" w14:textId="730BFD0F"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c) miratimin e politikave për administrimin e rrezikut operacional dhe monitorimin e zbatimit të tyre;</w:t>
      </w:r>
    </w:p>
    <w:p w14:paraId="2B67D599" w14:textId="2DF82C79" w:rsidR="00D20524" w:rsidRPr="00474D79" w:rsidRDefault="00D20524" w:rsidP="00D20524">
      <w:pPr>
        <w:tabs>
          <w:tab w:val="left" w:pos="440"/>
          <w:tab w:val="left" w:pos="720"/>
        </w:tabs>
        <w:spacing w:after="0" w:line="240" w:lineRule="auto"/>
        <w:ind w:firstLine="284"/>
        <w:jc w:val="both"/>
        <w:rPr>
          <w:rFonts w:ascii="Garamond" w:hAnsi="Garamond"/>
          <w:sz w:val="24"/>
          <w:szCs w:val="24"/>
        </w:rPr>
      </w:pPr>
      <w:r w:rsidRPr="00474D79">
        <w:rPr>
          <w:rFonts w:ascii="Garamond" w:hAnsi="Garamond"/>
          <w:sz w:val="24"/>
          <w:szCs w:val="24"/>
        </w:rPr>
        <w:lastRenderedPageBreak/>
        <w:t>d) ngritjen e një strukture administrimi të aftë dhe të përshtatshme për zbatimin e akteve rregullative të brendshme të subjektit për administrimin e rrezikut operacional;</w:t>
      </w:r>
    </w:p>
    <w:p w14:paraId="497A1DEE" w14:textId="2457B69D"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e) të siguruar që sistemi i administrimit të rrezikut operacional është subjekt i shqyrtimit/kontrollit të pavarur nga ana e njësisë së kontrollit të brendshëm. Për këtë, këshilli drejtues përcakton linja/ndarje të qarta të detyrave dhe përgjegjësive që ndihmojnë në ngritjen e funksioneve të përshtatshme të kontrollit të brendshëm të rrezikut operacional. Kontrollet duhet të rishikohen, monitorohen dhe testohen rregullisht, për të siguruar efektivitet të vazhdueshëm. Mjedisi i kontrollit duhet të sigurojë pavarësinë dhe ndarjen e duhur të detyrave ndërmjet funksioneve të administrimit të rrezikut operacional, njësive të biznesit dhe funksioneve mbështetëse;</w:t>
      </w:r>
    </w:p>
    <w:p w14:paraId="6CDB1B02" w14:textId="24CEF9E5"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f) rishikimin dhe vlerësimin në mënyrë periodike të efektivitetit të sistemit të administrimit të rrezikut operacional dhe miratimin e tij, për të siguruar identifikimin dhe administrimin nga subjektet, të rrezikut operacional që rrjedh nga ndryshimet e jashtme të tregut dhe faktorë të tjerë të mjedisit, si dhe të rreziqeve operacionale që lidhen me produktet, veprimtaritë, proceset ose sistemet e reja, përfshirë ndryshimet në profilin e rrezikut dhe në prioritetet e subjektit. Procesi i rishikimit duhet të synojë vlerësimin dhe përzgjedhjen e praktikave më të mira të administrimit të rrezikut operacional, të përshtatshme për veprimtaritë, sistemet dhe proceset e subjektit;</w:t>
      </w:r>
    </w:p>
    <w:p w14:paraId="2CA81CFB" w14:textId="25965FC3"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g) miratimin dhe rishikimin në mënyrë periodike të deklaratës së oreksit/tolerancës ndaj rrezikut operacional, në përputhje me strategjinë e subjektit, rezultatet financiare, si dhe llojet dhe nivelet e rrezikut që subjekti është i gatshëm të pranojë.</w:t>
      </w:r>
    </w:p>
    <w:p w14:paraId="486C8966" w14:textId="33559B29"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2. Këshilli drejtues siguron që sistemi i administrimit të rrezikut operacional i nënshtrohet një procesi efektiv dhe gjithëpërfshirës të kontrollit të brendshëm nga një personel i pavarur, i kualifikuar dhe i përgjegjshëm.</w:t>
      </w:r>
    </w:p>
    <w:p w14:paraId="06DFDB16"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54E483FA"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8</w:t>
      </w:r>
    </w:p>
    <w:p w14:paraId="5DA7F55F"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Drejtoria</w:t>
      </w:r>
    </w:p>
    <w:p w14:paraId="0F7D1867" w14:textId="77777777" w:rsidR="00D20524" w:rsidRPr="00474D79" w:rsidRDefault="00D20524" w:rsidP="00D20524">
      <w:pPr>
        <w:spacing w:after="0" w:line="240" w:lineRule="auto"/>
        <w:ind w:firstLine="284"/>
        <w:jc w:val="center"/>
        <w:rPr>
          <w:rFonts w:ascii="Garamond" w:hAnsi="Garamond"/>
          <w:b/>
          <w:bCs/>
          <w:sz w:val="24"/>
          <w:szCs w:val="24"/>
        </w:rPr>
      </w:pPr>
    </w:p>
    <w:p w14:paraId="4D1DE78E" w14:textId="224335E1"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 xml:space="preserve">1. Drejtoria, në funksion të administrimit të rrezikut operacional, është përgjegjëse për zbatimin e politikave, proceseve dhe sistemeve për administrimin e rrezikut operacional në të gjitha shërbimet/produktet, veprimtaritë, proceset dhe sistemet me rëndësi për subjektin, në përputhje me deklaratën e oreksit/tolerancës ndaj rrezikut. </w:t>
      </w:r>
    </w:p>
    <w:p w14:paraId="0F491F03" w14:textId="762E4CFB"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2. Drejtoria, në funksion të administrimit të rrezikut operacional</w:t>
      </w:r>
      <w:r w:rsidR="005A76A1">
        <w:rPr>
          <w:rFonts w:ascii="Garamond" w:hAnsi="Garamond"/>
          <w:sz w:val="24"/>
          <w:szCs w:val="24"/>
        </w:rPr>
        <w:t>,</w:t>
      </w:r>
      <w:r w:rsidRPr="00474D79">
        <w:rPr>
          <w:rFonts w:ascii="Garamond" w:hAnsi="Garamond"/>
          <w:sz w:val="24"/>
          <w:szCs w:val="24"/>
        </w:rPr>
        <w:t xml:space="preserve"> është përgjegjëse për:</w:t>
      </w:r>
    </w:p>
    <w:p w14:paraId="03376333" w14:textId="101494D3"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a) zbatimin e akteve të brendshme rregullative për administrimin e rrezikut operacional të subjektit, të miratuara nga këshilli drejtues;</w:t>
      </w:r>
    </w:p>
    <w:p w14:paraId="7EE55C56" w14:textId="4EDA3E18"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 xml:space="preserve">b) përcaktimin e përgjegjësive dhe zhvillimin e linjave të raportimit për të inkurajuar dhe për të ruajtur llogaridhënien, si dhe për të siguruar burimet financiare dhe njerëzore të duhura për administrimin efektiv të rrezikut operacional, në përputhje me deklaratën e oreksit/tolerancës ndaj rrezikut; </w:t>
      </w:r>
    </w:p>
    <w:p w14:paraId="40145405" w14:textId="2EBAA579"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c) komunikimin në mënyrë të qartë te punonjësit e të gjitha niveleve mbi sistemin e administrimit të rrezikut operacional të aplikuar nga subjekti;</w:t>
      </w:r>
    </w:p>
    <w:p w14:paraId="66E80946" w14:textId="694C3843"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d) ushtrimin e veprimtarisë bankare dhe/ose financiare të subjektit nga personel i kualifikuar, me përvojë dhe aftësi teknike të nevojshme;</w:t>
      </w:r>
    </w:p>
    <w:p w14:paraId="6EB8AAE1" w14:textId="2133A66D"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 xml:space="preserve">e) sigurimin që personeli përgjegjës për monitorimin e zbatimit të sistemit të administrimit të rrezikut operacional dhe përputhshmërisë së tij me politikën e rrezikut të subjektit, të jetë i pavarur nga njësitë që mbikëqyr. </w:t>
      </w:r>
    </w:p>
    <w:p w14:paraId="3D805B85" w14:textId="77777777" w:rsidR="00D20524" w:rsidRPr="00474D79" w:rsidRDefault="00D20524" w:rsidP="00D20524">
      <w:pPr>
        <w:spacing w:after="0" w:line="240" w:lineRule="auto"/>
        <w:ind w:firstLine="284"/>
        <w:jc w:val="center"/>
        <w:rPr>
          <w:rFonts w:ascii="Garamond" w:hAnsi="Garamond"/>
          <w:b/>
          <w:bCs/>
          <w:sz w:val="24"/>
          <w:szCs w:val="24"/>
        </w:rPr>
      </w:pPr>
    </w:p>
    <w:p w14:paraId="4506161B" w14:textId="77777777" w:rsidR="00607D78" w:rsidRDefault="00607D78" w:rsidP="00D20524">
      <w:pPr>
        <w:spacing w:after="0" w:line="240" w:lineRule="auto"/>
        <w:ind w:firstLine="284"/>
        <w:jc w:val="center"/>
        <w:rPr>
          <w:rFonts w:ascii="Garamond" w:hAnsi="Garamond"/>
          <w:bCs/>
          <w:sz w:val="24"/>
          <w:szCs w:val="24"/>
        </w:rPr>
      </w:pPr>
    </w:p>
    <w:p w14:paraId="561EA23A" w14:textId="3C1D244B"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lastRenderedPageBreak/>
        <w:t>Neni 9</w:t>
      </w:r>
    </w:p>
    <w:p w14:paraId="704277A4"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Linjat e mbrojtjes</w:t>
      </w:r>
    </w:p>
    <w:p w14:paraId="40F4AFFC" w14:textId="77777777" w:rsidR="00D20524" w:rsidRPr="00474D79" w:rsidRDefault="00D20524" w:rsidP="00D20524">
      <w:pPr>
        <w:spacing w:after="0" w:line="240" w:lineRule="auto"/>
        <w:ind w:firstLine="284"/>
        <w:jc w:val="center"/>
        <w:rPr>
          <w:rFonts w:ascii="Garamond" w:hAnsi="Garamond"/>
          <w:b/>
          <w:bCs/>
          <w:sz w:val="24"/>
          <w:szCs w:val="24"/>
        </w:rPr>
      </w:pPr>
    </w:p>
    <w:p w14:paraId="0610357C" w14:textId="12C87E3F"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1. Subjekti administron rrezikun operacional, duke zbatuar modelin e tr</w:t>
      </w:r>
      <w:r w:rsidR="005A76A1">
        <w:rPr>
          <w:rFonts w:ascii="Garamond" w:hAnsi="Garamond"/>
          <w:sz w:val="24"/>
          <w:szCs w:val="24"/>
        </w:rPr>
        <w:t>i</w:t>
      </w:r>
      <w:r w:rsidRPr="00474D79">
        <w:rPr>
          <w:rFonts w:ascii="Garamond" w:hAnsi="Garamond"/>
          <w:sz w:val="24"/>
          <w:szCs w:val="24"/>
        </w:rPr>
        <w:t xml:space="preserve"> linjave të mbrojtjes, ku: </w:t>
      </w:r>
    </w:p>
    <w:p w14:paraId="36E08ED8" w14:textId="4B10DA70"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 xml:space="preserve">a) në linjën e parë përfshihen njësitë e biznesit dhe funksionet ndihmëse/operacionale; </w:t>
      </w:r>
    </w:p>
    <w:p w14:paraId="5FD4C22B" w14:textId="61159C9C"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 xml:space="preserve">b) në linjën e dytë përfshihet funksioni i pavarur përgjegjës për administrimin e rrezikut operacional dhe funksioni/njësia e përputhshmërisë; dhe </w:t>
      </w:r>
    </w:p>
    <w:p w14:paraId="0029D353" w14:textId="6F0B0794"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 xml:space="preserve">c) në linjën e tretë përfshihet funksioni i pavarur i kontrollit. </w:t>
      </w:r>
    </w:p>
    <w:p w14:paraId="5F9CD99D" w14:textId="05195EFE"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2. Subjekti zbaton modelin e tr</w:t>
      </w:r>
      <w:r w:rsidR="005A76A1">
        <w:rPr>
          <w:rFonts w:ascii="Garamond" w:hAnsi="Garamond"/>
          <w:sz w:val="24"/>
          <w:szCs w:val="24"/>
        </w:rPr>
        <w:t>i</w:t>
      </w:r>
      <w:r w:rsidRPr="00474D79">
        <w:rPr>
          <w:rFonts w:ascii="Garamond" w:hAnsi="Garamond"/>
          <w:sz w:val="24"/>
          <w:szCs w:val="24"/>
        </w:rPr>
        <w:t xml:space="preserve"> linjave të mbrojtjes në varësi të natyrës, madhësisë, kompleksitetit dhe të profilit të rrezikut të tij.</w:t>
      </w:r>
    </w:p>
    <w:p w14:paraId="1F553A4C" w14:textId="47338A72"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3. Subjekti sigurohet që secila nga linjat e mbrojtjes:</w:t>
      </w:r>
    </w:p>
    <w:p w14:paraId="23AA4ACE" w14:textId="395DDE10"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a) ka burime financiare dhe njerëzore</w:t>
      </w:r>
      <w:r w:rsidR="005A76A1">
        <w:rPr>
          <w:rFonts w:ascii="Garamond" w:hAnsi="Garamond"/>
          <w:sz w:val="24"/>
          <w:szCs w:val="24"/>
        </w:rPr>
        <w:t>,</w:t>
      </w:r>
      <w:r w:rsidRPr="00474D79">
        <w:rPr>
          <w:rFonts w:ascii="Garamond" w:hAnsi="Garamond"/>
          <w:sz w:val="24"/>
          <w:szCs w:val="24"/>
        </w:rPr>
        <w:t xml:space="preserve"> dhe mjete të mjaftueshme;</w:t>
      </w:r>
    </w:p>
    <w:p w14:paraId="57048877" w14:textId="6B61A6D3"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b) ka detyra dhe përgjegjësi të përcaktuara qartë;</w:t>
      </w:r>
    </w:p>
    <w:p w14:paraId="63F42FF2" w14:textId="5B219E87"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c) trajnohet në mënyrë të vazhdueshme dhe të mjaftueshme;</w:t>
      </w:r>
    </w:p>
    <w:p w14:paraId="29E03447" w14:textId="4D0926E2"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 xml:space="preserve">d) promovon një kulturë të shëndoshë të administrimit të rrezikut në </w:t>
      </w:r>
      <w:r w:rsidR="005A76A1" w:rsidRPr="00474D79">
        <w:rPr>
          <w:rFonts w:ascii="Garamond" w:hAnsi="Garamond"/>
          <w:sz w:val="24"/>
          <w:szCs w:val="24"/>
        </w:rPr>
        <w:t xml:space="preserve">të </w:t>
      </w:r>
      <w:r w:rsidRPr="00474D79">
        <w:rPr>
          <w:rFonts w:ascii="Garamond" w:hAnsi="Garamond"/>
          <w:sz w:val="24"/>
          <w:szCs w:val="24"/>
        </w:rPr>
        <w:t>gjithë organizatën (subjektin);</w:t>
      </w:r>
    </w:p>
    <w:p w14:paraId="194247B6" w14:textId="289D788F"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e) komunikon me linjat e tjera të mbrojtjes, për zbatimin e sistemit të administrimit të rrezikut operacional.</w:t>
      </w:r>
    </w:p>
    <w:p w14:paraId="1EC5C246" w14:textId="3A0AFE10"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4. Në rastet kur në një njësi biznesi përfshihen funksione të linjës së parë dhe të dytë të mbrojtjes, subjekti dokumenton dhe dallon përgjegjësitë e këtyre funksioneve sipas linjave të mbrojtjes, duke theksuar pavarësinë e linjës së dytë të mbrojtjes nga njësitë e biznesit.</w:t>
      </w:r>
    </w:p>
    <w:p w14:paraId="23BAB0E7" w14:textId="6705B442"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5. Për qëllime të administrimit të rrezikut operacional, në linjën e parë të mbrojtjes përfshihet administrimi i njësive të biznesit dhe funksioneve ndihmëse/operacionale të subjektit. Punonjësit e linjës së parë të mbrojtjes janë përgjegjës për identifikimin dhe administrimin e vazhdueshëm të rreziqeve të qenësishme (</w:t>
      </w:r>
      <w:r w:rsidRPr="00474D79">
        <w:rPr>
          <w:rFonts w:ascii="Garamond" w:hAnsi="Garamond"/>
          <w:i/>
          <w:iCs/>
          <w:sz w:val="24"/>
          <w:szCs w:val="24"/>
        </w:rPr>
        <w:t>inherent</w:t>
      </w:r>
      <w:r w:rsidRPr="00474D79">
        <w:rPr>
          <w:rFonts w:ascii="Garamond" w:hAnsi="Garamond"/>
          <w:sz w:val="24"/>
          <w:szCs w:val="24"/>
        </w:rPr>
        <w:t xml:space="preserve">) në produktet, aktivitetet, proceset dhe sistemet, për të cilat janë përgjegjës gjatë punës së përditshme. </w:t>
      </w:r>
    </w:p>
    <w:p w14:paraId="4C214D9B" w14:textId="3A9B60EA"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6. Për qëllime të pikës 5 të këtij neni, përgjegjësitë e linjës së parë të mbrojtjes përfshijnë:</w:t>
      </w:r>
    </w:p>
    <w:p w14:paraId="34AB1C49" w14:textId="7049EE5B"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a) identifikimin dhe vlerësimin e materialitetit të rreziqeve operacionale të qenësishme (</w:t>
      </w:r>
      <w:r w:rsidRPr="00474D79">
        <w:rPr>
          <w:rFonts w:ascii="Garamond" w:hAnsi="Garamond"/>
          <w:i/>
          <w:iCs/>
          <w:sz w:val="24"/>
          <w:szCs w:val="24"/>
        </w:rPr>
        <w:t>inherent</w:t>
      </w:r>
      <w:r w:rsidRPr="00474D79">
        <w:rPr>
          <w:rFonts w:ascii="Garamond" w:hAnsi="Garamond"/>
          <w:sz w:val="24"/>
          <w:szCs w:val="24"/>
        </w:rPr>
        <w:t>) në njësitë e tyre të biznesit, nëpërmjet përdorimit të sistemeve të kontrollit, manuale apo automatike, në përputhje me procedurat e brendshme dhe parimin e ndarjes së detyrave;</w:t>
      </w:r>
    </w:p>
    <w:p w14:paraId="2368E25B" w14:textId="398CA784"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b) vendosjen e sistemeve të përshtatshme të kontrollit, në bashkëpunim me strukturat e tjera të kontrollit dhe funksionin e administrimit të rrezikut operacional, për të zbutur rrezikun operacional të qenësishëm (</w:t>
      </w:r>
      <w:r w:rsidRPr="00474D79">
        <w:rPr>
          <w:rFonts w:ascii="Garamond" w:hAnsi="Garamond"/>
          <w:i/>
          <w:iCs/>
          <w:sz w:val="24"/>
          <w:szCs w:val="24"/>
        </w:rPr>
        <w:t>inherent</w:t>
      </w:r>
      <w:r w:rsidRPr="00474D79">
        <w:rPr>
          <w:rFonts w:ascii="Garamond" w:hAnsi="Garamond"/>
          <w:sz w:val="24"/>
          <w:szCs w:val="24"/>
        </w:rPr>
        <w:t>), si edhe vlerësimin dhe raportimin e efektivitetit të këtyre kontrolleve nëpërmjet përdorimit të mekanizmave të administrimit të rrezikut operacional;</w:t>
      </w:r>
    </w:p>
    <w:p w14:paraId="09C07BA1" w14:textId="6EEAAACD"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c) identifikimin, monitorimin dhe raportimin e ngjarjeve të rrezikut operacional, në përputhje me sistemin e administrimit të rrezikut operacional; </w:t>
      </w:r>
    </w:p>
    <w:p w14:paraId="3853764D" w14:textId="7325966C"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d) raportimin e rreziqeve operacionale të mbetura (</w:t>
      </w:r>
      <w:r w:rsidRPr="00474D79">
        <w:rPr>
          <w:rFonts w:ascii="Garamond" w:hAnsi="Garamond"/>
          <w:i/>
          <w:iCs/>
          <w:sz w:val="24"/>
          <w:szCs w:val="24"/>
        </w:rPr>
        <w:t>residual</w:t>
      </w:r>
      <w:r w:rsidRPr="00474D79">
        <w:rPr>
          <w:rFonts w:ascii="Garamond" w:hAnsi="Garamond"/>
          <w:sz w:val="24"/>
          <w:szCs w:val="24"/>
        </w:rPr>
        <w:t>), të cilat nuk janë zbutur nga kontrollet, mangësitë e kontrollit dhe pamjaftueshmëritë e proceseve;</w:t>
      </w:r>
    </w:p>
    <w:p w14:paraId="74EE4541" w14:textId="0408A3C6"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e) trajnimin e duhur për të siguruar identifikimin dhe vlerësimin e rreziqeve operacionale, si dhe raportimin</w:t>
      </w:r>
      <w:r w:rsidR="005A76A1">
        <w:rPr>
          <w:rFonts w:ascii="Garamond" w:hAnsi="Garamond"/>
          <w:sz w:val="24"/>
          <w:szCs w:val="24"/>
        </w:rPr>
        <w:t>,</w:t>
      </w:r>
      <w:r w:rsidRPr="00474D79">
        <w:rPr>
          <w:rFonts w:ascii="Garamond" w:hAnsi="Garamond"/>
          <w:sz w:val="24"/>
          <w:szCs w:val="24"/>
        </w:rPr>
        <w:t xml:space="preserve"> në rastet kur njësitë e biznesit kanë mungesa në burime, mekanizma apo trajnime që mundësojnë identifikimin dhe vlerësimin e rreziqeve operacionale.</w:t>
      </w:r>
    </w:p>
    <w:p w14:paraId="73E3D448" w14:textId="5A7FA431"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7. Për qëllime të administrimit të rrezikut operacional, në linjën e dytë të mbrojtjes përfshihen funksionet e pavarura nga njësitë e biznesit për administrimin e rrezikut operacional, si pjesë e sistemit të administrimit të rrezikut. Kjo linjë është përgjegjëse për monitorimin e vazhdueshëm dhe periodik</w:t>
      </w:r>
      <w:r w:rsidR="005A76A1">
        <w:rPr>
          <w:rFonts w:ascii="Garamond" w:hAnsi="Garamond"/>
          <w:sz w:val="24"/>
          <w:szCs w:val="24"/>
        </w:rPr>
        <w:t>,</w:t>
      </w:r>
      <w:r w:rsidRPr="00474D79">
        <w:rPr>
          <w:rFonts w:ascii="Garamond" w:hAnsi="Garamond"/>
          <w:sz w:val="24"/>
          <w:szCs w:val="24"/>
        </w:rPr>
        <w:t xml:space="preserve"> dhe zhvillimin e sistemit të administrimit të rrezikut operacional dhe raportimin e çështjeve të lidhura me këtë rrezik, te drejtoria dhe këshilli drejtues. </w:t>
      </w:r>
    </w:p>
    <w:p w14:paraId="0653D029" w14:textId="5B7B1DD3"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lastRenderedPageBreak/>
        <w:t>8. Për qëllime të pikës 7 të këtij neni, përgjegjësitë e linjës së dytë të mbrojtjes përfshijnë minimalisht:</w:t>
      </w:r>
    </w:p>
    <w:p w14:paraId="58656E10" w14:textId="73883E22"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a) zhvillimin e një opinioni të pavarur nga njësitë e tjera të biznesit mbi: </w:t>
      </w:r>
    </w:p>
    <w:p w14:paraId="463C4C5B" w14:textId="0AA429CE"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i. ngjarjet materiale të rrezikut operacional të identifikuara</w:t>
      </w:r>
      <w:r w:rsidR="005A76A1">
        <w:rPr>
          <w:rFonts w:ascii="Garamond" w:hAnsi="Garamond"/>
          <w:sz w:val="24"/>
          <w:szCs w:val="24"/>
        </w:rPr>
        <w:t>,</w:t>
      </w:r>
      <w:r w:rsidRPr="00474D79">
        <w:rPr>
          <w:rFonts w:ascii="Garamond" w:hAnsi="Garamond"/>
          <w:sz w:val="24"/>
          <w:szCs w:val="24"/>
        </w:rPr>
        <w:t xml:space="preserve"> </w:t>
      </w:r>
    </w:p>
    <w:p w14:paraId="124A1228" w14:textId="792E5D09"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 xml:space="preserve">ii. hartimin/përcaktimin dhe efektivitetin e kontrolleve kyçe, dhe </w:t>
      </w:r>
    </w:p>
    <w:p w14:paraId="3EA74CDE" w14:textId="54BDA091"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iii. tolerancën ndaj rrezikut operacional;</w:t>
      </w:r>
    </w:p>
    <w:p w14:paraId="333CAD4D" w14:textId="01772B73"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b) sigurimin dhe dokumentimin e zbatimit të drejtë nga linja e parë e kontrollit të përgjegjësive, mekanizmave dhe sistemeve të raportimit të administrimit të rrezikut operacional; </w:t>
      </w:r>
    </w:p>
    <w:p w14:paraId="39D135D8" w14:textId="1D781D03"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c) zhvillimin dhe mirëmbajtjen e politikave, standardeve, metodologjive dhe udhëzimeve për administrimin dhe matjen e rrezikut operacional;</w:t>
      </w:r>
    </w:p>
    <w:p w14:paraId="2A0B7543" w14:textId="56E48B04"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d) rishikimin dhe kontributin në monitorimin</w:t>
      </w:r>
      <w:r w:rsidR="005A76A1">
        <w:rPr>
          <w:rFonts w:ascii="Garamond" w:hAnsi="Garamond"/>
          <w:sz w:val="24"/>
          <w:szCs w:val="24"/>
        </w:rPr>
        <w:t>,</w:t>
      </w:r>
      <w:r w:rsidRPr="00474D79">
        <w:rPr>
          <w:rFonts w:ascii="Garamond" w:hAnsi="Garamond"/>
          <w:sz w:val="24"/>
          <w:szCs w:val="24"/>
        </w:rPr>
        <w:t xml:space="preserve"> dhe raportimin e profilit të rrezikut operacional; </w:t>
      </w:r>
    </w:p>
    <w:p w14:paraId="149E645C" w14:textId="1C8DD556"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e) hartimin dhe zhvillimin e trajnimeve të punonjësve për çështje të rrezikut operacional</w:t>
      </w:r>
      <w:r w:rsidR="00BC499F">
        <w:rPr>
          <w:rFonts w:ascii="Garamond" w:hAnsi="Garamond"/>
          <w:sz w:val="24"/>
          <w:szCs w:val="24"/>
        </w:rPr>
        <w:t>,</w:t>
      </w:r>
      <w:r w:rsidRPr="00474D79">
        <w:rPr>
          <w:rFonts w:ascii="Garamond" w:hAnsi="Garamond"/>
          <w:sz w:val="24"/>
          <w:szCs w:val="24"/>
        </w:rPr>
        <w:t xml:space="preserve"> si dhe nxitjen e ndërgjegjësimit ndaj rreziqeve/promovimin e kulturës së rreziqeve. </w:t>
      </w:r>
    </w:p>
    <w:p w14:paraId="1B7CC8CF" w14:textId="4DFD1FA7"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9. Për qëllime të administrimit të rrezikut operacional, në linjën e tretë të mbrojtjes përfshihet njësia e kontrollit të brendshëm. Kjo linjë siguron këshillin drejtues për përshtatshmërinë e sistemit të administrimit të rrezikut operacional, duke rishikuar në mënyrë të pavarur dhe duke i raportuar këshillit drejtues mbi bazën e një periodiciteti të caktuar të mbështetur mbi një qasje të bazuar në rrezik. Punonjësit e njësisë së kontrollit të brendshëm nuk duhet të përfshihen në zhvillimin, zbatimin dhe funksionimin e proceseve të administrimit të rrezikut operacional nga dy linjat e tjera të mbrojtjes.</w:t>
      </w:r>
    </w:p>
    <w:p w14:paraId="1D306732" w14:textId="7777777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Kjo strukturë vlerëson në mënyrë të pavarur efektivitetin e proceseve të krijuara në linjën e parë dhe të dytë të kontrollit, si dhe siguron mbarëvajtjen e këtyre proceseve.</w:t>
      </w:r>
    </w:p>
    <w:p w14:paraId="64F3B344" w14:textId="52E5ADDB"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10. Për qëllime të pikës 9 të këtij neni, përgjegjësitë e linjës së tretë të mbrojtjes përfshijnë:</w:t>
      </w:r>
    </w:p>
    <w:p w14:paraId="74312A31" w14:textId="7DA1748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a) rishikimin e hartimit dhe zbatimit të sistemit të administrimit të rrezikut operacional, si dhe proceset shoqëruese të drejtimit/qeverisjes nga linja e parë dhe e dytë e mbrojtjes (përfshirë edhe pavarësinë e linjës së dytë të mbrojtjes);</w:t>
      </w:r>
    </w:p>
    <w:p w14:paraId="1D2C889F" w14:textId="4739052E"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b) rishikimin e proceseve të vlerësimit për </w:t>
      </w:r>
      <w:r w:rsidR="002F4A24">
        <w:rPr>
          <w:rFonts w:ascii="Garamond" w:hAnsi="Garamond"/>
          <w:sz w:val="24"/>
          <w:szCs w:val="24"/>
        </w:rPr>
        <w:t xml:space="preserve">t’u </w:t>
      </w:r>
      <w:r w:rsidRPr="00474D79">
        <w:rPr>
          <w:rFonts w:ascii="Garamond" w:hAnsi="Garamond"/>
          <w:sz w:val="24"/>
          <w:szCs w:val="24"/>
        </w:rPr>
        <w:t>siguruar që ato janë të pavarura dhe të zbatuara në përputhje me kuadrin rregullativ të subjektit;</w:t>
      </w:r>
    </w:p>
    <w:p w14:paraId="5082081D" w14:textId="0A1DE22B"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c) sigurimin që modelet/mekanizmat e matjeve të përdorura nga subjekti janë mjaftueshëm të fortë/të qëndrueshëm, për të siguruar integritet të lartë për të dhënat hyrëse, supozimet, proceset dhe metodologjitë e përdorura, si dhe për të rezultuar në vlerësime të rrezikut operacional, të cilat pasqyrojnë në mënyrë të besueshme profilin e rrezikut operacional të subjektit;</w:t>
      </w:r>
    </w:p>
    <w:p w14:paraId="277E1DE6" w14:textId="66A5A155"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d) sigurimin që drejtuesit e njësive të biznesit përgjigjen në mënyrë të shpejtë, të saktë dhe adekuate për çështjet e ngritura, si dhe raportimin rregullisht në këshillin drejtues ose në komitetet në varësi të tij, mbi çështjet e rrezikut operacional të mbetura pezull ose të zgjidhura;</w:t>
      </w:r>
    </w:p>
    <w:p w14:paraId="2C4DC078" w14:textId="402A19CC"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e) vlerësimin në tërësi të mjaftueshmërisë dhe përshtatshmërisë së sistemit të administrimit të rrezikut operacional dhe proceseve shoqëruese të qeverisjes/drejtimit të subjektit. Përtej kontrollit të përputhshmërisë me politikat dhe procedurat në fuqi, linja e tretë e kontrollit vlerëson në mënyrë të pavarur nëse sistemi i administrimit të rrezikut operacional plotëson nevojat dhe objektivat e subjektit, si dhe nëse është në përputhje me dispozitat ligjore dhe statutore, marrëveshjet kontraktore, rregullat e brendshëm të subjektit dhe kodin e etikës. </w:t>
      </w:r>
    </w:p>
    <w:p w14:paraId="3DDD931C"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382DD204" w14:textId="77777777" w:rsidR="009E3387" w:rsidRDefault="009E3387" w:rsidP="00D20524">
      <w:pPr>
        <w:spacing w:after="0" w:line="240" w:lineRule="auto"/>
        <w:ind w:firstLine="284"/>
        <w:jc w:val="center"/>
        <w:rPr>
          <w:rFonts w:ascii="Garamond" w:hAnsi="Garamond"/>
          <w:bCs/>
          <w:sz w:val="24"/>
          <w:szCs w:val="24"/>
        </w:rPr>
      </w:pPr>
    </w:p>
    <w:p w14:paraId="0DA325D1" w14:textId="77777777" w:rsidR="009E3387" w:rsidRDefault="009E3387" w:rsidP="00D20524">
      <w:pPr>
        <w:spacing w:after="0" w:line="240" w:lineRule="auto"/>
        <w:ind w:firstLine="284"/>
        <w:jc w:val="center"/>
        <w:rPr>
          <w:rFonts w:ascii="Garamond" w:hAnsi="Garamond"/>
          <w:bCs/>
          <w:sz w:val="24"/>
          <w:szCs w:val="24"/>
        </w:rPr>
      </w:pPr>
    </w:p>
    <w:p w14:paraId="44F66274" w14:textId="77777777" w:rsidR="009E3387" w:rsidRDefault="009E3387" w:rsidP="00D20524">
      <w:pPr>
        <w:spacing w:after="0" w:line="240" w:lineRule="auto"/>
        <w:ind w:firstLine="284"/>
        <w:jc w:val="center"/>
        <w:rPr>
          <w:rFonts w:ascii="Garamond" w:hAnsi="Garamond"/>
          <w:bCs/>
          <w:sz w:val="24"/>
          <w:szCs w:val="24"/>
        </w:rPr>
      </w:pPr>
    </w:p>
    <w:p w14:paraId="78617901" w14:textId="46EE7474"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lastRenderedPageBreak/>
        <w:t>Neni 10</w:t>
      </w:r>
    </w:p>
    <w:p w14:paraId="4E6C016A"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Politika për administrimin e rrezikut operacional</w:t>
      </w:r>
    </w:p>
    <w:p w14:paraId="207F28A2" w14:textId="77777777" w:rsidR="00D20524" w:rsidRPr="00474D79" w:rsidRDefault="00D20524" w:rsidP="00D20524">
      <w:pPr>
        <w:spacing w:after="0" w:line="240" w:lineRule="auto"/>
        <w:ind w:firstLine="284"/>
        <w:jc w:val="center"/>
        <w:rPr>
          <w:rFonts w:ascii="Garamond" w:hAnsi="Garamond"/>
          <w:b/>
          <w:bCs/>
          <w:sz w:val="24"/>
          <w:szCs w:val="24"/>
        </w:rPr>
      </w:pPr>
    </w:p>
    <w:p w14:paraId="4946A29F" w14:textId="09EE29D9"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1. Subjekti harton një politikë për administrimin e rrezikut operacional, e cila komunikohet në mënyrë efektive në tërë subjektin dhe në veçanti te strukturat e linjës së parë dhe të dytë të kontrollit të përfshira në administrimin e rrezikut operacional. </w:t>
      </w:r>
    </w:p>
    <w:p w14:paraId="35D98A73" w14:textId="67CE74BB"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2. Politika për administrimin e rrezikut operacional rishikohet në baza të rregullta, të paktën një herë në vit dhe miratohet nga këshilli drejtues.</w:t>
      </w:r>
    </w:p>
    <w:p w14:paraId="75A12BB3" w14:textId="075860E0"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3. Politika për administrimin e rrezikut operacional përfshin të paktën elementet e mëposhtme:</w:t>
      </w:r>
    </w:p>
    <w:p w14:paraId="43166EA2" w14:textId="7C7A0F50"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a) qëllimin e politikës për administrimin e rrezikut operacional;</w:t>
      </w:r>
    </w:p>
    <w:p w14:paraId="4E9F1963" w14:textId="30E7065E"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b) kuadrin ligjor dhe rregullativ për rrezikun operacional dhe përputhshmërinë me këtë kuadër; </w:t>
      </w:r>
    </w:p>
    <w:p w14:paraId="489DD151" w14:textId="083E1505"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c) përkufizimin e termave të përdorur</w:t>
      </w:r>
      <w:r w:rsidR="00BC499F">
        <w:rPr>
          <w:rFonts w:ascii="Garamond" w:hAnsi="Garamond"/>
          <w:sz w:val="24"/>
          <w:szCs w:val="24"/>
        </w:rPr>
        <w:t>a</w:t>
      </w:r>
      <w:r w:rsidRPr="00474D79">
        <w:rPr>
          <w:rFonts w:ascii="Garamond" w:hAnsi="Garamond"/>
          <w:sz w:val="24"/>
          <w:szCs w:val="24"/>
        </w:rPr>
        <w:t xml:space="preserve"> nga subjekti në politikën për administrimin e rrezikut operacional;</w:t>
      </w:r>
    </w:p>
    <w:p w14:paraId="6973EEE8" w14:textId="5138BBF0"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d) objektivat në lidhje me identifikimin, vlerësimin, kontrollin dhe zbutjen e rrezikut operacional të subjektit; </w:t>
      </w:r>
    </w:p>
    <w:p w14:paraId="1FA13C5C" w14:textId="66329F9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e) element</w:t>
      </w:r>
      <w:r w:rsidR="00BC499F">
        <w:rPr>
          <w:rFonts w:ascii="Garamond" w:hAnsi="Garamond"/>
          <w:sz w:val="24"/>
          <w:szCs w:val="24"/>
        </w:rPr>
        <w:t>e</w:t>
      </w:r>
      <w:r w:rsidRPr="00474D79">
        <w:rPr>
          <w:rFonts w:ascii="Garamond" w:hAnsi="Garamond"/>
          <w:sz w:val="24"/>
          <w:szCs w:val="24"/>
        </w:rPr>
        <w:t>t e sistemit të administrimit të rrezikut operacional që përfshijnë:</w:t>
      </w:r>
    </w:p>
    <w:p w14:paraId="0795557D" w14:textId="62B7B7CA"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i. qeverisjen,</w:t>
      </w:r>
    </w:p>
    <w:p w14:paraId="06FD5B81" w14:textId="1248199E"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ii. kulturën e rrezikut dhe ndërgjegjësimin,</w:t>
      </w:r>
    </w:p>
    <w:p w14:paraId="40AC1517" w14:textId="1AA19972"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iii. raportimin/mbledhjen e ngjarjeve të rrezikut operacional,</w:t>
      </w:r>
    </w:p>
    <w:p w14:paraId="24B1FA29" w14:textId="3F8F399A"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iv. hartëzimin dhe vetëvlerësimin e rreziqeve dhe kontrolleve në fuqi,</w:t>
      </w:r>
    </w:p>
    <w:p w14:paraId="5AD6B276" w14:textId="788A03B4"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v. analizën e skenarëve,</w:t>
      </w:r>
    </w:p>
    <w:p w14:paraId="79894237" w14:textId="2E465C8D"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vi. treguesit e paralajmërimit të hershëm,</w:t>
      </w:r>
    </w:p>
    <w:p w14:paraId="21BE20A8" w14:textId="6C01CBEC"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vii. matjen dhe modelimin,</w:t>
      </w:r>
    </w:p>
    <w:p w14:paraId="15F79D6F" w14:textId="3DDDE01C"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viii. raportimin,</w:t>
      </w:r>
    </w:p>
    <w:p w14:paraId="575F5AFA" w14:textId="7B870AA5"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ix. oreksin dhe tolerancën ndaj rrezikut;</w:t>
      </w:r>
    </w:p>
    <w:p w14:paraId="003216BF" w14:textId="349B4255"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f) kuadrin rregullativ mbështetës në zbatimin e politikës, të përbërë nga procedura, udhëzime dhe manuale të subjektit.</w:t>
      </w:r>
    </w:p>
    <w:p w14:paraId="1C9F3C69"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23DD4344"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11</w:t>
      </w:r>
    </w:p>
    <w:p w14:paraId="7A6A55A0"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Identifikimi dhe vlerësimi i rrezikut operacional</w:t>
      </w:r>
    </w:p>
    <w:p w14:paraId="5C63D7BB" w14:textId="77777777" w:rsidR="00D20524" w:rsidRPr="00474D79" w:rsidRDefault="00D20524" w:rsidP="00D20524">
      <w:pPr>
        <w:spacing w:after="0" w:line="240" w:lineRule="auto"/>
        <w:ind w:firstLine="284"/>
        <w:jc w:val="center"/>
        <w:rPr>
          <w:rFonts w:ascii="Garamond" w:hAnsi="Garamond"/>
          <w:b/>
          <w:bCs/>
          <w:sz w:val="24"/>
          <w:szCs w:val="24"/>
        </w:rPr>
      </w:pPr>
    </w:p>
    <w:p w14:paraId="7D57FD77" w14:textId="6AF9D8C8"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1. Subjekti identifikon dhe vlerëson rrezikun operacional në të gjitha shërbimet/produktet, veprimtaritë, proceset dhe sistemet me rëndësi.</w:t>
      </w:r>
    </w:p>
    <w:p w14:paraId="33A3CAF2" w14:textId="728D7880"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2. Subjekti, përpara hedhjes në treg të shërbimeve/produkteve të reja, kryerjes së veprimtarive apo proceseve të ndryshme, dhe/ose krijimit të sistemeve të reja, përpara dhe gjatë marrjes së shërbimeve/funksioneve nga palë të treta, të cilat mbartin potencialisht rrezik për subjektin, siguron zbatimin e procedurave të mjaftueshme dhe të përshtatshme për vlerësimin paraprak të rrezikut operacional që mund të lidhet me to.</w:t>
      </w:r>
    </w:p>
    <w:p w14:paraId="2DAD848D" w14:textId="1E6D9609"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3. Subjekti identifikon dhe vlerëson në mënyrë efektive rrezikun operacional, duke konsideruar mjediset e biznesit dhe kontrollet në fuqi.</w:t>
      </w:r>
    </w:p>
    <w:p w14:paraId="74C2D881" w14:textId="03685DD3"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 xml:space="preserve">4. Subjekti vlerëson impaktin e ngjarjeve të rrezikut operacional, duke iu referuar deklaratës së oreksit/tolerancës ndaj rrezikut operacional, e cila miratohet dhe rishikohet çdo vit nga këshilli drejtues. </w:t>
      </w:r>
    </w:p>
    <w:p w14:paraId="71F8D169"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71868F6B"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12</w:t>
      </w:r>
    </w:p>
    <w:p w14:paraId="5238F9D3"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Matja e rrezikut operacional</w:t>
      </w:r>
    </w:p>
    <w:p w14:paraId="6ED4FA87" w14:textId="77777777" w:rsidR="00D20524" w:rsidRPr="00474D79" w:rsidRDefault="00D20524" w:rsidP="00D20524">
      <w:pPr>
        <w:spacing w:after="0" w:line="240" w:lineRule="auto"/>
        <w:ind w:firstLine="284"/>
        <w:jc w:val="center"/>
        <w:rPr>
          <w:rFonts w:ascii="Garamond" w:hAnsi="Garamond"/>
          <w:b/>
          <w:bCs/>
          <w:sz w:val="24"/>
          <w:szCs w:val="24"/>
        </w:rPr>
      </w:pPr>
    </w:p>
    <w:p w14:paraId="7B9BF5F0" w14:textId="28429192"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1. Subjekti mat ekspozimin ndaj rrezikut operacional, nëpërmjet informacionit të mbledhur dhe të dhënave që burojnë nga zbatimi i mekanizmave të administrimit të rrezikut operacional, të tilla si:</w:t>
      </w:r>
    </w:p>
    <w:p w14:paraId="293703C8" w14:textId="0CC7AAC9"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a) të dhëna historike të bazës së të dhënave të ngjarjeve të rrezikut operacional të subjektit;</w:t>
      </w:r>
    </w:p>
    <w:p w14:paraId="3E98D26B" w14:textId="1F6AD7EB"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b) të dhëna të jashtme të marra nga burime të hapura apo nga baza të dhënash të industrisë;</w:t>
      </w:r>
    </w:p>
    <w:p w14:paraId="07CD26A5" w14:textId="0FE3257F"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c) rezultatet e vetëvlerësimit të rreziqeve të subjektit;</w:t>
      </w:r>
    </w:p>
    <w:p w14:paraId="64503E43" w14:textId="7092462A"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d) rezultatet e analizës së skenarëve;</w:t>
      </w:r>
    </w:p>
    <w:p w14:paraId="757184A0" w14:textId="65DB7771"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e) treguesit e paralajmërimit të hershëm.</w:t>
      </w:r>
    </w:p>
    <w:p w14:paraId="1EF9EABC" w14:textId="2C1819C4"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2. Për sa parashikohet në pikën 1 të këtij neni, subjekti duhet të sigurohet për plotësinë dhe saktësinë e të dhënave hyrëse, kushtet e përpunimit të informacionit, si dhe vlerësimin periodik të rezultateve.</w:t>
      </w:r>
    </w:p>
    <w:p w14:paraId="74AEE478" w14:textId="102DCD24"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3. Me matjen e rrezikut operacional, subjekti përcakton profilin e tij të rrezikut, me qëllim përdorimin efikas të burimeve njerëzore dhe teknike për administrimin e këtyre rreziqeve.</w:t>
      </w:r>
    </w:p>
    <w:p w14:paraId="747FB5F1" w14:textId="21EBE3E2"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4. Matja e rrezikut operacional në terma të kërkesave për kapital, trajtohet sipas përcaktimeve të rregulloreve respektive në fuqi të Bankës së Shqipërisë.</w:t>
      </w:r>
      <w:r w:rsidR="002F4A24">
        <w:rPr>
          <w:rFonts w:ascii="Garamond" w:hAnsi="Garamond"/>
          <w:sz w:val="24"/>
          <w:szCs w:val="24"/>
        </w:rPr>
        <w:t xml:space="preserve"> </w:t>
      </w:r>
    </w:p>
    <w:p w14:paraId="6273E38C"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12ED5B96"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13</w:t>
      </w:r>
    </w:p>
    <w:p w14:paraId="36DF4848"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Monitorimi i rrezikut operacional</w:t>
      </w:r>
    </w:p>
    <w:p w14:paraId="2EE4D43D" w14:textId="77777777" w:rsidR="00D20524" w:rsidRPr="00474D79" w:rsidRDefault="00D20524" w:rsidP="00D20524">
      <w:pPr>
        <w:spacing w:after="0" w:line="240" w:lineRule="auto"/>
        <w:ind w:firstLine="284"/>
        <w:jc w:val="center"/>
        <w:rPr>
          <w:rFonts w:ascii="Garamond" w:hAnsi="Garamond"/>
          <w:b/>
          <w:bCs/>
          <w:sz w:val="24"/>
          <w:szCs w:val="24"/>
        </w:rPr>
      </w:pPr>
    </w:p>
    <w:p w14:paraId="1BAEF916" w14:textId="48238AF6"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1. Subjekti zhvillon një proces monitorimi periodik të profilit të rrezikut operacional dhe ekspozimeve kryesore ndaj këtij rreziku.</w:t>
      </w:r>
    </w:p>
    <w:p w14:paraId="22967B10" w14:textId="1696D1A4"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2. Subjekti përfshin në procesin e monitorimit periodik, edhe shërbimet e ofruara nga palë të treta (</w:t>
      </w:r>
      <w:r w:rsidRPr="00474D79">
        <w:rPr>
          <w:rFonts w:ascii="Garamond" w:hAnsi="Garamond"/>
          <w:i/>
          <w:iCs/>
          <w:sz w:val="24"/>
          <w:szCs w:val="24"/>
        </w:rPr>
        <w:t>outsourcing</w:t>
      </w:r>
      <w:r w:rsidRPr="00474D79">
        <w:rPr>
          <w:rFonts w:ascii="Garamond" w:hAnsi="Garamond"/>
          <w:sz w:val="24"/>
          <w:szCs w:val="24"/>
        </w:rPr>
        <w:t>), të cilat mbartin rrezik për subjektin, duke monitoruar cilësinë e shërbimeve të ofruara prej tyre dhe përmbushjen e detyrimeve kontraktuale.</w:t>
      </w:r>
    </w:p>
    <w:p w14:paraId="01FBE5E4" w14:textId="20150571"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3. Subjekti, në realizimin e procesit të monitorimit efektiv dhe të vazhdueshëm të rrezikut operacional:</w:t>
      </w:r>
    </w:p>
    <w:p w14:paraId="37AEFD79" w14:textId="32F544FD"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a) përcakton tregues të përshtatshëm që sigurojnë paralajmërim të hershëm të rritjes së rrezikut operacional, i cili mund të sjellë humbje në të ardhmen;</w:t>
      </w:r>
    </w:p>
    <w:p w14:paraId="4F3ED3CA" w14:textId="26FF2D39"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b) vendos kufij për këta tregues, kur është e mundur, me qëllim krijimin e një procesi efektiv monitorimi, që mund të ndihmojë për të identifikuar rreziqet kryesore dhe me rëndësi për subjektin dhe për t’i mundësuar këtij të fundit monitorimin në kohë dhe parandalimin e materializimit të këtyre rreziqeve;</w:t>
      </w:r>
    </w:p>
    <w:p w14:paraId="384FCC24" w14:textId="06647189"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c) përcakton periodicitetin e procesit të monitorimit, duke marrë në konsideratë shkallën e rrezikut dhe natyrën e ndryshimeve në mjedisin në të cilin operon;</w:t>
      </w:r>
    </w:p>
    <w:p w14:paraId="68576029" w14:textId="56643D28"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d) siguron përfshirjen e rezultateve të monitorimit në raportet e rregullta për këshillin drejtues, drejtorinë</w:t>
      </w:r>
      <w:r w:rsidR="00FC66CD">
        <w:rPr>
          <w:rFonts w:ascii="Garamond" w:hAnsi="Garamond"/>
          <w:sz w:val="24"/>
          <w:szCs w:val="24"/>
        </w:rPr>
        <w:t>,</w:t>
      </w:r>
      <w:r w:rsidRPr="00474D79">
        <w:rPr>
          <w:rFonts w:ascii="Garamond" w:hAnsi="Garamond"/>
          <w:sz w:val="24"/>
          <w:szCs w:val="24"/>
        </w:rPr>
        <w:t xml:space="preserve"> si dhe përfaqësuesit e linjave të biznesit, të cilët ndikohen nga problematikat e ngritura në raport.</w:t>
      </w:r>
    </w:p>
    <w:p w14:paraId="7B10F1FD" w14:textId="77777777" w:rsidR="00D20524" w:rsidRPr="00474D79" w:rsidRDefault="00D20524" w:rsidP="00D20524">
      <w:pPr>
        <w:tabs>
          <w:tab w:val="left" w:pos="360"/>
        </w:tabs>
        <w:spacing w:after="0" w:line="240" w:lineRule="auto"/>
        <w:ind w:firstLine="284"/>
        <w:jc w:val="both"/>
        <w:rPr>
          <w:rFonts w:ascii="Garamond" w:hAnsi="Garamond"/>
          <w:sz w:val="24"/>
          <w:szCs w:val="24"/>
        </w:rPr>
      </w:pPr>
    </w:p>
    <w:p w14:paraId="542062BB"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14</w:t>
      </w:r>
    </w:p>
    <w:p w14:paraId="79788875" w14:textId="5E8AFDB2"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Kontrolli dhe zbutja e rrezikut operacional</w:t>
      </w:r>
    </w:p>
    <w:p w14:paraId="2017D942" w14:textId="77777777" w:rsidR="00D20524" w:rsidRPr="00474D79" w:rsidRDefault="00D20524" w:rsidP="00D20524">
      <w:pPr>
        <w:spacing w:after="0" w:line="240" w:lineRule="auto"/>
        <w:ind w:firstLine="284"/>
        <w:jc w:val="center"/>
        <w:rPr>
          <w:rFonts w:ascii="Garamond" w:hAnsi="Garamond"/>
          <w:b/>
          <w:bCs/>
          <w:sz w:val="24"/>
          <w:szCs w:val="24"/>
        </w:rPr>
      </w:pPr>
    </w:p>
    <w:p w14:paraId="4DF66A0E" w14:textId="15339186"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1. Subjekti duhet të ketë një mjedis të përshtatshëm kontrolli, të përbërë nga një kuadër i brendshëm rregullativ i plotë dhe i përshtatshëm, procese dhe sisteme të forta dhe gjithëpërfshirëse, kontrolle të brendshme të duhura, si dhe strategji për zbutjen dhe/ose transferimin e rrezikut.</w:t>
      </w:r>
    </w:p>
    <w:p w14:paraId="014F73F4" w14:textId="424A4B6A"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2. Subjekti në funksion të kontrollit dhe zbutjes së rrezikut operacional: </w:t>
      </w:r>
    </w:p>
    <w:p w14:paraId="60201B73" w14:textId="15AA3A0A"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lastRenderedPageBreak/>
        <w:t>a) harton sisteme procedurash dhe procesesh kontrolli, për të siguruar zbatimin e politikave të brendshme për administrimin e rrezikut operacional;</w:t>
      </w:r>
    </w:p>
    <w:p w14:paraId="4AC9F361" w14:textId="3BF46D40"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b) siguron, që praktikat/proceset e brendshme të jenë të përshtatshme për kontrollin e rrezikut operacional dhe të përfshijnë të paktën:</w:t>
      </w:r>
    </w:p>
    <w:p w14:paraId="408AA50F" w14:textId="55718D84"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i. përcaktimin e qartë të autoriteteve/proceseve për miratim dhe ndarjen e detyrave,</w:t>
      </w:r>
    </w:p>
    <w:p w14:paraId="21EAFB9B" w14:textId="2B100F69"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ii. monitorimin nga afër të respektimit të kufijve të caktuar ose kufijve të rrezikut,</w:t>
      </w:r>
    </w:p>
    <w:p w14:paraId="4EC323E7" w14:textId="222BFCD9"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iii. marrjen e masave mbrojtëse për përdorimin e të dhënave dhe të aktiveve të subjektit, përfshirë përdorimin e kontratave të sigurimit, duke e transferuar rrezikun jashtë subjektit,</w:t>
      </w:r>
    </w:p>
    <w:p w14:paraId="2F453068" w14:textId="5ABD8471"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iv. sigurimin se personeli është i kualifikuar dhe ka ekspertizën e duhur,</w:t>
      </w:r>
    </w:p>
    <w:p w14:paraId="0C5ED74F" w14:textId="098BFEFD"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v. identifikimin e linjave të biznesit ose të produkteve, ku fitimet duket të jenë jashtë pritshmërive të arsyeshme,</w:t>
      </w:r>
    </w:p>
    <w:p w14:paraId="2D7696CA" w14:textId="0C8FD22C"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vi. heqjen dorë nga linjat e biznesit, aktivitetet dhe produktet me potencial të lartë ekspozimi dhe humbjeje për shkak të rrezikut operacional, që shoqërohen me një probabilitet të lartë ndodhjeje;</w:t>
      </w:r>
    </w:p>
    <w:p w14:paraId="398399DA" w14:textId="7A6A290C"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c) përdor mjete ose programe për uljen e ekspozimit ndaj ngjarjeve me probabilitet të ulët, por që mund të shkaktojnë ndikim të madh në rezultatin financiar të tij;</w:t>
      </w:r>
    </w:p>
    <w:p w14:paraId="08B20B34" w14:textId="54F21CEE"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 xml:space="preserve">d) </w:t>
      </w:r>
      <w:r w:rsidR="00AF6DB1">
        <w:rPr>
          <w:rFonts w:ascii="Garamond" w:hAnsi="Garamond"/>
          <w:sz w:val="24"/>
          <w:szCs w:val="24"/>
        </w:rPr>
        <w:t>u</w:t>
      </w:r>
      <w:r w:rsidRPr="00474D79">
        <w:rPr>
          <w:rFonts w:ascii="Garamond" w:hAnsi="Garamond"/>
          <w:sz w:val="24"/>
          <w:szCs w:val="24"/>
        </w:rPr>
        <w:t xml:space="preserve"> kushton vëmendje të veçantë veprimtarive dhe/ose krijimit të produkteve të reja, sidomos kur këto të fundit nuk janë në përputhje me planin e biznesit të subjektit;</w:t>
      </w:r>
    </w:p>
    <w:p w14:paraId="3164768D" w14:textId="045F8A90"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 xml:space="preserve">e) </w:t>
      </w:r>
      <w:r w:rsidR="00AF6DB1">
        <w:rPr>
          <w:rFonts w:ascii="Garamond" w:hAnsi="Garamond"/>
          <w:sz w:val="24"/>
          <w:szCs w:val="24"/>
        </w:rPr>
        <w:t>i</w:t>
      </w:r>
      <w:r w:rsidRPr="00474D79">
        <w:rPr>
          <w:rFonts w:ascii="Garamond" w:hAnsi="Garamond"/>
          <w:sz w:val="24"/>
          <w:szCs w:val="24"/>
        </w:rPr>
        <w:t xml:space="preserve"> kushton vëmendje të veçantë hyrjes në tregje të panjohura dhe/ose ndërmarrjes së veprimtarive tregtare gjeografikisht larg zyrës qendrore të subjektit;</w:t>
      </w:r>
    </w:p>
    <w:p w14:paraId="7624BC96" w14:textId="4CEFB1E2"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f) tregon kujdesin e duhur në lidhje me rritjen e shkallës së automatizimit të shërbimeve, e cila duhet të bashkërendohet me forcimin e sigurisë në drejtim të informacionit dhe teknologjisë;</w:t>
      </w:r>
    </w:p>
    <w:p w14:paraId="7A63BDA0" w14:textId="1D4AFF76"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g) krijon politika dhe praktika për administrimin e rrezikut operacional që rrjedh nga transferimi i proceseve, shërbimeve ose funksioneve të subjektit te palë të treta nëpërmjet kontraktimit (</w:t>
      </w:r>
      <w:r w:rsidRPr="00474D79">
        <w:rPr>
          <w:rFonts w:ascii="Garamond" w:hAnsi="Garamond"/>
          <w:i/>
          <w:iCs/>
          <w:sz w:val="24"/>
          <w:szCs w:val="24"/>
        </w:rPr>
        <w:t>outsourcing</w:t>
      </w:r>
      <w:r w:rsidRPr="00474D79">
        <w:rPr>
          <w:rFonts w:ascii="Garamond" w:hAnsi="Garamond"/>
          <w:sz w:val="24"/>
          <w:szCs w:val="24"/>
        </w:rPr>
        <w:t>).</w:t>
      </w:r>
    </w:p>
    <w:p w14:paraId="5F6E9C22" w14:textId="3D8004E1"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3. Subjekti siguron reagim dhe administrim të përshtatshëm ndaj ngjarjeve të rrezikut operacional, duke u bazuar edhe në kuadrin e tolerancës ndaj rrezikut. Administrimi i ngjarjeve të rrezikut operacional duhet të bjerë në një nga kategoritë e mëposhtme:</w:t>
      </w:r>
    </w:p>
    <w:p w14:paraId="3168ABAE" w14:textId="2D2D4EE3"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a) pranimi i ndikimit të ngjarjes, për ngjarje me rrezik dhe ndikim të papërfillshëm, të materializuara në frekuencë të ulët dhe ndikim/humbje të vogël (humbje të pritshme);</w:t>
      </w:r>
    </w:p>
    <w:p w14:paraId="178EF832" w14:textId="0B8679AB"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b) zbutja e ndikimit të ngjarjes me sisteme kontrolli dhe parandaluese, për ngjarje me rrezik të pranueshëm, të materializuar në frekuencë të lartë dhe ndikim/humbje të vogël (humbje të pritshme);</w:t>
      </w:r>
    </w:p>
    <w:p w14:paraId="62D462AA" w14:textId="61370FD5"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c) zbutja e ndikimit të ngjarjes nëpërmjet transferimit/përdorimit të kontratave të sigurimit, për ngjarje me rrezik të lartë, të materializuar në frekuencë të ulët por ndikim/humbje të madhe;</w:t>
      </w:r>
    </w:p>
    <w:p w14:paraId="08D9FF0F" w14:textId="1C19EF70"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d) heqja dorë nga aktivitete të caktuara, të cilat gjenerojnë ngjarje me rrezik të lartë, të materializuara në frekuencë të lartë dhe ndikim/humbje të madhe.</w:t>
      </w:r>
    </w:p>
    <w:p w14:paraId="2E1A9A1F" w14:textId="77777777" w:rsidR="00D20524" w:rsidRPr="00474D79" w:rsidRDefault="00D20524" w:rsidP="00D20524">
      <w:pPr>
        <w:tabs>
          <w:tab w:val="left" w:pos="360"/>
        </w:tabs>
        <w:spacing w:after="0" w:line="240" w:lineRule="auto"/>
        <w:ind w:firstLine="284"/>
        <w:jc w:val="both"/>
        <w:rPr>
          <w:rFonts w:ascii="Garamond" w:hAnsi="Garamond"/>
          <w:sz w:val="24"/>
          <w:szCs w:val="24"/>
        </w:rPr>
      </w:pPr>
    </w:p>
    <w:p w14:paraId="4D976F87"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 xml:space="preserve">Neni 15 </w:t>
      </w:r>
    </w:p>
    <w:p w14:paraId="459E66D5"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Raportimi i rrezikut operacional</w:t>
      </w:r>
    </w:p>
    <w:p w14:paraId="68DBDC95" w14:textId="77777777" w:rsidR="00D20524" w:rsidRPr="00474D79" w:rsidRDefault="00D20524" w:rsidP="00D20524">
      <w:pPr>
        <w:spacing w:after="0" w:line="240" w:lineRule="auto"/>
        <w:ind w:firstLine="284"/>
        <w:jc w:val="center"/>
        <w:rPr>
          <w:rFonts w:ascii="Garamond" w:hAnsi="Garamond"/>
          <w:b/>
          <w:bCs/>
          <w:sz w:val="24"/>
          <w:szCs w:val="24"/>
        </w:rPr>
      </w:pPr>
    </w:p>
    <w:p w14:paraId="55AA2CD9" w14:textId="1867408A"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1. Funksioni i pavarur i administrimit të rrezikut operacional siguron raportime periodike dhe joperiodike (</w:t>
      </w:r>
      <w:r w:rsidRPr="00474D79">
        <w:rPr>
          <w:rFonts w:ascii="Garamond" w:hAnsi="Garamond"/>
          <w:i/>
          <w:iCs/>
          <w:sz w:val="24"/>
          <w:szCs w:val="24"/>
        </w:rPr>
        <w:t>ad-hoc</w:t>
      </w:r>
      <w:r w:rsidRPr="00474D79">
        <w:rPr>
          <w:rFonts w:ascii="Garamond" w:hAnsi="Garamond"/>
          <w:sz w:val="24"/>
          <w:szCs w:val="24"/>
        </w:rPr>
        <w:t>), sipas nevojave, për drejtorinë/komitetin e administrimit të rrezikut, këshillin drejtues</w:t>
      </w:r>
      <w:r w:rsidR="00FC66CD">
        <w:rPr>
          <w:rFonts w:ascii="Garamond" w:hAnsi="Garamond"/>
          <w:sz w:val="24"/>
          <w:szCs w:val="24"/>
        </w:rPr>
        <w:t>,</w:t>
      </w:r>
      <w:r w:rsidRPr="00474D79">
        <w:rPr>
          <w:rFonts w:ascii="Garamond" w:hAnsi="Garamond"/>
          <w:sz w:val="24"/>
          <w:szCs w:val="24"/>
        </w:rPr>
        <w:t xml:space="preserve"> si dhe përfaqësuesit e linjave të biznesit, të cilat ndikohen nga problematikat e ngritura në raport.</w:t>
      </w:r>
    </w:p>
    <w:p w14:paraId="7C87702C" w14:textId="7BF6C67F"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2. Raportet e rrezikut operacional zakonisht përmbajnë informacion mbi:</w:t>
      </w:r>
    </w:p>
    <w:p w14:paraId="72E74509" w14:textId="74E50479"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lastRenderedPageBreak/>
        <w:t>a) ngjarjet e rrezikut operacional të subjektit;</w:t>
      </w:r>
    </w:p>
    <w:p w14:paraId="2D50709E" w14:textId="68CB7BC0"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b) ngjarjet e jashtme/të tregut të rëndësishme;</w:t>
      </w:r>
    </w:p>
    <w:p w14:paraId="01FD2B1A" w14:textId="708544F6"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c) ndjekjen e vendimeve të marra;</w:t>
      </w:r>
    </w:p>
    <w:p w14:paraId="686B45C8" w14:textId="57B6E44F"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d) rezultatet e vetëvlerësimit të rreziqeve;</w:t>
      </w:r>
    </w:p>
    <w:p w14:paraId="7660F27B" w14:textId="20627A12"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e) rezultatet e treguesve të paralajmërimit të hershëm;</w:t>
      </w:r>
    </w:p>
    <w:p w14:paraId="00434DF3" w14:textId="63B0FAA5"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f) kapitalin për mbulimin e rrezikut operacional;</w:t>
      </w:r>
    </w:p>
    <w:p w14:paraId="31122118" w14:textId="0245E305"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g) çështje të cilat kërkojnë vendimmarrje ose përshkallëzim;</w:t>
      </w:r>
    </w:p>
    <w:p w14:paraId="1F8C69F1" w14:textId="2B525EA1"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h) profilin e rrezikut operacional të subjektit.</w:t>
      </w:r>
    </w:p>
    <w:p w14:paraId="68C90AB4" w14:textId="6990A9DE"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3. Subjekti, për qëllime të kësaj rregulloreje, përveç raportimeve të brendshme, raporton çdo tremujor në Bankën e Shqipërisë, të dhënat e treguesve të paralajmërimit të hershëm sipas aneksit nr. 1 dhe ngjarjet e rrezikut operacional sipas aneksit nr. 3 të kësaj rregulloreje, me informacionet e regjistruara gjatë periudhës raportuese.</w:t>
      </w:r>
    </w:p>
    <w:p w14:paraId="03AC9886" w14:textId="0DB0F2B6"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4. Gjithashtu, subjekti raporton në Bankën e Shqipërisë, në mënyrë joperiodike dhe jashtë raportimeve normale (</w:t>
      </w:r>
      <w:r w:rsidRPr="00474D79">
        <w:rPr>
          <w:rFonts w:ascii="Garamond" w:hAnsi="Garamond"/>
          <w:i/>
          <w:iCs/>
          <w:sz w:val="24"/>
          <w:szCs w:val="24"/>
        </w:rPr>
        <w:t>ad hoc</w:t>
      </w:r>
      <w:r w:rsidRPr="00474D79">
        <w:rPr>
          <w:rFonts w:ascii="Garamond" w:hAnsi="Garamond"/>
          <w:sz w:val="24"/>
          <w:szCs w:val="24"/>
        </w:rPr>
        <w:t>), ngjarjet e rrezikut operacional të vlerësuara nga vetë subjekti si kritike</w:t>
      </w:r>
      <w:r w:rsidR="00F1634C">
        <w:rPr>
          <w:rStyle w:val="FootnoteReference"/>
          <w:rFonts w:ascii="Garamond" w:hAnsi="Garamond"/>
          <w:sz w:val="24"/>
          <w:szCs w:val="24"/>
        </w:rPr>
        <w:footnoteReference w:id="2"/>
      </w:r>
      <w:r w:rsidRPr="00474D79">
        <w:rPr>
          <w:rFonts w:ascii="Garamond" w:hAnsi="Garamond"/>
          <w:sz w:val="24"/>
          <w:szCs w:val="24"/>
        </w:rPr>
        <w:t>, sipas matricës së brendshme të tolerancës ndaj rreziqeve, pavarësisht materializimit të efektit financiar, dhe në çdo rast ato ngjarje të rrezikut operacional, humbja bruto e të cilave tejkalon vlerën prej 2% të kapitalit rregullator të subjektit, përfshirë shkakun e humbjes dhe masat korrigjuese për mospërsëritjen e tyre.</w:t>
      </w:r>
    </w:p>
    <w:p w14:paraId="0F640D32" w14:textId="585BDB33" w:rsidR="00D20524" w:rsidRPr="00474D79" w:rsidRDefault="00D20524" w:rsidP="00FC66CD">
      <w:pPr>
        <w:spacing w:after="0" w:line="240" w:lineRule="auto"/>
        <w:ind w:firstLine="284"/>
        <w:jc w:val="both"/>
        <w:rPr>
          <w:rFonts w:ascii="Garamond" w:hAnsi="Garamond"/>
          <w:sz w:val="24"/>
          <w:szCs w:val="24"/>
        </w:rPr>
      </w:pPr>
      <w:r w:rsidRPr="00474D79">
        <w:rPr>
          <w:rFonts w:ascii="Garamond" w:hAnsi="Garamond"/>
          <w:sz w:val="24"/>
          <w:szCs w:val="24"/>
        </w:rPr>
        <w:t>5. Klasifikimi i ngjarjes si ngjarje kritike kryhet brenda një kohe të arsyeshme, pasi është zbuluar, por jo më vonë se 24 orë. Nëse nevojitet një kohë më e gjatë për të klasifikuar ngjarjen, subjekti shpjegon arsyet në raportimin fillestar në Bankën e Shqipërisë. Raportimi i ngjarjes kritike në Bankën e Shqipërisë realizohet në tre faza, si më poshtë:</w:t>
      </w:r>
    </w:p>
    <w:p w14:paraId="0C5AF9B4" w14:textId="56F51E60" w:rsidR="00D20524" w:rsidRPr="00474D79" w:rsidRDefault="00D20524" w:rsidP="00FC66CD">
      <w:pPr>
        <w:spacing w:after="0" w:line="240" w:lineRule="auto"/>
        <w:ind w:firstLine="284"/>
        <w:jc w:val="both"/>
        <w:rPr>
          <w:rFonts w:ascii="Garamond" w:hAnsi="Garamond"/>
          <w:sz w:val="24"/>
          <w:szCs w:val="24"/>
        </w:rPr>
      </w:pPr>
      <w:r w:rsidRPr="00474D79">
        <w:rPr>
          <w:rFonts w:ascii="Garamond" w:hAnsi="Garamond"/>
          <w:b/>
          <w:bCs/>
          <w:sz w:val="24"/>
          <w:szCs w:val="24"/>
        </w:rPr>
        <w:t>a) raportimi fillestar</w:t>
      </w:r>
      <w:r w:rsidRPr="00474D79">
        <w:rPr>
          <w:rFonts w:ascii="Garamond" w:hAnsi="Garamond"/>
          <w:sz w:val="24"/>
          <w:szCs w:val="24"/>
        </w:rPr>
        <w:t>, realizohet brenda një afati prej 4 orësh nga momenti i klasifikimit të ngjarjes si kritike. Në këtë raportim subjekti përfshin një informacion të përgjithshëm dhe paraqet karakteristikat kryesore të ngjarjes dhe pasojave të pritshme të saj, bazuar në informacionin e disponueshëm;</w:t>
      </w:r>
    </w:p>
    <w:p w14:paraId="192A2D42" w14:textId="149B237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b/>
          <w:bCs/>
          <w:sz w:val="24"/>
          <w:szCs w:val="24"/>
        </w:rPr>
        <w:t>b) raportimi i ndërmjetëm</w:t>
      </w:r>
      <w:r w:rsidRPr="00474D79">
        <w:rPr>
          <w:rFonts w:ascii="Garamond" w:hAnsi="Garamond"/>
          <w:sz w:val="24"/>
          <w:szCs w:val="24"/>
        </w:rPr>
        <w:t>, realizohet në çdo rast brenda 3 ditë pune nga data e paraqitjes së raportit fillestar dhe përmban një përshkrim më të detajuar të ngjarjes dhe pasojave të saj. Subjekti paraqet pranë Bankës së Shqipërisë, raportin e ndërmjetëm kur veprimtaria e tij e rregullt (e zakonshme) është rikuperuar dhe biznesi është kthyer në normalitet, duke njoftuar Bankën e Shqipërisë për këtë rrethanë, gjithashtu</w:t>
      </w:r>
      <w:r w:rsidR="00FC66CD">
        <w:rPr>
          <w:rFonts w:ascii="Garamond" w:hAnsi="Garamond"/>
          <w:sz w:val="24"/>
          <w:szCs w:val="24"/>
        </w:rPr>
        <w:t>,</w:t>
      </w:r>
      <w:r w:rsidRPr="00474D79">
        <w:rPr>
          <w:rFonts w:ascii="Garamond" w:hAnsi="Garamond"/>
          <w:sz w:val="24"/>
          <w:szCs w:val="24"/>
        </w:rPr>
        <w:t xml:space="preserve"> edhe në rastin kur veprimtaria e rregullt (e zakonshme) nuk është rikuperuar; </w:t>
      </w:r>
    </w:p>
    <w:p w14:paraId="0216FFAB" w14:textId="74E29B1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b/>
          <w:bCs/>
          <w:sz w:val="24"/>
          <w:szCs w:val="24"/>
        </w:rPr>
        <w:t>c) raportimi përfundimtar</w:t>
      </w:r>
      <w:r w:rsidRPr="00474D79">
        <w:rPr>
          <w:rFonts w:ascii="Garamond" w:hAnsi="Garamond"/>
          <w:sz w:val="24"/>
          <w:szCs w:val="24"/>
        </w:rPr>
        <w:t>, realizohet brenda një afati prej 20 ditësh pune, pasi biznesi të konsiderohet si i rikthyer në normalitet. Subjekti përfshin në raportin përfundimtar informacion të plotë mbi të dhënat/shifrat reale mbi ndikimin e ngjarjes, në vend të vlerësimeve të tij, si dhe informacion mbi shkakun bazë, nëse dihet, dhe një përmbledhje të masave të zbatuara ose të planifikuara të zbatohen, për të mënjanuar problemin dhe për të parandaluar ndodhjen (përsëritjen) e tij në të ardhmen.</w:t>
      </w:r>
    </w:p>
    <w:p w14:paraId="475AE98F" w14:textId="168AF1E9"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6. Në rastin kur veprimtaria e rregullt e subjektit është rikuperuar përpara se të kenë kaluar 4 orë nga klasifikimi i ngjarjes si kritike dhe subjekti është në gjendje të sigurojë të gjithë informacionin e kërkuar në raportin përfundimtar brenda këtij intervali kohor, subjekti mund të realizojë një raportim të vetëm në Bankën e Shqipërisë, i cili përmban njëkohësisht informacionin lidhur me raportimin fillestar, të ndërmjetëm dhe përfundimtar.</w:t>
      </w:r>
    </w:p>
    <w:p w14:paraId="05BEF3C3" w14:textId="219CC408"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lastRenderedPageBreak/>
        <w:t>7. Pa rënë ndesh me kërkesat e kësaj rregulloreje, për ngjarjet (incidentet) e vlerësuara si kritike (madhore), që lidhen me shërbimet e pagesave, subjekti zbaton kërkesat e kuadrit rregullativ në fuqi për raportimin e incidenteve madhore.</w:t>
      </w:r>
    </w:p>
    <w:p w14:paraId="099A3E09" w14:textId="77777777" w:rsidR="00D20524" w:rsidRPr="00474D79" w:rsidRDefault="00D20524" w:rsidP="00D20524">
      <w:pPr>
        <w:tabs>
          <w:tab w:val="left" w:pos="360"/>
        </w:tabs>
        <w:spacing w:after="0" w:line="240" w:lineRule="auto"/>
        <w:ind w:firstLine="284"/>
        <w:jc w:val="both"/>
        <w:rPr>
          <w:rFonts w:ascii="Garamond" w:hAnsi="Garamond"/>
          <w:sz w:val="24"/>
          <w:szCs w:val="24"/>
        </w:rPr>
      </w:pPr>
    </w:p>
    <w:p w14:paraId="7D4A899A"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16</w:t>
      </w:r>
    </w:p>
    <w:p w14:paraId="2F8DCAD6"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Plani i vazhdimësisë së veprimtarisë</w:t>
      </w:r>
    </w:p>
    <w:p w14:paraId="6DAB512D" w14:textId="77777777" w:rsidR="00D20524" w:rsidRPr="00474D79" w:rsidRDefault="00D20524" w:rsidP="00D20524">
      <w:pPr>
        <w:spacing w:after="0" w:line="240" w:lineRule="auto"/>
        <w:ind w:firstLine="284"/>
        <w:jc w:val="center"/>
        <w:rPr>
          <w:rFonts w:ascii="Garamond" w:hAnsi="Garamond"/>
          <w:b/>
          <w:bCs/>
          <w:sz w:val="24"/>
          <w:szCs w:val="24"/>
        </w:rPr>
      </w:pPr>
    </w:p>
    <w:p w14:paraId="60561897" w14:textId="601B04F9"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1. Subjekti harton plane të vazhdimësisë së veprimtarisë, të cilat kanë për qëllim të sigurojnë ushtrimin në mënyrë të pandërprerë të veprimtarisë dhe kufizimin e humbjeve të lidhura me rrezikun operacional.</w:t>
      </w:r>
    </w:p>
    <w:p w14:paraId="61FA52C3" w14:textId="54C5781B"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2. Subjekti siguron që planet për vazhdimësinë e veprimtarisë të jenë pjesë përbërëse e sistemit të administrimit të rrezikut operacional dhe/ose të rreziqeve të tjera.</w:t>
      </w:r>
    </w:p>
    <w:p w14:paraId="5B45F0FC" w14:textId="5196EA3C"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3. Subjekti, për hartimin dhe miratimin e këtyre planeve, përcakton:</w:t>
      </w:r>
    </w:p>
    <w:p w14:paraId="253ACDD6" w14:textId="440F67EA"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a) veprimtaritë kryesore;</w:t>
      </w:r>
    </w:p>
    <w:p w14:paraId="5BF75FDC" w14:textId="432058B9"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b) skenarë/ngjarje, të cilat mund të shkaktojnë ndërprerjen e proceseve dhe/ose veprimtarive kryesore;</w:t>
      </w:r>
    </w:p>
    <w:p w14:paraId="3C2561F3" w14:textId="7A9BB0C9"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c) zgjidhje alternative për të ruajtur vazhdimësinë e ushtrimit të veprimtarive kryesore;</w:t>
      </w:r>
    </w:p>
    <w:p w14:paraId="012B77C1" w14:textId="6CF0FEA1"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d) veprimet dhe radhën e tyre për të rivendosur funksionimin e rregullt të veprimtarive, veçanërisht për të siguruar informacionin e sistemeve elektronike dhe kthimin e këtyre sistemeve në gjendje funksionale;</w:t>
      </w:r>
    </w:p>
    <w:p w14:paraId="7B9DDDBC" w14:textId="7001F2FA"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e) strategjitë e komunikimit në rastet e problemeve serioze dhe/ose ndërprerjeve të veprimtarisë.</w:t>
      </w:r>
    </w:p>
    <w:p w14:paraId="72505F18" w14:textId="41DA197D"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4. Subjekti shqyrton dhe rishikon periodikisht planet për sigurimin e vazhdimësisë së veprimtarisë, në mënyrë që ato të jenë në përputhje me veprimtarinë aktuale, rreziqet dhe strategjinë e tij të biznesit.</w:t>
      </w:r>
    </w:p>
    <w:p w14:paraId="105D1362" w14:textId="037D40A7"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5. Subjekti, për kërkesa të detajuara të planit të vazhdimësisë së veprimtarisë i referohet rregulloreve përkatëse në fuqi të Bankës së Shqipërisë.</w:t>
      </w:r>
    </w:p>
    <w:p w14:paraId="5DBD4D39"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42486D82"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17</w:t>
      </w:r>
    </w:p>
    <w:p w14:paraId="6F9DD9FB"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i/>
          <w:iCs/>
          <w:sz w:val="24"/>
          <w:szCs w:val="24"/>
        </w:rPr>
        <w:t>Stress test</w:t>
      </w:r>
      <w:r w:rsidRPr="00474D79">
        <w:rPr>
          <w:rFonts w:ascii="Garamond" w:hAnsi="Garamond"/>
          <w:b/>
          <w:bCs/>
          <w:sz w:val="24"/>
          <w:szCs w:val="24"/>
        </w:rPr>
        <w:t>-et</w:t>
      </w:r>
    </w:p>
    <w:p w14:paraId="15C07683" w14:textId="77777777" w:rsidR="00D20524" w:rsidRPr="00474D79" w:rsidRDefault="00D20524" w:rsidP="00D20524">
      <w:pPr>
        <w:spacing w:after="0" w:line="240" w:lineRule="auto"/>
        <w:ind w:firstLine="284"/>
        <w:jc w:val="center"/>
        <w:rPr>
          <w:rFonts w:ascii="Garamond" w:hAnsi="Garamond"/>
          <w:b/>
          <w:bCs/>
          <w:sz w:val="24"/>
          <w:szCs w:val="24"/>
        </w:rPr>
      </w:pPr>
    </w:p>
    <w:p w14:paraId="138F2AAD" w14:textId="7725FB7D"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 xml:space="preserve">1. Në përputhje me përcaktimet e kuadrit rregullativ në fuqi për </w:t>
      </w:r>
      <w:r w:rsidRPr="00474D79">
        <w:rPr>
          <w:rFonts w:ascii="Garamond" w:hAnsi="Garamond"/>
          <w:i/>
          <w:iCs/>
          <w:sz w:val="24"/>
          <w:szCs w:val="24"/>
        </w:rPr>
        <w:t>stress test</w:t>
      </w:r>
      <w:r w:rsidRPr="00474D79">
        <w:rPr>
          <w:rFonts w:ascii="Garamond" w:hAnsi="Garamond"/>
          <w:sz w:val="24"/>
          <w:szCs w:val="24"/>
        </w:rPr>
        <w:t xml:space="preserve">-et për bankat, në procesin e hartimit dhe kryerjes së </w:t>
      </w:r>
      <w:r w:rsidRPr="00474D79">
        <w:rPr>
          <w:rFonts w:ascii="Garamond" w:hAnsi="Garamond"/>
          <w:i/>
          <w:iCs/>
          <w:sz w:val="24"/>
          <w:szCs w:val="24"/>
        </w:rPr>
        <w:t>stress test</w:t>
      </w:r>
      <w:r w:rsidRPr="00474D79">
        <w:rPr>
          <w:rFonts w:ascii="Garamond" w:hAnsi="Garamond"/>
          <w:sz w:val="24"/>
          <w:szCs w:val="24"/>
        </w:rPr>
        <w:t xml:space="preserve">-eve për rrezikun operacional, banka harton dhe zhvillon një program për </w:t>
      </w:r>
      <w:r w:rsidRPr="00474D79">
        <w:rPr>
          <w:rFonts w:ascii="Garamond" w:hAnsi="Garamond"/>
          <w:i/>
          <w:iCs/>
          <w:sz w:val="24"/>
          <w:szCs w:val="24"/>
        </w:rPr>
        <w:t>stress test</w:t>
      </w:r>
      <w:r w:rsidRPr="00474D79">
        <w:rPr>
          <w:rFonts w:ascii="Garamond" w:hAnsi="Garamond"/>
          <w:sz w:val="24"/>
          <w:szCs w:val="24"/>
        </w:rPr>
        <w:t xml:space="preserve">-et e rrezikut operacional, si pjesë integrale e programit të </w:t>
      </w:r>
      <w:r w:rsidRPr="00474D79">
        <w:rPr>
          <w:rFonts w:ascii="Garamond" w:hAnsi="Garamond"/>
          <w:i/>
          <w:iCs/>
          <w:sz w:val="24"/>
          <w:szCs w:val="24"/>
        </w:rPr>
        <w:t>stress test</w:t>
      </w:r>
      <w:r w:rsidRPr="00474D79">
        <w:rPr>
          <w:rFonts w:ascii="Garamond" w:hAnsi="Garamond"/>
          <w:sz w:val="24"/>
          <w:szCs w:val="24"/>
        </w:rPr>
        <w:t>-eve për rreziqet kryesore.</w:t>
      </w:r>
    </w:p>
    <w:p w14:paraId="7664F354" w14:textId="6C9B046F" w:rsidR="00D20524" w:rsidRPr="00474D79" w:rsidRDefault="00D20524" w:rsidP="00D20524">
      <w:pPr>
        <w:tabs>
          <w:tab w:val="left" w:pos="360"/>
        </w:tabs>
        <w:spacing w:after="0" w:line="240" w:lineRule="auto"/>
        <w:ind w:firstLine="284"/>
        <w:jc w:val="both"/>
        <w:rPr>
          <w:rFonts w:ascii="Garamond" w:hAnsi="Garamond"/>
          <w:sz w:val="24"/>
          <w:szCs w:val="24"/>
        </w:rPr>
      </w:pPr>
      <w:r w:rsidRPr="00474D79">
        <w:rPr>
          <w:rFonts w:ascii="Garamond" w:hAnsi="Garamond"/>
          <w:sz w:val="24"/>
          <w:szCs w:val="24"/>
        </w:rPr>
        <w:t xml:space="preserve">2. Banka përcakton qartë rolet e strukturave në hartimin dhe zbatimin e </w:t>
      </w:r>
      <w:r w:rsidRPr="00474D79">
        <w:rPr>
          <w:rFonts w:ascii="Garamond" w:hAnsi="Garamond"/>
          <w:i/>
          <w:iCs/>
          <w:sz w:val="24"/>
          <w:szCs w:val="24"/>
        </w:rPr>
        <w:t>stress test</w:t>
      </w:r>
      <w:r w:rsidRPr="00474D79">
        <w:rPr>
          <w:rFonts w:ascii="Garamond" w:hAnsi="Garamond"/>
          <w:sz w:val="24"/>
          <w:szCs w:val="24"/>
        </w:rPr>
        <w:t>-eve për rrezikun operacional, raportimin efektiv dhe në kohë të rezultateve të tij, dokumentimin e procesit dhe marrjen e masave korrigjuese sipas rastit.</w:t>
      </w:r>
    </w:p>
    <w:p w14:paraId="19D7DE78"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097E6C4D"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18</w:t>
      </w:r>
    </w:p>
    <w:p w14:paraId="520D7D1E"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Mekanizmat për administrimin e rrezikut operacional</w:t>
      </w:r>
    </w:p>
    <w:p w14:paraId="6A85DC1C" w14:textId="77777777" w:rsidR="00D20524" w:rsidRPr="00474D79" w:rsidRDefault="00D20524" w:rsidP="00D20524">
      <w:pPr>
        <w:spacing w:after="0" w:line="240" w:lineRule="auto"/>
        <w:ind w:firstLine="284"/>
        <w:jc w:val="center"/>
        <w:rPr>
          <w:rFonts w:ascii="Garamond" w:hAnsi="Garamond"/>
          <w:b/>
          <w:bCs/>
          <w:sz w:val="24"/>
          <w:szCs w:val="24"/>
        </w:rPr>
      </w:pPr>
    </w:p>
    <w:p w14:paraId="2C5A13D0" w14:textId="0C48057D"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1. Subjekti, për administrimin e rrezikut operacional bazohet në mekanizmat kryesorë të mëposhtëm, të cilët konsiderohen si shtylla e administrimit të këtij rreziku:</w:t>
      </w:r>
    </w:p>
    <w:p w14:paraId="16B6CCC9" w14:textId="2C754A44"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a) identifikimi dhe raportimi i ngjarjeve të rrezikut operacional;</w:t>
      </w:r>
    </w:p>
    <w:p w14:paraId="7DDAF3A9" w14:textId="119BDA5B"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b) baza e të dhënave të ngjarjeve të rrezikut operacional;</w:t>
      </w:r>
    </w:p>
    <w:p w14:paraId="53C2A6E2" w14:textId="6636DC65"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c) treguesit e paralajmërimit të hershëm;</w:t>
      </w:r>
    </w:p>
    <w:p w14:paraId="6D891C1E" w14:textId="05CA2630"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d) hartëzimi dhe vetëvlerësimi i rreziqeve dhe kontrolleve në fuqi; dhe</w:t>
      </w:r>
    </w:p>
    <w:p w14:paraId="400899F1" w14:textId="09552931"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lastRenderedPageBreak/>
        <w:t>e) analiza e skenarëve.</w:t>
      </w:r>
    </w:p>
    <w:p w14:paraId="250693E2" w14:textId="35A4FFA5"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2. Subjekti, në përputhje me madhësinë dhe kompleksitetin e tij, përdor sisteme informacioni të përshtatshme dhe të mjaftueshme për mbarëvajtjen dhe mirëfunksionimin e proceseve të parashikuara në pikën 1 të këtij neni.</w:t>
      </w:r>
    </w:p>
    <w:p w14:paraId="03BBF876" w14:textId="77777777" w:rsidR="00D20524" w:rsidRPr="00474D79" w:rsidRDefault="00D20524" w:rsidP="00D20524">
      <w:pPr>
        <w:spacing w:after="0" w:line="240" w:lineRule="auto"/>
        <w:ind w:firstLine="284"/>
        <w:jc w:val="center"/>
        <w:rPr>
          <w:rFonts w:ascii="Garamond" w:hAnsi="Garamond"/>
          <w:b/>
          <w:bCs/>
          <w:sz w:val="24"/>
          <w:szCs w:val="24"/>
        </w:rPr>
      </w:pPr>
    </w:p>
    <w:p w14:paraId="5D376DD4"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19</w:t>
      </w:r>
    </w:p>
    <w:p w14:paraId="327D493D"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Identifikimi dhe raportimi i ngjarjeve të rrezikut operacional</w:t>
      </w:r>
    </w:p>
    <w:p w14:paraId="0B6F803B" w14:textId="77777777" w:rsidR="00D20524" w:rsidRPr="00474D79" w:rsidRDefault="00D20524" w:rsidP="00D20524">
      <w:pPr>
        <w:spacing w:after="0" w:line="240" w:lineRule="auto"/>
        <w:ind w:firstLine="284"/>
        <w:jc w:val="center"/>
        <w:rPr>
          <w:rFonts w:ascii="Garamond" w:hAnsi="Garamond"/>
          <w:b/>
          <w:bCs/>
          <w:sz w:val="24"/>
          <w:szCs w:val="24"/>
        </w:rPr>
      </w:pPr>
    </w:p>
    <w:p w14:paraId="4F970D75" w14:textId="3C557E1D"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1. Subjekti harton një kuadër të brendshëm rregullativ apo procedurë për administrimin e ngjarjeve të rrezikut operacional, ku përcaktohen të gjitha hapat në ciklin e administrimit të tyre, afatet, si dhe rolet e strukturave të përfshira në këtë proces.</w:t>
      </w:r>
    </w:p>
    <w:p w14:paraId="70EC19EB" w14:textId="7934A9F8"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2. Ngjarjet e rrezikut operacional, pasi identifikohen, përpunohen dhe raportohen sipas rastit nga struktura e subjektit që e identifikon dhe në përputhje me kërkesat minimale të përcaktuara sipas formularit të standardizuar në aneksin nr. 16 të kësaj rregullore</w:t>
      </w:r>
      <w:r w:rsidR="00FC66CD">
        <w:rPr>
          <w:rFonts w:ascii="Garamond" w:hAnsi="Garamond"/>
          <w:sz w:val="24"/>
          <w:szCs w:val="24"/>
        </w:rPr>
        <w:t>je</w:t>
      </w:r>
      <w:r w:rsidRPr="00474D79">
        <w:rPr>
          <w:rFonts w:ascii="Garamond" w:hAnsi="Garamond"/>
          <w:sz w:val="24"/>
          <w:szCs w:val="24"/>
        </w:rPr>
        <w:t>. Në varësi të madhësisë dhe kompleksitetit të subjektit dhe infrastrukturës teknologjike, të dhënat regjistrohen direkt në bazën e të dhënave të ngjarjeve të rrezikut operacional të subjektit, ose regjistrohen nga njësia e administrimit të rrezikut operacional.</w:t>
      </w:r>
    </w:p>
    <w:p w14:paraId="2CAB3319" w14:textId="74698E8B"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3. Raportimi i ngjarjeve të rrezikut operacional, në varësi të organizimit të procesit, kryhet nga çdo punonjës i subjektit i cili e ka identifikuar ngjarjen, ose nëpërmjet një punonjësi përgjegjës për rrezikun operacional, i përcaktuar për çdo strukturë të subjektit.</w:t>
      </w:r>
    </w:p>
    <w:p w14:paraId="3ED4211F"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6B077056"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20</w:t>
      </w:r>
    </w:p>
    <w:p w14:paraId="176D776D"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Baza e të dhënave të ngjarjeve të rrezikut operacional</w:t>
      </w:r>
    </w:p>
    <w:p w14:paraId="5D8B3E87" w14:textId="77777777" w:rsidR="00D20524" w:rsidRPr="00474D79" w:rsidRDefault="00D20524" w:rsidP="00D20524">
      <w:pPr>
        <w:spacing w:after="0" w:line="240" w:lineRule="auto"/>
        <w:ind w:firstLine="284"/>
        <w:jc w:val="center"/>
        <w:rPr>
          <w:rFonts w:ascii="Garamond" w:hAnsi="Garamond"/>
          <w:b/>
          <w:bCs/>
          <w:sz w:val="24"/>
          <w:szCs w:val="24"/>
        </w:rPr>
      </w:pPr>
    </w:p>
    <w:p w14:paraId="41EAA825" w14:textId="39EF94AB"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1. Subjekti harton një kuadër të brendshëm rregullativ/metodologji për administrimin e bazës së të dhënave të ngjarjeve të rrezikut operacional, ku përcaktohet qëllimi, hapat, afatet dhe rolet e strukturave të përfshira në këtë proces.</w:t>
      </w:r>
    </w:p>
    <w:p w14:paraId="62416AE2" w14:textId="108E69A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2. Subjekti zbaton mekanizma të përshtatshëm që sigurojnë përdorimin e një baze të dhënash cilësore për ngjarjet e rrezikut operacional, të mbështetur në sisteme informatike.</w:t>
      </w:r>
    </w:p>
    <w:p w14:paraId="02AE38F8" w14:textId="6EB21D5E"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3. Baza e të dhënave të ngjarjeve të rrezikut operacional të subjektit plotëson kërkesat e mëposhtme:</w:t>
      </w:r>
    </w:p>
    <w:p w14:paraId="70CC45E7" w14:textId="00F66561" w:rsidR="00D20524" w:rsidRPr="00474D79" w:rsidRDefault="00D20524" w:rsidP="00D20524">
      <w:pPr>
        <w:tabs>
          <w:tab w:val="left" w:pos="360"/>
          <w:tab w:val="left" w:pos="720"/>
        </w:tabs>
        <w:spacing w:after="0" w:line="240" w:lineRule="auto"/>
        <w:ind w:firstLine="284"/>
        <w:jc w:val="both"/>
        <w:rPr>
          <w:rFonts w:ascii="Garamond" w:hAnsi="Garamond"/>
          <w:sz w:val="24"/>
          <w:szCs w:val="24"/>
        </w:rPr>
      </w:pPr>
      <w:r w:rsidRPr="00474D79">
        <w:rPr>
          <w:rFonts w:ascii="Garamond" w:hAnsi="Garamond"/>
          <w:sz w:val="24"/>
          <w:szCs w:val="24"/>
        </w:rPr>
        <w:t>a) të dhënat e ngjarjeve të rrezikut operacional duhet të jenë gjithëpërfshirëse, në mënyrë që të përfshijnë të gjitha veprimtaritë e subjektit;</w:t>
      </w:r>
    </w:p>
    <w:p w14:paraId="67A29785" w14:textId="0670DAD6" w:rsidR="00D20524" w:rsidRPr="00474D79" w:rsidRDefault="00D20524" w:rsidP="00D20524">
      <w:pPr>
        <w:tabs>
          <w:tab w:val="left" w:pos="360"/>
          <w:tab w:val="left" w:pos="720"/>
        </w:tabs>
        <w:spacing w:after="0" w:line="240" w:lineRule="auto"/>
        <w:ind w:firstLine="284"/>
        <w:jc w:val="both"/>
        <w:rPr>
          <w:rFonts w:ascii="Garamond" w:hAnsi="Garamond"/>
          <w:sz w:val="24"/>
          <w:szCs w:val="24"/>
        </w:rPr>
      </w:pPr>
      <w:r w:rsidRPr="00474D79">
        <w:rPr>
          <w:rFonts w:ascii="Garamond" w:hAnsi="Garamond"/>
          <w:sz w:val="24"/>
          <w:szCs w:val="24"/>
        </w:rPr>
        <w:t>b) për mbledhjen e të dhënave që lidhen me ngjarjet e rrezikut operacional, subjekti përcakton kufij sasiorë minimalë të përshtatshëm;</w:t>
      </w:r>
    </w:p>
    <w:p w14:paraId="639BA9BF" w14:textId="4277E896" w:rsidR="00D20524" w:rsidRPr="00474D79" w:rsidRDefault="00D20524" w:rsidP="00D20524">
      <w:pPr>
        <w:tabs>
          <w:tab w:val="left" w:pos="0"/>
          <w:tab w:val="left" w:pos="720"/>
        </w:tabs>
        <w:spacing w:after="0" w:line="240" w:lineRule="auto"/>
        <w:ind w:firstLine="284"/>
        <w:jc w:val="both"/>
        <w:rPr>
          <w:rFonts w:ascii="Garamond" w:hAnsi="Garamond"/>
          <w:sz w:val="24"/>
          <w:szCs w:val="24"/>
        </w:rPr>
      </w:pPr>
      <w:r w:rsidRPr="00474D79">
        <w:rPr>
          <w:rFonts w:ascii="Garamond" w:hAnsi="Garamond"/>
          <w:sz w:val="24"/>
          <w:szCs w:val="24"/>
        </w:rPr>
        <w:t>c) baza e të dhënave të ngjarjeve të rrezikut operacional të subjektit duhet të përmbajë të paktën:</w:t>
      </w:r>
    </w:p>
    <w:p w14:paraId="65CBFBD2" w14:textId="0D228FD2"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i. numrin e identifikimit të ngjarjes,</w:t>
      </w:r>
    </w:p>
    <w:p w14:paraId="5D8895A8" w14:textId="625032B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ii. përshkrimin e ngjarjes,</w:t>
      </w:r>
    </w:p>
    <w:p w14:paraId="5BE23D39" w14:textId="28712ACF"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iii. njësinë raportuese të ngjarjes,</w:t>
      </w:r>
    </w:p>
    <w:p w14:paraId="1153A2D4" w14:textId="1ABE8A51"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iv. datën e ndodhjes së ngjarjes (d.m.v),</w:t>
      </w:r>
    </w:p>
    <w:p w14:paraId="509A60CD" w14:textId="437E52B6"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v. datën e identifikimit të ngjarjes (d.m.v),</w:t>
      </w:r>
    </w:p>
    <w:p w14:paraId="4D8084BE" w14:textId="5D649EAC"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vi. datën e raportimit të ngjarjes (d.m.v),</w:t>
      </w:r>
    </w:p>
    <w:p w14:paraId="567158EB" w14:textId="358F8CE8"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vii. datën e kontabilizimit të ngjarjes (d.m.v),</w:t>
      </w:r>
    </w:p>
    <w:p w14:paraId="556D1ECA" w14:textId="08CBC9F9"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viii. vlerën e humbjes bruto/fillestare (në lekë),</w:t>
      </w:r>
    </w:p>
    <w:p w14:paraId="5643090B" w14:textId="3A535496"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ix. vlerën e rikuperuar dhe datën e rikuperimit,</w:t>
      </w:r>
    </w:p>
    <w:p w14:paraId="64BEC6C8" w14:textId="2E34B074"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x. klasifikimin e çdo ngjarjeje sipas llojit të ngjarjes, linjës së biznesit, efektit financiar, shkakut dhe informacion mbi ngjarjet kufitare (</w:t>
      </w:r>
      <w:r w:rsidRPr="00474D79">
        <w:rPr>
          <w:rFonts w:ascii="Garamond" w:hAnsi="Garamond"/>
          <w:i/>
          <w:iCs/>
          <w:sz w:val="24"/>
          <w:szCs w:val="24"/>
        </w:rPr>
        <w:t>boundary events</w:t>
      </w:r>
      <w:r w:rsidRPr="00474D79">
        <w:rPr>
          <w:rFonts w:ascii="Garamond" w:hAnsi="Garamond"/>
          <w:sz w:val="24"/>
          <w:szCs w:val="24"/>
        </w:rPr>
        <w:t>);</w:t>
      </w:r>
    </w:p>
    <w:p w14:paraId="05DCD40E" w14:textId="0E9E768E" w:rsidR="00D20524" w:rsidRPr="00474D79" w:rsidRDefault="00D20524" w:rsidP="00D20524">
      <w:pPr>
        <w:tabs>
          <w:tab w:val="left" w:pos="360"/>
          <w:tab w:val="left" w:pos="720"/>
        </w:tabs>
        <w:spacing w:after="0" w:line="240" w:lineRule="auto"/>
        <w:ind w:firstLine="284"/>
        <w:jc w:val="both"/>
        <w:rPr>
          <w:rFonts w:ascii="Garamond" w:hAnsi="Garamond"/>
          <w:sz w:val="24"/>
          <w:szCs w:val="24"/>
        </w:rPr>
      </w:pPr>
      <w:r w:rsidRPr="00474D79">
        <w:rPr>
          <w:rFonts w:ascii="Garamond" w:hAnsi="Garamond"/>
          <w:sz w:val="24"/>
          <w:szCs w:val="24"/>
        </w:rPr>
        <w:lastRenderedPageBreak/>
        <w:t>d) subjekti duhet të jetë në gjendje të identifikojë humbjet e rrezikut operacional që shkaktohen nga ngjarjet e lidhura me rrezikun e kredisë dhe atë të tregut (</w:t>
      </w:r>
      <w:r w:rsidRPr="00474D79">
        <w:rPr>
          <w:rFonts w:ascii="Garamond" w:hAnsi="Garamond"/>
          <w:i/>
          <w:iCs/>
          <w:sz w:val="24"/>
          <w:szCs w:val="24"/>
        </w:rPr>
        <w:t>boundary events</w:t>
      </w:r>
      <w:r w:rsidRPr="00474D79">
        <w:rPr>
          <w:rFonts w:ascii="Garamond" w:hAnsi="Garamond"/>
          <w:sz w:val="24"/>
          <w:szCs w:val="24"/>
        </w:rPr>
        <w:t>) dhe t’i regjistrojë në bazën e të dhënave të ngjarjeve të rrezikut operacional, të shoqëruara me shënimet përkatës</w:t>
      </w:r>
      <w:r w:rsidR="00FC66CD">
        <w:rPr>
          <w:rFonts w:ascii="Garamond" w:hAnsi="Garamond"/>
          <w:sz w:val="24"/>
          <w:szCs w:val="24"/>
        </w:rPr>
        <w:t>e</w:t>
      </w:r>
      <w:r w:rsidR="00FC66CD" w:rsidRPr="00FC66CD">
        <w:rPr>
          <w:rFonts w:ascii="Garamond" w:hAnsi="Garamond"/>
          <w:sz w:val="24"/>
          <w:szCs w:val="24"/>
          <w:vertAlign w:val="superscript"/>
        </w:rPr>
        <w:t>2</w:t>
      </w:r>
      <w:r w:rsidRPr="00474D79">
        <w:rPr>
          <w:rFonts w:ascii="Garamond" w:hAnsi="Garamond"/>
          <w:sz w:val="24"/>
          <w:szCs w:val="24"/>
        </w:rPr>
        <w:t>;</w:t>
      </w:r>
      <w:r w:rsidR="002F4A24">
        <w:rPr>
          <w:rFonts w:ascii="Garamond" w:hAnsi="Garamond"/>
          <w:sz w:val="24"/>
          <w:szCs w:val="24"/>
        </w:rPr>
        <w:t xml:space="preserve"> </w:t>
      </w:r>
    </w:p>
    <w:p w14:paraId="03BFD80F" w14:textId="10B7EE9F" w:rsidR="00D20524" w:rsidRPr="00474D79" w:rsidRDefault="00D20524" w:rsidP="00D20524">
      <w:pPr>
        <w:tabs>
          <w:tab w:val="left" w:pos="0"/>
          <w:tab w:val="left" w:pos="720"/>
        </w:tabs>
        <w:spacing w:after="0" w:line="240" w:lineRule="auto"/>
        <w:ind w:firstLine="284"/>
        <w:jc w:val="both"/>
        <w:rPr>
          <w:rFonts w:ascii="Garamond" w:hAnsi="Garamond"/>
          <w:sz w:val="24"/>
          <w:szCs w:val="24"/>
        </w:rPr>
      </w:pPr>
      <w:r w:rsidRPr="00474D79">
        <w:rPr>
          <w:rFonts w:ascii="Garamond" w:hAnsi="Garamond"/>
          <w:sz w:val="24"/>
          <w:szCs w:val="24"/>
        </w:rPr>
        <w:t>e) subjekti duhet të jetë në gjendje të kategorizojë ngjarjet e rrezikut operacional, të paktën sipas efekteve financiare të mëposhtme:</w:t>
      </w:r>
    </w:p>
    <w:p w14:paraId="71D0690D" w14:textId="6213B62F"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 xml:space="preserve">i. humbje financiare efektive, </w:t>
      </w:r>
    </w:p>
    <w:p w14:paraId="635AFB00" w14:textId="7B49FF2F"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ii. provigjione specifike për rrezikun operacional,</w:t>
      </w:r>
    </w:p>
    <w:p w14:paraId="345C22C4" w14:textId="6B45EBFE"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iii. humbje të mbetura pezull (</w:t>
      </w:r>
      <w:r w:rsidRPr="00474D79">
        <w:rPr>
          <w:rFonts w:ascii="Garamond" w:hAnsi="Garamond"/>
          <w:i/>
          <w:iCs/>
          <w:sz w:val="24"/>
          <w:szCs w:val="24"/>
        </w:rPr>
        <w:t>pending losses</w:t>
      </w:r>
      <w:r w:rsidRPr="00474D79">
        <w:rPr>
          <w:rFonts w:ascii="Garamond" w:hAnsi="Garamond"/>
          <w:sz w:val="24"/>
          <w:szCs w:val="24"/>
        </w:rPr>
        <w:t>),</w:t>
      </w:r>
    </w:p>
    <w:p w14:paraId="4DAE8508" w14:textId="60CF9B78"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iv. humbje të pamaterializuara (</w:t>
      </w:r>
      <w:r w:rsidRPr="00474D79">
        <w:rPr>
          <w:rFonts w:ascii="Garamond" w:hAnsi="Garamond"/>
          <w:i/>
          <w:iCs/>
          <w:sz w:val="24"/>
          <w:szCs w:val="24"/>
        </w:rPr>
        <w:t>near misses</w:t>
      </w:r>
      <w:r w:rsidRPr="00474D79">
        <w:rPr>
          <w:rFonts w:ascii="Garamond" w:hAnsi="Garamond"/>
          <w:sz w:val="24"/>
          <w:szCs w:val="24"/>
        </w:rPr>
        <w:t>),</w:t>
      </w:r>
    </w:p>
    <w:p w14:paraId="3B3256DA" w14:textId="5EBB94C7"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v. humbje në kohë (</w:t>
      </w:r>
      <w:r w:rsidRPr="00474D79">
        <w:rPr>
          <w:rFonts w:ascii="Garamond" w:hAnsi="Garamond"/>
          <w:i/>
          <w:iCs/>
          <w:sz w:val="24"/>
          <w:szCs w:val="24"/>
        </w:rPr>
        <w:t>timing losses</w:t>
      </w:r>
      <w:r w:rsidRPr="00474D79">
        <w:rPr>
          <w:rFonts w:ascii="Garamond" w:hAnsi="Garamond"/>
          <w:sz w:val="24"/>
          <w:szCs w:val="24"/>
        </w:rPr>
        <w:t>),</w:t>
      </w:r>
    </w:p>
    <w:p w14:paraId="153AC5F6" w14:textId="1C2C316B"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vi. kompensim,</w:t>
      </w:r>
    </w:p>
    <w:p w14:paraId="0AC91CE7" w14:textId="07CD5BF0"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vii. humbje të rikuperuara menjëherë (</w:t>
      </w:r>
      <w:r w:rsidRPr="00474D79">
        <w:rPr>
          <w:rFonts w:ascii="Garamond" w:hAnsi="Garamond"/>
          <w:i/>
          <w:iCs/>
          <w:sz w:val="24"/>
          <w:szCs w:val="24"/>
        </w:rPr>
        <w:t>rapidly recovered loss</w:t>
      </w:r>
      <w:r w:rsidRPr="00474D79">
        <w:rPr>
          <w:rFonts w:ascii="Garamond" w:hAnsi="Garamond"/>
          <w:sz w:val="24"/>
          <w:szCs w:val="24"/>
        </w:rPr>
        <w:t>),</w:t>
      </w:r>
    </w:p>
    <w:p w14:paraId="606675AD" w14:textId="5561CD1A"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viii. fitime/të ardhura operacionale,</w:t>
      </w:r>
    </w:p>
    <w:p w14:paraId="55BD4AAF" w14:textId="20A0F80D" w:rsidR="00D20524" w:rsidRPr="00474D79" w:rsidRDefault="00D20524" w:rsidP="00D20524">
      <w:pPr>
        <w:tabs>
          <w:tab w:val="left" w:pos="1080"/>
        </w:tabs>
        <w:spacing w:after="0" w:line="240" w:lineRule="auto"/>
        <w:ind w:firstLine="284"/>
        <w:jc w:val="both"/>
        <w:rPr>
          <w:rFonts w:ascii="Garamond" w:hAnsi="Garamond"/>
          <w:sz w:val="24"/>
          <w:szCs w:val="24"/>
        </w:rPr>
      </w:pPr>
      <w:r w:rsidRPr="00474D79">
        <w:rPr>
          <w:rFonts w:ascii="Garamond" w:hAnsi="Garamond"/>
          <w:sz w:val="24"/>
          <w:szCs w:val="24"/>
        </w:rPr>
        <w:t>ix. kosto oportune/të ardhura të munguara;</w:t>
      </w:r>
    </w:p>
    <w:p w14:paraId="59E6F76F" w14:textId="1D23128F"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 xml:space="preserve">f) subjekti duhet të jetë në gjendje të kategorizojë çdo ngjarje sipas shkakut/faktorit që e shkakton. Kategorizimi sipas shkakut, i ndarë në 2 nivele detajimi, paraqitet në aneksin nr. 5 të kësaj rregulloreje; </w:t>
      </w:r>
    </w:p>
    <w:p w14:paraId="0CAF51B1" w14:textId="009DB718" w:rsidR="00D20524" w:rsidRPr="00474D79" w:rsidRDefault="00D20524" w:rsidP="00D20524">
      <w:pPr>
        <w:tabs>
          <w:tab w:val="left" w:pos="720"/>
        </w:tabs>
        <w:spacing w:after="0" w:line="240" w:lineRule="auto"/>
        <w:ind w:firstLine="284"/>
        <w:jc w:val="both"/>
        <w:rPr>
          <w:rFonts w:ascii="Garamond" w:hAnsi="Garamond"/>
          <w:sz w:val="24"/>
          <w:szCs w:val="24"/>
        </w:rPr>
      </w:pPr>
      <w:r w:rsidRPr="00474D79">
        <w:rPr>
          <w:rFonts w:ascii="Garamond" w:hAnsi="Garamond"/>
          <w:sz w:val="24"/>
          <w:szCs w:val="24"/>
        </w:rPr>
        <w:t>g) subjekti duhet të jetë në gjendje të hartëzojë/kategorizojë (</w:t>
      </w:r>
      <w:r w:rsidRPr="00474D79">
        <w:rPr>
          <w:rFonts w:ascii="Garamond" w:hAnsi="Garamond"/>
          <w:i/>
          <w:iCs/>
          <w:sz w:val="24"/>
          <w:szCs w:val="24"/>
        </w:rPr>
        <w:t>mapping</w:t>
      </w:r>
      <w:r w:rsidRPr="00474D79">
        <w:rPr>
          <w:rFonts w:ascii="Garamond" w:hAnsi="Garamond"/>
          <w:sz w:val="24"/>
          <w:szCs w:val="24"/>
        </w:rPr>
        <w:t>) çdo ngjarje sipas llojit dhe linjës së biznesit, sipas anekseve nr. 6</w:t>
      </w:r>
      <w:r w:rsidR="00FC66CD">
        <w:rPr>
          <w:rFonts w:ascii="Garamond" w:hAnsi="Garamond"/>
          <w:sz w:val="24"/>
          <w:szCs w:val="24"/>
        </w:rPr>
        <w:t>–</w:t>
      </w:r>
      <w:r w:rsidRPr="00474D79">
        <w:rPr>
          <w:rFonts w:ascii="Garamond" w:hAnsi="Garamond"/>
          <w:sz w:val="24"/>
          <w:szCs w:val="24"/>
        </w:rPr>
        <w:t>14 të kësaj rregullore</w:t>
      </w:r>
      <w:r w:rsidR="00FC66CD">
        <w:rPr>
          <w:rFonts w:ascii="Garamond" w:hAnsi="Garamond"/>
          <w:sz w:val="24"/>
          <w:szCs w:val="24"/>
        </w:rPr>
        <w:t>je</w:t>
      </w:r>
      <w:r w:rsidRPr="00474D79">
        <w:rPr>
          <w:rFonts w:ascii="Garamond" w:hAnsi="Garamond"/>
          <w:sz w:val="24"/>
          <w:szCs w:val="24"/>
        </w:rPr>
        <w:t>. Kategorizimi i ngjarjeve kryhet duke përdorur kritere objektive dhe të dokumentuara.</w:t>
      </w:r>
    </w:p>
    <w:p w14:paraId="3CDDAA26"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1ED54C26"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21</w:t>
      </w:r>
    </w:p>
    <w:p w14:paraId="77D70732"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Treguesit e paralajmërimit të hershëm</w:t>
      </w:r>
    </w:p>
    <w:p w14:paraId="0F3C0E9D" w14:textId="77777777" w:rsidR="00D20524" w:rsidRPr="00474D79" w:rsidRDefault="00D20524" w:rsidP="00D20524">
      <w:pPr>
        <w:spacing w:after="0" w:line="240" w:lineRule="auto"/>
        <w:ind w:firstLine="284"/>
        <w:jc w:val="center"/>
        <w:rPr>
          <w:rFonts w:ascii="Garamond" w:hAnsi="Garamond"/>
          <w:b/>
          <w:bCs/>
          <w:sz w:val="24"/>
          <w:szCs w:val="24"/>
        </w:rPr>
      </w:pPr>
    </w:p>
    <w:p w14:paraId="0E0963D9" w14:textId="777BA61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1. Subjekti harton një kuadër të brendshëm rregullativ/metodologji/procedurë për hartimin dhe administrimin e treguesve të paralajmërimit të hershëm, ku përcaktohet qëllimi, hapat, afatet dhe rolet e strukturave të përfshira në këtë proces.</w:t>
      </w:r>
    </w:p>
    <w:p w14:paraId="194821E6" w14:textId="542105E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2. Subjekti përdor tregues të paralajmërimit të hershëm, të cilët shërbejnë për identifikimin e hershëm të çështjeve që mund të ndikojnë në rritjen e ekspozimit ndaj rrezikut operacional.</w:t>
      </w:r>
    </w:p>
    <w:p w14:paraId="7F493284" w14:textId="3D85C04D"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3. Treguesit e paralajmërimit të hershëm mbulojnë të gjitha aktivitetet e subjektit, sipas prioritetit/rëndësisë dhe mund të jenë tregues performance, tregues rreziku dhe/ose tregues kontrolli.</w:t>
      </w:r>
    </w:p>
    <w:p w14:paraId="3623FA79" w14:textId="7F50893F"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4. Treguesit e paralajmërimit të hershëm në përgjithësi duhet të jenë të matshëm, të krahasueshëm në kohë dhe transparentë.</w:t>
      </w:r>
    </w:p>
    <w:p w14:paraId="1D4CCC00" w14:textId="6338EFD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5. Në varësi të kompleksitetit dhe madhësisë, subjekti harton treguesit e tij të brendshëm, të cilët përfshijnë edhe treguesit e aneksit nr.</w:t>
      </w:r>
      <w:r w:rsidR="00FC66CD">
        <w:rPr>
          <w:rFonts w:ascii="Garamond" w:hAnsi="Garamond"/>
          <w:sz w:val="24"/>
          <w:szCs w:val="24"/>
        </w:rPr>
        <w:t xml:space="preserve"> </w:t>
      </w:r>
      <w:r w:rsidRPr="00474D79">
        <w:rPr>
          <w:rFonts w:ascii="Garamond" w:hAnsi="Garamond"/>
          <w:sz w:val="24"/>
          <w:szCs w:val="24"/>
        </w:rPr>
        <w:t>1 të kësaj rregullore</w:t>
      </w:r>
      <w:r w:rsidR="00FC66CD">
        <w:rPr>
          <w:rFonts w:ascii="Garamond" w:hAnsi="Garamond"/>
          <w:sz w:val="24"/>
          <w:szCs w:val="24"/>
        </w:rPr>
        <w:t>je</w:t>
      </w:r>
      <w:r w:rsidRPr="00474D79">
        <w:rPr>
          <w:rFonts w:ascii="Garamond" w:hAnsi="Garamond"/>
          <w:sz w:val="24"/>
          <w:szCs w:val="24"/>
        </w:rPr>
        <w:t xml:space="preserve"> ose përdor vetëm treguesit e përcaktuar në atë aneks.</w:t>
      </w:r>
    </w:p>
    <w:p w14:paraId="263ADFE3" w14:textId="038CA56A"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6. Treguesit e paralajmërimit të hershëm identifikohen dhe rishikohen në mënyrë të vazhdueshme. Në identifikimin e treguesve të përshtatshëm shërben edhe procesi i vetëvlerësimit të rreziqeve, ku identifikohen rreziqe për të cilat duhen vendosur tregues të monitorimit të tyre.</w:t>
      </w:r>
    </w:p>
    <w:p w14:paraId="3BABD0AC" w14:textId="6BB7F150"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7. Çdo tregues i paralajmërimit të hershëm shoqërohet të paktën me të dhënat e mëposhtme:</w:t>
      </w:r>
    </w:p>
    <w:p w14:paraId="49711BB8" w14:textId="5654986B"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a) emrin e treguesit; </w:t>
      </w:r>
    </w:p>
    <w:p w14:paraId="13413564" w14:textId="66817F7F"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b) përshkrimin e treguesit;</w:t>
      </w:r>
    </w:p>
    <w:p w14:paraId="47AA051C" w14:textId="1A55F9ED"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c) objektivin e treguesit dhe rrezikun që monitoron;</w:t>
      </w:r>
    </w:p>
    <w:p w14:paraId="6092DD75" w14:textId="6F61C55F"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d) mënyrën e përllogaritjes;</w:t>
      </w:r>
    </w:p>
    <w:p w14:paraId="7D46CCFB" w14:textId="7BF70244" w:rsidR="00D20524" w:rsidRPr="00B14A6B" w:rsidRDefault="00B14A6B" w:rsidP="00D20524">
      <w:pPr>
        <w:spacing w:after="0" w:line="240" w:lineRule="auto"/>
        <w:ind w:firstLine="284"/>
        <w:jc w:val="both"/>
        <w:rPr>
          <w:rFonts w:ascii="Garamond" w:hAnsi="Garamond"/>
          <w:sz w:val="24"/>
          <w:szCs w:val="24"/>
        </w:rPr>
      </w:pPr>
      <w:bookmarkStart w:id="0" w:name="_GoBack"/>
      <w:bookmarkEnd w:id="0"/>
      <w:r w:rsidRPr="00B14A6B">
        <w:rPr>
          <w:rFonts w:ascii="Garamond" w:hAnsi="Garamond"/>
          <w:sz w:val="24"/>
          <w:szCs w:val="24"/>
        </w:rPr>
        <w:lastRenderedPageBreak/>
        <w:t>e</w:t>
      </w:r>
      <w:r w:rsidR="00D20524" w:rsidRPr="00B14A6B">
        <w:rPr>
          <w:rFonts w:ascii="Garamond" w:hAnsi="Garamond"/>
          <w:sz w:val="24"/>
          <w:szCs w:val="24"/>
        </w:rPr>
        <w:t>) strukturën përgjegjëse (</w:t>
      </w:r>
      <w:r w:rsidR="00D20524" w:rsidRPr="00B14A6B">
        <w:rPr>
          <w:rFonts w:ascii="Garamond" w:hAnsi="Garamond"/>
          <w:i/>
          <w:iCs/>
          <w:sz w:val="24"/>
          <w:szCs w:val="24"/>
        </w:rPr>
        <w:t>owner</w:t>
      </w:r>
      <w:r w:rsidR="00D20524" w:rsidRPr="00B14A6B">
        <w:rPr>
          <w:rFonts w:ascii="Garamond" w:hAnsi="Garamond"/>
          <w:sz w:val="24"/>
          <w:szCs w:val="24"/>
        </w:rPr>
        <w:t>) dhe veprimtarinë ku bie treguesi;</w:t>
      </w:r>
    </w:p>
    <w:p w14:paraId="2032C693" w14:textId="0FA8A02D" w:rsidR="00D20524" w:rsidRPr="00B14A6B" w:rsidRDefault="00B14A6B" w:rsidP="00D20524">
      <w:pPr>
        <w:spacing w:after="0" w:line="240" w:lineRule="auto"/>
        <w:ind w:firstLine="284"/>
        <w:jc w:val="both"/>
        <w:rPr>
          <w:rFonts w:ascii="Garamond" w:hAnsi="Garamond"/>
          <w:sz w:val="24"/>
          <w:szCs w:val="24"/>
        </w:rPr>
      </w:pPr>
      <w:r w:rsidRPr="00B14A6B">
        <w:rPr>
          <w:rFonts w:ascii="Garamond" w:hAnsi="Garamond"/>
          <w:sz w:val="24"/>
          <w:szCs w:val="24"/>
        </w:rPr>
        <w:t>f</w:t>
      </w:r>
      <w:r w:rsidR="00D20524" w:rsidRPr="00B14A6B">
        <w:rPr>
          <w:rFonts w:ascii="Garamond" w:hAnsi="Garamond"/>
          <w:sz w:val="24"/>
          <w:szCs w:val="24"/>
        </w:rPr>
        <w:t>) frekuencën e raportimit;</w:t>
      </w:r>
    </w:p>
    <w:p w14:paraId="56F8C5F3" w14:textId="7FCFA311" w:rsidR="00D20524" w:rsidRPr="00B14A6B" w:rsidRDefault="00B14A6B" w:rsidP="00D20524">
      <w:pPr>
        <w:spacing w:after="0" w:line="240" w:lineRule="auto"/>
        <w:ind w:firstLine="284"/>
        <w:jc w:val="both"/>
        <w:rPr>
          <w:rFonts w:ascii="Garamond" w:hAnsi="Garamond"/>
          <w:sz w:val="24"/>
          <w:szCs w:val="24"/>
        </w:rPr>
      </w:pPr>
      <w:r w:rsidRPr="00B14A6B">
        <w:rPr>
          <w:rFonts w:ascii="Garamond" w:hAnsi="Garamond"/>
          <w:sz w:val="24"/>
          <w:szCs w:val="24"/>
        </w:rPr>
        <w:t>g</w:t>
      </w:r>
      <w:r w:rsidR="00D20524" w:rsidRPr="00B14A6B">
        <w:rPr>
          <w:rFonts w:ascii="Garamond" w:hAnsi="Garamond"/>
          <w:sz w:val="24"/>
          <w:szCs w:val="24"/>
        </w:rPr>
        <w:t>) limitin e monitorimit (i kuq, portokalli, i gjelbër ose i lartë, i mesëm, i ulët).</w:t>
      </w:r>
    </w:p>
    <w:p w14:paraId="20CEDF3C" w14:textId="73F37F54" w:rsidR="00D20524" w:rsidRPr="00474D79" w:rsidRDefault="00D20524" w:rsidP="00D20524">
      <w:pPr>
        <w:spacing w:after="0" w:line="240" w:lineRule="auto"/>
        <w:ind w:firstLine="284"/>
        <w:jc w:val="both"/>
        <w:rPr>
          <w:rFonts w:ascii="Garamond" w:hAnsi="Garamond"/>
          <w:sz w:val="24"/>
          <w:szCs w:val="24"/>
        </w:rPr>
      </w:pPr>
      <w:r w:rsidRPr="00B14A6B">
        <w:rPr>
          <w:rFonts w:ascii="Garamond" w:hAnsi="Garamond"/>
          <w:sz w:val="24"/>
          <w:szCs w:val="24"/>
        </w:rPr>
        <w:t>8. Thyerja</w:t>
      </w:r>
      <w:r w:rsidRPr="00474D79">
        <w:rPr>
          <w:rFonts w:ascii="Garamond" w:hAnsi="Garamond"/>
          <w:sz w:val="24"/>
          <w:szCs w:val="24"/>
        </w:rPr>
        <w:t xml:space="preserve"> e limiteve shoqërohet me monitorim dhe masa të mëtejshme, të cilat kanë si qëllim zbutjen e rreziqeve.</w:t>
      </w:r>
    </w:p>
    <w:p w14:paraId="3B56C01D" w14:textId="77777777" w:rsidR="00D20524" w:rsidRPr="00474D79" w:rsidRDefault="00D20524" w:rsidP="00D20524">
      <w:pPr>
        <w:tabs>
          <w:tab w:val="left" w:pos="360"/>
        </w:tabs>
        <w:spacing w:after="0" w:line="240" w:lineRule="auto"/>
        <w:ind w:firstLine="284"/>
        <w:jc w:val="both"/>
        <w:rPr>
          <w:rFonts w:ascii="Garamond" w:hAnsi="Garamond"/>
          <w:sz w:val="24"/>
          <w:szCs w:val="24"/>
        </w:rPr>
      </w:pPr>
    </w:p>
    <w:p w14:paraId="0A14DEAC"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22</w:t>
      </w:r>
    </w:p>
    <w:p w14:paraId="5DAF208F" w14:textId="5F689D3E"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Hartëzimi dhe vetëvlerësimi i rreziqeve</w:t>
      </w:r>
      <w:r w:rsidR="00FC66CD">
        <w:rPr>
          <w:rFonts w:ascii="Garamond" w:hAnsi="Garamond"/>
          <w:b/>
          <w:bCs/>
          <w:sz w:val="24"/>
          <w:szCs w:val="24"/>
        </w:rPr>
        <w:t>,</w:t>
      </w:r>
      <w:r w:rsidRPr="00474D79">
        <w:rPr>
          <w:rFonts w:ascii="Garamond" w:hAnsi="Garamond"/>
          <w:b/>
          <w:bCs/>
          <w:sz w:val="24"/>
          <w:szCs w:val="24"/>
        </w:rPr>
        <w:t xml:space="preserve"> dhe kontrolleve në fuqi</w:t>
      </w:r>
    </w:p>
    <w:p w14:paraId="2280F102" w14:textId="77777777" w:rsidR="00D20524" w:rsidRPr="00474D79" w:rsidRDefault="00D20524" w:rsidP="00D20524">
      <w:pPr>
        <w:spacing w:after="0" w:line="240" w:lineRule="auto"/>
        <w:ind w:firstLine="284"/>
        <w:jc w:val="center"/>
        <w:rPr>
          <w:rFonts w:ascii="Garamond" w:hAnsi="Garamond"/>
          <w:b/>
          <w:bCs/>
          <w:sz w:val="24"/>
          <w:szCs w:val="24"/>
        </w:rPr>
      </w:pPr>
    </w:p>
    <w:p w14:paraId="47AA9226" w14:textId="3FF7F909"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1. Subjekti zhvillon një metodologji të përshtatshme për hartëzimin e rreziqeve për proceset/nënproceset e punës/aktivitetet, për të gjitha linjat e biznesit dhe funksionet operacionale dhe mbështetëse të tyre, ku përcaktohen qartë hapat, rolet dhe përgjegjësitë e strukturave të përfshira në këtë proces, me qëllim monitorimin e proceseve dhe funksioneve me rreziqe të qenësishme (</w:t>
      </w:r>
      <w:r w:rsidRPr="00474D79">
        <w:rPr>
          <w:rFonts w:ascii="Garamond" w:hAnsi="Garamond"/>
          <w:i/>
          <w:iCs/>
          <w:sz w:val="24"/>
          <w:szCs w:val="24"/>
        </w:rPr>
        <w:t>inherent</w:t>
      </w:r>
      <w:r w:rsidRPr="00474D79">
        <w:rPr>
          <w:rFonts w:ascii="Garamond" w:hAnsi="Garamond"/>
          <w:sz w:val="24"/>
          <w:szCs w:val="24"/>
        </w:rPr>
        <w:t>), parandalimin e materializimit të tyre dhe vlerësimin e mjaftueshmërisë së eficiencës të kontrolleve në fuqi.</w:t>
      </w:r>
    </w:p>
    <w:p w14:paraId="75B58D06" w14:textId="271995E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2. Hartëzimi dhe vetëvlerësimi i rreziqeve kryhet të paktën një herë në vit. Ky proces mban në konsideratë të gjitha ndryshimet materiale në strukturën organizative, aktivitetet, sistemet dhe kuadrin rregullativ që kanë ndodhur përgjatë periudhës së rishikimit, duke konfirmuar vlefshmërinë e vlerësimeve të një periudhe më parë, të pandikuara nga ndryshimet dhe duke siguruar përfshirjen e vlerësimeve të reja të ndikuara nga këto ndryshime.</w:t>
      </w:r>
    </w:p>
    <w:p w14:paraId="50F01B7C" w14:textId="142BDAEC"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3. Hartëzimi dhe vetëvlerësimi i rreziqeve dhe kontrolleve në fuqi materializohet në katër hapa si vijon:</w:t>
      </w:r>
    </w:p>
    <w:p w14:paraId="265B4B13" w14:textId="4623B36D"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a) inventari i proceseve - </w:t>
      </w:r>
      <w:r w:rsidR="00FC66CD">
        <w:rPr>
          <w:rFonts w:ascii="Garamond" w:hAnsi="Garamond"/>
          <w:sz w:val="24"/>
          <w:szCs w:val="24"/>
        </w:rPr>
        <w:t>h</w:t>
      </w:r>
      <w:r w:rsidRPr="00474D79">
        <w:rPr>
          <w:rFonts w:ascii="Garamond" w:hAnsi="Garamond"/>
          <w:sz w:val="24"/>
          <w:szCs w:val="24"/>
        </w:rPr>
        <w:t>artëzimi i rreziqeve konsiston në ndarjen e çdo aktiviteti në procese dhe nënprocese. Çdo proces/nënproces përmban minimalisht informacionin e mëposhtëm:</w:t>
      </w:r>
    </w:p>
    <w:p w14:paraId="175BE861" w14:textId="62A742DF" w:rsidR="00D20524" w:rsidRPr="00474D79" w:rsidRDefault="00D20524" w:rsidP="00D20524">
      <w:pPr>
        <w:tabs>
          <w:tab w:val="left" w:pos="1420"/>
        </w:tabs>
        <w:spacing w:after="0" w:line="240" w:lineRule="auto"/>
        <w:ind w:firstLine="284"/>
        <w:rPr>
          <w:rFonts w:ascii="Garamond" w:hAnsi="Garamond"/>
          <w:sz w:val="24"/>
          <w:szCs w:val="24"/>
        </w:rPr>
      </w:pPr>
      <w:r w:rsidRPr="00474D79">
        <w:rPr>
          <w:rFonts w:ascii="Garamond" w:hAnsi="Garamond"/>
          <w:sz w:val="24"/>
          <w:szCs w:val="24"/>
        </w:rPr>
        <w:t>i. emrin e procesit/nënprocesit, qëllimin dhe llojin e aktivitetit ku bën pjesë,</w:t>
      </w:r>
    </w:p>
    <w:p w14:paraId="3BEE87DD" w14:textId="6FFDBCF2" w:rsidR="00D20524" w:rsidRPr="00474D79" w:rsidRDefault="00D20524" w:rsidP="00D20524">
      <w:pPr>
        <w:tabs>
          <w:tab w:val="left" w:pos="1420"/>
        </w:tabs>
        <w:spacing w:after="0" w:line="240" w:lineRule="auto"/>
        <w:ind w:firstLine="284"/>
        <w:rPr>
          <w:rFonts w:ascii="Garamond" w:hAnsi="Garamond"/>
          <w:sz w:val="24"/>
          <w:szCs w:val="24"/>
        </w:rPr>
      </w:pPr>
      <w:r w:rsidRPr="00474D79">
        <w:rPr>
          <w:rFonts w:ascii="Garamond" w:hAnsi="Garamond"/>
          <w:sz w:val="24"/>
          <w:szCs w:val="24"/>
        </w:rPr>
        <w:t>ii. strukturën përgjegjëse (</w:t>
      </w:r>
      <w:r w:rsidRPr="00474D79">
        <w:rPr>
          <w:rFonts w:ascii="Garamond" w:hAnsi="Garamond"/>
          <w:i/>
          <w:iCs/>
          <w:sz w:val="24"/>
          <w:szCs w:val="24"/>
        </w:rPr>
        <w:t>owner</w:t>
      </w:r>
      <w:r w:rsidRPr="00474D79">
        <w:rPr>
          <w:rFonts w:ascii="Garamond" w:hAnsi="Garamond"/>
          <w:sz w:val="24"/>
          <w:szCs w:val="24"/>
        </w:rPr>
        <w:t>) të procesit/nënprocesit,</w:t>
      </w:r>
    </w:p>
    <w:p w14:paraId="48DEECB8" w14:textId="522D7F68" w:rsidR="00D20524" w:rsidRPr="00474D79" w:rsidRDefault="00D20524" w:rsidP="00D20524">
      <w:pPr>
        <w:tabs>
          <w:tab w:val="left" w:pos="1420"/>
        </w:tabs>
        <w:spacing w:after="0" w:line="240" w:lineRule="auto"/>
        <w:ind w:firstLine="284"/>
        <w:rPr>
          <w:rFonts w:ascii="Garamond" w:hAnsi="Garamond"/>
          <w:sz w:val="24"/>
          <w:szCs w:val="24"/>
        </w:rPr>
      </w:pPr>
      <w:r w:rsidRPr="00474D79">
        <w:rPr>
          <w:rFonts w:ascii="Garamond" w:hAnsi="Garamond"/>
          <w:sz w:val="24"/>
          <w:szCs w:val="24"/>
        </w:rPr>
        <w:t>iii. frekuencën e procesit/nënprocesit,</w:t>
      </w:r>
    </w:p>
    <w:p w14:paraId="2B2C3AF8" w14:textId="0A912DE3" w:rsidR="00D20524" w:rsidRPr="00474D79" w:rsidRDefault="00D20524" w:rsidP="00D20524">
      <w:pPr>
        <w:tabs>
          <w:tab w:val="left" w:pos="1420"/>
        </w:tabs>
        <w:spacing w:after="0" w:line="240" w:lineRule="auto"/>
        <w:ind w:firstLine="284"/>
        <w:rPr>
          <w:rFonts w:ascii="Garamond" w:hAnsi="Garamond"/>
          <w:sz w:val="24"/>
          <w:szCs w:val="24"/>
        </w:rPr>
      </w:pPr>
      <w:r w:rsidRPr="00474D79">
        <w:rPr>
          <w:rFonts w:ascii="Garamond" w:hAnsi="Garamond"/>
          <w:sz w:val="24"/>
          <w:szCs w:val="24"/>
        </w:rPr>
        <w:t>iv. maksimumin e kohës që pranohet për moskryerjen e procesit/nënprocesit;</w:t>
      </w:r>
    </w:p>
    <w:p w14:paraId="5ADEF3B0" w14:textId="2AB7EEB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b) hartëzimi i rreziqeve - </w:t>
      </w:r>
      <w:r w:rsidR="00FC66CD" w:rsidRPr="00474D79">
        <w:rPr>
          <w:rFonts w:ascii="Garamond" w:hAnsi="Garamond"/>
          <w:sz w:val="24"/>
          <w:szCs w:val="24"/>
        </w:rPr>
        <w:t>ç</w:t>
      </w:r>
      <w:r w:rsidRPr="00474D79">
        <w:rPr>
          <w:rFonts w:ascii="Garamond" w:hAnsi="Garamond"/>
          <w:sz w:val="24"/>
          <w:szCs w:val="24"/>
        </w:rPr>
        <w:t>do proces/nënproces i përcaktuar në inventar identifikohet në një prej ngjarjeve të rrezikut, në përputhje me anekset nr. 6</w:t>
      </w:r>
      <w:r w:rsidR="00FC66CD">
        <w:rPr>
          <w:rFonts w:ascii="Garamond" w:hAnsi="Garamond"/>
          <w:sz w:val="24"/>
          <w:szCs w:val="24"/>
        </w:rPr>
        <w:t>–</w:t>
      </w:r>
      <w:r w:rsidRPr="00474D79">
        <w:rPr>
          <w:rFonts w:ascii="Garamond" w:hAnsi="Garamond"/>
          <w:sz w:val="24"/>
          <w:szCs w:val="24"/>
        </w:rPr>
        <w:t>13 të kësaj rregulloreje dhe shoqërohet nga një kod unik;</w:t>
      </w:r>
    </w:p>
    <w:p w14:paraId="36379E99" w14:textId="10222576"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c) vlerësimi i rrezikut - </w:t>
      </w:r>
      <w:r w:rsidR="00FC66CD">
        <w:rPr>
          <w:rFonts w:ascii="Garamond" w:hAnsi="Garamond"/>
          <w:sz w:val="24"/>
          <w:szCs w:val="24"/>
        </w:rPr>
        <w:t>p</w:t>
      </w:r>
      <w:r w:rsidRPr="00474D79">
        <w:rPr>
          <w:rFonts w:ascii="Garamond" w:hAnsi="Garamond"/>
          <w:sz w:val="24"/>
          <w:szCs w:val="24"/>
        </w:rPr>
        <w:t>ër çdo proces/nënproces kryhet vlerësimi i rrezikut</w:t>
      </w:r>
      <w:r w:rsidR="00FC66CD">
        <w:rPr>
          <w:rFonts w:ascii="Garamond" w:hAnsi="Garamond"/>
          <w:sz w:val="24"/>
          <w:szCs w:val="24"/>
        </w:rPr>
        <w:t>,</w:t>
      </w:r>
      <w:r w:rsidRPr="00474D79">
        <w:rPr>
          <w:rFonts w:ascii="Garamond" w:hAnsi="Garamond"/>
          <w:sz w:val="24"/>
          <w:szCs w:val="24"/>
        </w:rPr>
        <w:t xml:space="preserve"> me qëllim identifikimin e dobësive dhe përcaktimin e mënyrës së veprimit për administrimin e rrezikut sipas skenarëve të mëposhtëm:</w:t>
      </w:r>
    </w:p>
    <w:p w14:paraId="0ECC307F" w14:textId="4C01AA5D" w:rsidR="00D20524" w:rsidRPr="00474D79" w:rsidRDefault="00D20524" w:rsidP="00D20524">
      <w:pPr>
        <w:tabs>
          <w:tab w:val="left" w:pos="1420"/>
        </w:tabs>
        <w:spacing w:after="0" w:line="240" w:lineRule="auto"/>
        <w:ind w:firstLine="284"/>
        <w:jc w:val="both"/>
        <w:rPr>
          <w:rFonts w:ascii="Garamond" w:hAnsi="Garamond"/>
          <w:sz w:val="24"/>
          <w:szCs w:val="24"/>
        </w:rPr>
      </w:pPr>
      <w:r w:rsidRPr="00474D79">
        <w:rPr>
          <w:rFonts w:ascii="Garamond" w:hAnsi="Garamond"/>
          <w:sz w:val="24"/>
          <w:szCs w:val="24"/>
        </w:rPr>
        <w:t>i. njohje dhe pranim i rrezikut,</w:t>
      </w:r>
    </w:p>
    <w:p w14:paraId="4A6D349B" w14:textId="2A137B7B" w:rsidR="00D20524" w:rsidRPr="00474D79" w:rsidRDefault="00D20524" w:rsidP="00D20524">
      <w:pPr>
        <w:tabs>
          <w:tab w:val="left" w:pos="1420"/>
        </w:tabs>
        <w:spacing w:after="0" w:line="240" w:lineRule="auto"/>
        <w:ind w:firstLine="284"/>
        <w:jc w:val="both"/>
        <w:rPr>
          <w:rFonts w:ascii="Garamond" w:hAnsi="Garamond"/>
          <w:sz w:val="24"/>
          <w:szCs w:val="24"/>
        </w:rPr>
      </w:pPr>
      <w:r w:rsidRPr="00474D79">
        <w:rPr>
          <w:rFonts w:ascii="Garamond" w:hAnsi="Garamond"/>
          <w:sz w:val="24"/>
          <w:szCs w:val="24"/>
        </w:rPr>
        <w:t>ii. parandalim i rrezikut duke zvogëluar frekuencën e materializimit të tij,</w:t>
      </w:r>
    </w:p>
    <w:p w14:paraId="5A87E830" w14:textId="49686B70" w:rsidR="00D20524" w:rsidRPr="00474D79" w:rsidRDefault="00D20524" w:rsidP="00D20524">
      <w:pPr>
        <w:tabs>
          <w:tab w:val="left" w:pos="1420"/>
        </w:tabs>
        <w:spacing w:after="0" w:line="240" w:lineRule="auto"/>
        <w:ind w:firstLine="284"/>
        <w:jc w:val="both"/>
        <w:rPr>
          <w:rFonts w:ascii="Garamond" w:hAnsi="Garamond"/>
          <w:sz w:val="24"/>
          <w:szCs w:val="24"/>
        </w:rPr>
      </w:pPr>
      <w:r w:rsidRPr="00474D79">
        <w:rPr>
          <w:rFonts w:ascii="Garamond" w:hAnsi="Garamond"/>
          <w:sz w:val="24"/>
          <w:szCs w:val="24"/>
        </w:rPr>
        <w:t>iii. zbutje e rrezikut duke zvogëluar ndikimin e tij,</w:t>
      </w:r>
    </w:p>
    <w:p w14:paraId="2AE35706" w14:textId="6C085166" w:rsidR="00D20524" w:rsidRPr="00474D79" w:rsidRDefault="00D20524" w:rsidP="00D20524">
      <w:pPr>
        <w:tabs>
          <w:tab w:val="left" w:pos="1420"/>
        </w:tabs>
        <w:spacing w:after="0" w:line="240" w:lineRule="auto"/>
        <w:ind w:firstLine="284"/>
        <w:jc w:val="both"/>
        <w:rPr>
          <w:rFonts w:ascii="Garamond" w:hAnsi="Garamond"/>
          <w:sz w:val="24"/>
          <w:szCs w:val="24"/>
        </w:rPr>
      </w:pPr>
      <w:r w:rsidRPr="00474D79">
        <w:rPr>
          <w:rFonts w:ascii="Garamond" w:hAnsi="Garamond"/>
          <w:sz w:val="24"/>
          <w:szCs w:val="24"/>
        </w:rPr>
        <w:t>iv. transferim i rrezikut te një palë e tretë,</w:t>
      </w:r>
    </w:p>
    <w:p w14:paraId="6E8E55FF" w14:textId="0B57216F" w:rsidR="00D20524" w:rsidRPr="00474D79" w:rsidRDefault="00D20524" w:rsidP="00D20524">
      <w:pPr>
        <w:tabs>
          <w:tab w:val="left" w:pos="1420"/>
        </w:tabs>
        <w:spacing w:after="0" w:line="240" w:lineRule="auto"/>
        <w:ind w:firstLine="284"/>
        <w:jc w:val="both"/>
        <w:rPr>
          <w:rFonts w:ascii="Garamond" w:hAnsi="Garamond"/>
          <w:sz w:val="24"/>
          <w:szCs w:val="24"/>
        </w:rPr>
      </w:pPr>
      <w:r w:rsidRPr="00474D79">
        <w:rPr>
          <w:rFonts w:ascii="Garamond" w:hAnsi="Garamond"/>
          <w:sz w:val="24"/>
          <w:szCs w:val="24"/>
        </w:rPr>
        <w:t>v. mospranim i rrezikut;</w:t>
      </w:r>
    </w:p>
    <w:p w14:paraId="65860927" w14:textId="7481B51C"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d) niveli i kontrollit - </w:t>
      </w:r>
      <w:r w:rsidR="00FC66CD" w:rsidRPr="00474D79">
        <w:rPr>
          <w:rFonts w:ascii="Garamond" w:hAnsi="Garamond"/>
          <w:sz w:val="24"/>
          <w:szCs w:val="24"/>
        </w:rPr>
        <w:t>çd</w:t>
      </w:r>
      <w:r w:rsidRPr="00474D79">
        <w:rPr>
          <w:rFonts w:ascii="Garamond" w:hAnsi="Garamond"/>
          <w:sz w:val="24"/>
          <w:szCs w:val="24"/>
        </w:rPr>
        <w:t>o proces/nënproces i identifikuar në inventarin e proceseve si pjesë e hartëzimit dhe vlerësimit të rreziqeve, është subjekt i kontrolleve të ndryshme, në nivel të linjës së parë dhe linjës së dytë të mbrojtjes, që variojnë në formë dhe frekuencë. Çdo kontroll duhet të përmbajë minimalisht elementet e mëposhtme:</w:t>
      </w:r>
    </w:p>
    <w:p w14:paraId="6219FE33" w14:textId="391D4B65" w:rsidR="00D20524" w:rsidRPr="00474D79" w:rsidRDefault="00D20524" w:rsidP="00D20524">
      <w:pPr>
        <w:tabs>
          <w:tab w:val="left" w:pos="1420"/>
        </w:tabs>
        <w:spacing w:after="0" w:line="240" w:lineRule="auto"/>
        <w:ind w:firstLine="284"/>
        <w:jc w:val="both"/>
        <w:rPr>
          <w:rFonts w:ascii="Garamond" w:hAnsi="Garamond"/>
          <w:sz w:val="24"/>
          <w:szCs w:val="24"/>
        </w:rPr>
      </w:pPr>
      <w:r w:rsidRPr="00474D79">
        <w:rPr>
          <w:rFonts w:ascii="Garamond" w:hAnsi="Garamond"/>
          <w:sz w:val="24"/>
          <w:szCs w:val="24"/>
        </w:rPr>
        <w:t>i. përshkrimin e kontrollit,</w:t>
      </w:r>
    </w:p>
    <w:p w14:paraId="1A39CCFC" w14:textId="0607A521" w:rsidR="00D20524" w:rsidRPr="00474D79" w:rsidRDefault="00D20524" w:rsidP="00D20524">
      <w:pPr>
        <w:tabs>
          <w:tab w:val="left" w:pos="1420"/>
        </w:tabs>
        <w:spacing w:after="0" w:line="240" w:lineRule="auto"/>
        <w:ind w:firstLine="284"/>
        <w:jc w:val="both"/>
        <w:rPr>
          <w:rFonts w:ascii="Garamond" w:hAnsi="Garamond"/>
          <w:sz w:val="24"/>
          <w:szCs w:val="24"/>
        </w:rPr>
      </w:pPr>
      <w:r w:rsidRPr="00474D79">
        <w:rPr>
          <w:rFonts w:ascii="Garamond" w:hAnsi="Garamond"/>
          <w:sz w:val="24"/>
          <w:szCs w:val="24"/>
        </w:rPr>
        <w:t>ii. tipologjinë e kontrollit (autorizim, rikonsilim, akses në sistem, konfigurim sistemi, akses fizik, etj.),</w:t>
      </w:r>
    </w:p>
    <w:p w14:paraId="3679ACF3" w14:textId="0B69BE4F" w:rsidR="00D20524" w:rsidRPr="00474D79" w:rsidRDefault="00D20524" w:rsidP="00D20524">
      <w:pPr>
        <w:tabs>
          <w:tab w:val="left" w:pos="1420"/>
        </w:tabs>
        <w:spacing w:after="0" w:line="240" w:lineRule="auto"/>
        <w:ind w:firstLine="284"/>
        <w:jc w:val="both"/>
        <w:rPr>
          <w:rFonts w:ascii="Garamond" w:hAnsi="Garamond"/>
          <w:sz w:val="24"/>
          <w:szCs w:val="24"/>
        </w:rPr>
      </w:pPr>
      <w:r w:rsidRPr="00474D79">
        <w:rPr>
          <w:rFonts w:ascii="Garamond" w:hAnsi="Garamond"/>
          <w:sz w:val="24"/>
          <w:szCs w:val="24"/>
        </w:rPr>
        <w:t>iii. strukturën përgjegjëse (</w:t>
      </w:r>
      <w:r w:rsidRPr="00474D79">
        <w:rPr>
          <w:rFonts w:ascii="Garamond" w:hAnsi="Garamond"/>
          <w:i/>
          <w:iCs/>
          <w:sz w:val="24"/>
          <w:szCs w:val="24"/>
        </w:rPr>
        <w:t>owner</w:t>
      </w:r>
      <w:r w:rsidRPr="00474D79">
        <w:rPr>
          <w:rFonts w:ascii="Garamond" w:hAnsi="Garamond"/>
          <w:sz w:val="24"/>
          <w:szCs w:val="24"/>
        </w:rPr>
        <w:t>) për zbatimin e kontrollit,</w:t>
      </w:r>
    </w:p>
    <w:p w14:paraId="74ECB21A" w14:textId="63B6FE22" w:rsidR="00D20524" w:rsidRPr="00474D79" w:rsidRDefault="00D20524" w:rsidP="00D20524">
      <w:pPr>
        <w:tabs>
          <w:tab w:val="left" w:pos="1420"/>
        </w:tabs>
        <w:spacing w:after="0" w:line="240" w:lineRule="auto"/>
        <w:ind w:firstLine="284"/>
        <w:jc w:val="both"/>
        <w:rPr>
          <w:rFonts w:ascii="Garamond" w:hAnsi="Garamond"/>
          <w:sz w:val="24"/>
          <w:szCs w:val="24"/>
        </w:rPr>
      </w:pPr>
      <w:r w:rsidRPr="00474D79">
        <w:rPr>
          <w:rFonts w:ascii="Garamond" w:hAnsi="Garamond"/>
          <w:sz w:val="24"/>
          <w:szCs w:val="24"/>
        </w:rPr>
        <w:lastRenderedPageBreak/>
        <w:t>iv. frekuencën e kryerjes së kontrollit.</w:t>
      </w:r>
    </w:p>
    <w:p w14:paraId="377988C1" w14:textId="2F0DEA76"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4. Vlerësimi i rrezikut i parashikuar në shkronjën “c”</w:t>
      </w:r>
      <w:r w:rsidR="00FC66CD">
        <w:rPr>
          <w:rFonts w:ascii="Garamond" w:hAnsi="Garamond"/>
          <w:sz w:val="24"/>
          <w:szCs w:val="24"/>
        </w:rPr>
        <w:t>,</w:t>
      </w:r>
      <w:r w:rsidRPr="00474D79">
        <w:rPr>
          <w:rFonts w:ascii="Garamond" w:hAnsi="Garamond"/>
          <w:sz w:val="24"/>
          <w:szCs w:val="24"/>
        </w:rPr>
        <w:t xml:space="preserve"> të pikës 3 të këtij neni, konsiston të paktën në vlerësimin e:</w:t>
      </w:r>
    </w:p>
    <w:p w14:paraId="4C8030F3" w14:textId="2684B3E5"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a) humbjes së pritshme vjetore;</w:t>
      </w:r>
    </w:p>
    <w:p w14:paraId="6CE2B623" w14:textId="3D8B7E5B"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b) humbjes maksimale të mundshme sipas skenarit të rënduar;</w:t>
      </w:r>
    </w:p>
    <w:p w14:paraId="50725114" w14:textId="334C3D05"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c) frekuencës së humbjes maksimale të mundshme sipas skenarit të rënduar;</w:t>
      </w:r>
    </w:p>
    <w:p w14:paraId="4C9D498D" w14:textId="05BA43D4"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d) ndikimit jofinanciar (humbjes reputacionale, sipas klasave të përcaktuara në metodologji);</w:t>
      </w:r>
    </w:p>
    <w:p w14:paraId="491B8588" w14:textId="151A5772"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e) cilësisë së kontrollit (sipas klasave të përcaktuara në metodologji).</w:t>
      </w:r>
    </w:p>
    <w:p w14:paraId="3FDE8E0B" w14:textId="43E86AF0"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5. Kontrollet e parashikuara në shkronjën “d”</w:t>
      </w:r>
      <w:r w:rsidR="00FC66CD">
        <w:rPr>
          <w:rFonts w:ascii="Garamond" w:hAnsi="Garamond"/>
          <w:sz w:val="24"/>
          <w:szCs w:val="24"/>
        </w:rPr>
        <w:t>,</w:t>
      </w:r>
      <w:r w:rsidRPr="00474D79">
        <w:rPr>
          <w:rFonts w:ascii="Garamond" w:hAnsi="Garamond"/>
          <w:sz w:val="24"/>
          <w:szCs w:val="24"/>
        </w:rPr>
        <w:t xml:space="preserve"> të pikës 3 të këtij neni, për çdo proces/nënproces, i nënshtrohen një procesi raportimi të formalizuar. Raportimet dhe rezultatet e kontrolleve duhet të përmbajnë minimalisht informacionin e mëposhtëm:</w:t>
      </w:r>
    </w:p>
    <w:p w14:paraId="57FC1B74" w14:textId="149EE5CE"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a) rezultatin e kontrollit sipas një vlerësimi metodologjik të përshkallëzuar në disa klasa (p.sh. e gjelbër/e verdhë/portokalli/e kuqe);</w:t>
      </w:r>
    </w:p>
    <w:p w14:paraId="7DB61AB6" w14:textId="4B912F90"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b) vlerën e rezultatit, nëse është e aplikueshme (p.sh. 100%, diferencë 0, ditë në vonesë, po/jo, etj.);</w:t>
      </w:r>
    </w:p>
    <w:p w14:paraId="4E2BB5B2" w14:textId="2979BCC1"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c) një koment të qartë dhe të shkurtër mbi kontrollin e kryer;</w:t>
      </w:r>
    </w:p>
    <w:p w14:paraId="7DE657FC" w14:textId="5EBDA92D" w:rsidR="00D20524" w:rsidRPr="00474D79" w:rsidRDefault="00D20524" w:rsidP="00D20524">
      <w:pPr>
        <w:pStyle w:val="ListParagraph"/>
        <w:spacing w:after="0" w:line="240" w:lineRule="auto"/>
        <w:ind w:left="0" w:firstLine="284"/>
        <w:jc w:val="both"/>
        <w:rPr>
          <w:rFonts w:ascii="Garamond" w:hAnsi="Garamond"/>
          <w:sz w:val="24"/>
          <w:szCs w:val="24"/>
        </w:rPr>
      </w:pPr>
      <w:r w:rsidRPr="00474D79">
        <w:rPr>
          <w:rFonts w:ascii="Garamond" w:hAnsi="Garamond"/>
          <w:sz w:val="24"/>
          <w:szCs w:val="24"/>
        </w:rPr>
        <w:t>d) dokumentacionin që mbështet rezultatin e kontrollit dhe ndihmon eventualisht në hartimin e një plani korrigjues.</w:t>
      </w:r>
    </w:p>
    <w:p w14:paraId="08CA5516" w14:textId="5C288CD0"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6. Efektiviteti i kontrolleve dhe cilësia e ekzekutimit të tyre është objekt i procesit të kontrollit të vazhdueshëm, në mënyrë që subjekti të ushtrojë veprimtarinë e tij në mënyrë të sigurt, në përputhje me kuadrin e brendshëm rregullativ dhe kuadrin ligjor e rregullativ të Bankës së Shqipërisë.</w:t>
      </w:r>
    </w:p>
    <w:p w14:paraId="552EEE41" w14:textId="54287A3D"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7. Struktura e pavarur e administrimit të rrezikut operacional planifikon dhe ndjek realizimin e procesit të hartëzimit</w:t>
      </w:r>
      <w:r w:rsidR="00DF4FB7">
        <w:rPr>
          <w:rFonts w:ascii="Garamond" w:hAnsi="Garamond"/>
          <w:sz w:val="24"/>
          <w:szCs w:val="24"/>
        </w:rPr>
        <w:t>,</w:t>
      </w:r>
      <w:r w:rsidRPr="00474D79">
        <w:rPr>
          <w:rFonts w:ascii="Garamond" w:hAnsi="Garamond"/>
          <w:sz w:val="24"/>
          <w:szCs w:val="24"/>
        </w:rPr>
        <w:t xml:space="preserve"> dhe vetëvlerësimit të rreziqeve dhe kontrolleve në fuqi, me mbështetjen e organeve drejtuese të subjektit.</w:t>
      </w:r>
    </w:p>
    <w:p w14:paraId="04771579" w14:textId="2FE6626F"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8. Procesi i hartëzimit dhe vetëvlerësimit të rreziqeve dhe kontrolleve realizohet nga vetë strukturat përgjegjëse (</w:t>
      </w:r>
      <w:r w:rsidRPr="00474D79">
        <w:rPr>
          <w:rFonts w:ascii="Garamond" w:hAnsi="Garamond"/>
          <w:i/>
          <w:iCs/>
          <w:sz w:val="24"/>
          <w:szCs w:val="24"/>
        </w:rPr>
        <w:t>owner</w:t>
      </w:r>
      <w:r w:rsidRPr="00474D79">
        <w:rPr>
          <w:rFonts w:ascii="Garamond" w:hAnsi="Garamond"/>
          <w:sz w:val="24"/>
          <w:szCs w:val="24"/>
        </w:rPr>
        <w:t>) për proceset/nënproceset, në bashkëpunim me strukturën e pavarur të administrimit të rrezikut operacional.</w:t>
      </w:r>
    </w:p>
    <w:p w14:paraId="677F7EF9" w14:textId="52E1FFFE"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9. Çdo proces/nënproces i nënshtrohet një vlerësimi përfundimtar të rrezikut, të diferencuar në disa klasa dhe të përcaktuar sipas një metodologjie të brendshme të subjektit. Në vlerësimin përfundimtar të shkallës së rrezikut, subjekti mban në konsideratë të paktën kombinimin e elementeve të mëposhtm</w:t>
      </w:r>
      <w:r w:rsidR="00EA61B0">
        <w:rPr>
          <w:rFonts w:ascii="Garamond" w:hAnsi="Garamond"/>
          <w:sz w:val="24"/>
          <w:szCs w:val="24"/>
        </w:rPr>
        <w:t>e</w:t>
      </w:r>
      <w:r w:rsidRPr="00474D79">
        <w:rPr>
          <w:rFonts w:ascii="Garamond" w:hAnsi="Garamond"/>
          <w:sz w:val="24"/>
          <w:szCs w:val="24"/>
        </w:rPr>
        <w:t>:</w:t>
      </w:r>
    </w:p>
    <w:p w14:paraId="21370341" w14:textId="0818C02B"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a) nivelin e humbjeve të pritshme;</w:t>
      </w:r>
    </w:p>
    <w:p w14:paraId="5684A490" w14:textId="27955A12"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b) shkallën e ndikimit jofinanciar;</w:t>
      </w:r>
    </w:p>
    <w:p w14:paraId="39A9FAE2" w14:textId="378D56F8"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c) cilësinë e kontrollit.</w:t>
      </w:r>
    </w:p>
    <w:p w14:paraId="490A9062" w14:textId="08A346BE"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10. Proceset/nënproceset të cilat vlerësohen me rrezik të lartë (kritik), sipas metodologjisë së brendshme të subjektit, janë pjesë e kontrollit të vazhdueshëm. Ata janë objekt i kontrolleve shtesë dhe efektive nga strukturat përgjegjëse (</w:t>
      </w:r>
      <w:r w:rsidRPr="00474D79">
        <w:rPr>
          <w:rFonts w:ascii="Garamond" w:hAnsi="Garamond"/>
          <w:i/>
          <w:iCs/>
          <w:sz w:val="24"/>
          <w:szCs w:val="24"/>
        </w:rPr>
        <w:t>owner</w:t>
      </w:r>
      <w:r w:rsidRPr="00474D79">
        <w:rPr>
          <w:rFonts w:ascii="Garamond" w:hAnsi="Garamond"/>
          <w:sz w:val="24"/>
          <w:szCs w:val="24"/>
        </w:rPr>
        <w:t>) të procesit, në bashkëpunim me njësinë e administrimit të rrezikut operacional. Subjekti sigurohet për zbatimin dhe efektivitetin e kontrolleve nëpërmjet raportimeve sipas një frekuence të bashkërenduar.</w:t>
      </w:r>
    </w:p>
    <w:p w14:paraId="3551E91A" w14:textId="77777777" w:rsidR="00D20524" w:rsidRPr="00474D79" w:rsidRDefault="00D20524" w:rsidP="00D20524">
      <w:pPr>
        <w:spacing w:after="0" w:line="240" w:lineRule="auto"/>
        <w:ind w:firstLine="284"/>
        <w:jc w:val="center"/>
        <w:rPr>
          <w:rFonts w:ascii="Garamond" w:hAnsi="Garamond"/>
          <w:b/>
          <w:bCs/>
          <w:sz w:val="24"/>
          <w:szCs w:val="24"/>
        </w:rPr>
      </w:pPr>
    </w:p>
    <w:p w14:paraId="22685AB2"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23</w:t>
      </w:r>
    </w:p>
    <w:p w14:paraId="186C26BF"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Analiza e skenarëve</w:t>
      </w:r>
    </w:p>
    <w:p w14:paraId="68350864" w14:textId="77777777" w:rsidR="00D20524" w:rsidRPr="00474D79" w:rsidRDefault="00D20524" w:rsidP="00D20524">
      <w:pPr>
        <w:spacing w:after="0" w:line="240" w:lineRule="auto"/>
        <w:ind w:firstLine="284"/>
        <w:jc w:val="both"/>
        <w:rPr>
          <w:rFonts w:ascii="Garamond" w:hAnsi="Garamond"/>
          <w:sz w:val="24"/>
          <w:szCs w:val="24"/>
        </w:rPr>
      </w:pPr>
    </w:p>
    <w:p w14:paraId="08173D30" w14:textId="523C23C4" w:rsidR="00D20524" w:rsidRPr="00474D79" w:rsidRDefault="00D20524" w:rsidP="00D20524">
      <w:pPr>
        <w:pStyle w:val="TEKSTIIII"/>
      </w:pPr>
      <w:r w:rsidRPr="00474D79">
        <w:t xml:space="preserve">1. Subjekti përdor analiza skenarësh për të vlerësuar ekspozimin ndaj rreziqeve, kryesisht atyre me impakt të lartë financiar dhe probabilitet të ulët për të ndodhur. Nëpërmjet analizës së skenarëve subjekti merr informacion të vlefshëm për shkaqet dhe pasojat e materializimit </w:t>
      </w:r>
      <w:r w:rsidRPr="00474D79">
        <w:lastRenderedPageBreak/>
        <w:t>të ngjarjeve të rëndësishme, rezultate të cilat mund të përdoren në planin e vazhdimësisë së veprimtarisë gjatë testimit të qëndrueshmërisë operacionale (</w:t>
      </w:r>
      <w:r w:rsidRPr="00474D79">
        <w:rPr>
          <w:i/>
          <w:iCs/>
        </w:rPr>
        <w:t>operational resilience</w:t>
      </w:r>
      <w:r w:rsidRPr="00474D79">
        <w:t>).</w:t>
      </w:r>
    </w:p>
    <w:p w14:paraId="7E931F11" w14:textId="345B01DC" w:rsidR="00D20524" w:rsidRPr="00474D79" w:rsidRDefault="00D20524" w:rsidP="00D20524">
      <w:pPr>
        <w:pStyle w:val="TEKSTIIII"/>
      </w:pPr>
      <w:r w:rsidRPr="00474D79">
        <w:t>2. Analiza e skenarëve bazohet në vlerësime subjektive, të cilat prodhohen nëpërmjet takimeve të zhvilluara midis strukturës përgjegjëse për administrimin e rrezikut operacional dhe ekspertëve të ndryshëm të aktivitetit të subjektit.</w:t>
      </w:r>
    </w:p>
    <w:p w14:paraId="6D1BDE10" w14:textId="6DC68351" w:rsidR="00D20524" w:rsidRPr="00474D79" w:rsidRDefault="00D20524" w:rsidP="00D20524">
      <w:pPr>
        <w:pStyle w:val="TEKSTIIII"/>
      </w:pPr>
      <w:r w:rsidRPr="00474D79">
        <w:t>3. Zakonisht analizat e skenarëve përdorin si të dhëna, informacione nga:</w:t>
      </w:r>
    </w:p>
    <w:p w14:paraId="6122F4A3" w14:textId="26EAB3D4" w:rsidR="00D20524" w:rsidRPr="00474D79" w:rsidRDefault="00D20524" w:rsidP="00D20524">
      <w:pPr>
        <w:pStyle w:val="TEKSTIIII"/>
      </w:pPr>
      <w:r w:rsidRPr="00474D79">
        <w:t xml:space="preserve">a) baza e të dhënave të ngjarjeve të rrezikut operacional të subjektit; </w:t>
      </w:r>
    </w:p>
    <w:p w14:paraId="150FEF8D" w14:textId="798FA7E3" w:rsidR="00D20524" w:rsidRPr="00474D79" w:rsidRDefault="00D20524" w:rsidP="00D20524">
      <w:pPr>
        <w:pStyle w:val="TEKSTIIII"/>
      </w:pPr>
      <w:r w:rsidRPr="00474D79">
        <w:t xml:space="preserve">b) informacione të jashtme, nga tregu; </w:t>
      </w:r>
    </w:p>
    <w:p w14:paraId="1F65C200" w14:textId="0AF9F223" w:rsidR="00D20524" w:rsidRPr="00474D79" w:rsidRDefault="00D20524" w:rsidP="00D20524">
      <w:pPr>
        <w:pStyle w:val="TEKSTIIII"/>
      </w:pPr>
      <w:r w:rsidRPr="00474D79">
        <w:t xml:space="preserve">c) procesi i vetëvlerësimit të rreziqeve; </w:t>
      </w:r>
    </w:p>
    <w:p w14:paraId="1DD0424F" w14:textId="4D1804DD"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d) sistemi i kontrollit të brendshëm;</w:t>
      </w:r>
    </w:p>
    <w:p w14:paraId="598C8F0A" w14:textId="0B13886E"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e) treguesit e paralajmërimit të hershëm;</w:t>
      </w:r>
    </w:p>
    <w:p w14:paraId="00585145" w14:textId="62A2B080"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f) analiza e shkakut kryesor (</w:t>
      </w:r>
      <w:r w:rsidRPr="00474D79">
        <w:rPr>
          <w:rFonts w:ascii="Garamond" w:hAnsi="Garamond"/>
          <w:i/>
          <w:iCs/>
          <w:sz w:val="24"/>
          <w:szCs w:val="24"/>
        </w:rPr>
        <w:t>root-cause</w:t>
      </w:r>
      <w:r w:rsidRPr="00474D79">
        <w:rPr>
          <w:rFonts w:ascii="Garamond" w:hAnsi="Garamond"/>
          <w:sz w:val="24"/>
          <w:szCs w:val="24"/>
        </w:rPr>
        <w:t>);</w:t>
      </w:r>
    </w:p>
    <w:p w14:paraId="5732875A" w14:textId="16BDFA94"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 xml:space="preserve">g) analiza e proceseve. </w:t>
      </w:r>
    </w:p>
    <w:p w14:paraId="487F65E2" w14:textId="77777777" w:rsidR="00D20524" w:rsidRPr="00474D79" w:rsidRDefault="00D20524" w:rsidP="00D20524">
      <w:pPr>
        <w:spacing w:after="0" w:line="240" w:lineRule="auto"/>
        <w:ind w:firstLine="284"/>
        <w:rPr>
          <w:rFonts w:ascii="Garamond" w:hAnsi="Garamond"/>
          <w:sz w:val="24"/>
          <w:szCs w:val="24"/>
        </w:rPr>
      </w:pPr>
    </w:p>
    <w:p w14:paraId="5A745D53" w14:textId="77777777" w:rsidR="00D20524" w:rsidRPr="00DF4FB7" w:rsidRDefault="00D20524" w:rsidP="00D20524">
      <w:pPr>
        <w:spacing w:after="0" w:line="240" w:lineRule="auto"/>
        <w:ind w:firstLine="284"/>
        <w:jc w:val="center"/>
        <w:rPr>
          <w:rFonts w:ascii="Garamond" w:hAnsi="Garamond"/>
          <w:bCs/>
          <w:sz w:val="24"/>
          <w:szCs w:val="24"/>
        </w:rPr>
      </w:pPr>
      <w:r w:rsidRPr="00DF4FB7">
        <w:rPr>
          <w:rFonts w:ascii="Garamond" w:hAnsi="Garamond"/>
          <w:bCs/>
          <w:sz w:val="24"/>
          <w:szCs w:val="24"/>
        </w:rPr>
        <w:t>KREU III</w:t>
      </w:r>
    </w:p>
    <w:p w14:paraId="3D2D2B45" w14:textId="77777777" w:rsidR="00D20524" w:rsidRPr="00DF4FB7" w:rsidRDefault="00D20524" w:rsidP="00D20524">
      <w:pPr>
        <w:spacing w:after="0" w:line="240" w:lineRule="auto"/>
        <w:ind w:firstLine="284"/>
        <w:jc w:val="center"/>
        <w:rPr>
          <w:rFonts w:ascii="Garamond" w:hAnsi="Garamond"/>
          <w:bCs/>
          <w:sz w:val="24"/>
          <w:szCs w:val="24"/>
        </w:rPr>
      </w:pPr>
      <w:r w:rsidRPr="00DF4FB7">
        <w:rPr>
          <w:rFonts w:ascii="Garamond" w:hAnsi="Garamond"/>
          <w:bCs/>
          <w:sz w:val="24"/>
          <w:szCs w:val="24"/>
        </w:rPr>
        <w:t>TË TJERA</w:t>
      </w:r>
    </w:p>
    <w:p w14:paraId="08E1C20C" w14:textId="77777777" w:rsidR="00D20524" w:rsidRPr="00DF4FB7" w:rsidRDefault="00D20524" w:rsidP="00D20524">
      <w:pPr>
        <w:spacing w:after="0" w:line="240" w:lineRule="auto"/>
        <w:ind w:firstLine="284"/>
        <w:jc w:val="center"/>
        <w:rPr>
          <w:rFonts w:ascii="Garamond" w:hAnsi="Garamond"/>
          <w:bCs/>
          <w:sz w:val="24"/>
          <w:szCs w:val="24"/>
        </w:rPr>
      </w:pPr>
    </w:p>
    <w:p w14:paraId="57DE00E1"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24</w:t>
      </w:r>
    </w:p>
    <w:p w14:paraId="7AD48C41"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Masat mbikëqyrëse dhe ndëshkimore</w:t>
      </w:r>
    </w:p>
    <w:p w14:paraId="4715959F" w14:textId="77777777" w:rsidR="00D20524" w:rsidRPr="00474D79" w:rsidRDefault="00D20524" w:rsidP="00D20524">
      <w:pPr>
        <w:spacing w:after="0" w:line="240" w:lineRule="auto"/>
        <w:ind w:firstLine="284"/>
        <w:jc w:val="center"/>
        <w:rPr>
          <w:rFonts w:ascii="Garamond" w:hAnsi="Garamond"/>
          <w:b/>
          <w:bCs/>
          <w:sz w:val="24"/>
          <w:szCs w:val="24"/>
        </w:rPr>
      </w:pPr>
    </w:p>
    <w:p w14:paraId="2219BFEB" w14:textId="7777777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Banka e Shqipërisë, në rast të mosplotësimit të kërkesave të kësaj rregulloreje, zbaton masat mbikëqyrëse dhe/ose ndëshkimore të parashikuara në ligjin “Për bankat” dhe në ligjin “Për shërbimet e pagesave”.</w:t>
      </w:r>
    </w:p>
    <w:p w14:paraId="50E454F7"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629C6337"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25</w:t>
      </w:r>
    </w:p>
    <w:p w14:paraId="24972CDE"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Fillimi i efekteve</w:t>
      </w:r>
    </w:p>
    <w:p w14:paraId="56A10C1A" w14:textId="77777777" w:rsidR="00D20524" w:rsidRPr="00474D79" w:rsidRDefault="00D20524" w:rsidP="00D20524">
      <w:pPr>
        <w:spacing w:after="0" w:line="240" w:lineRule="auto"/>
        <w:ind w:firstLine="284"/>
        <w:jc w:val="both"/>
        <w:rPr>
          <w:rFonts w:ascii="Garamond" w:hAnsi="Garamond"/>
          <w:sz w:val="24"/>
          <w:szCs w:val="24"/>
        </w:rPr>
      </w:pPr>
    </w:p>
    <w:p w14:paraId="7B5A17E9" w14:textId="22631DFB"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1. Kjo rregullore i fillon efektet nga data 1 mars 2025.</w:t>
      </w:r>
    </w:p>
    <w:p w14:paraId="4A543703" w14:textId="0774ACAE"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2. Subjektet, deri në datën 1 mars 2025, marrin masa për plotësimin e kërkesave të rregullores.</w:t>
      </w:r>
    </w:p>
    <w:p w14:paraId="1BCF4130" w14:textId="77777777" w:rsidR="00D20524" w:rsidRPr="00474D79" w:rsidRDefault="00D20524" w:rsidP="00D20524">
      <w:pPr>
        <w:tabs>
          <w:tab w:val="left" w:pos="360"/>
        </w:tabs>
        <w:spacing w:after="0" w:line="240" w:lineRule="auto"/>
        <w:ind w:firstLine="284"/>
        <w:jc w:val="both"/>
        <w:rPr>
          <w:rFonts w:ascii="Garamond" w:hAnsi="Garamond"/>
          <w:b/>
          <w:bCs/>
          <w:sz w:val="24"/>
          <w:szCs w:val="24"/>
        </w:rPr>
      </w:pPr>
    </w:p>
    <w:p w14:paraId="790492C5" w14:textId="77777777" w:rsidR="00D20524" w:rsidRPr="00474D79" w:rsidRDefault="00D20524" w:rsidP="00D20524">
      <w:pPr>
        <w:spacing w:after="0" w:line="240" w:lineRule="auto"/>
        <w:ind w:firstLine="284"/>
        <w:jc w:val="center"/>
        <w:rPr>
          <w:rFonts w:ascii="Garamond" w:hAnsi="Garamond"/>
          <w:b/>
          <w:bCs/>
          <w:sz w:val="24"/>
          <w:szCs w:val="24"/>
        </w:rPr>
      </w:pPr>
    </w:p>
    <w:p w14:paraId="3F7F8295" w14:textId="77777777" w:rsidR="00D20524" w:rsidRPr="00474D79" w:rsidRDefault="00D20524" w:rsidP="00D20524">
      <w:pPr>
        <w:spacing w:after="0" w:line="240" w:lineRule="auto"/>
        <w:ind w:firstLine="284"/>
        <w:jc w:val="center"/>
        <w:rPr>
          <w:rFonts w:ascii="Garamond" w:hAnsi="Garamond"/>
          <w:bCs/>
          <w:sz w:val="24"/>
          <w:szCs w:val="24"/>
        </w:rPr>
      </w:pPr>
      <w:r w:rsidRPr="00474D79">
        <w:rPr>
          <w:rFonts w:ascii="Garamond" w:hAnsi="Garamond"/>
          <w:bCs/>
          <w:sz w:val="24"/>
          <w:szCs w:val="24"/>
        </w:rPr>
        <w:t>Neni 26</w:t>
      </w:r>
    </w:p>
    <w:p w14:paraId="19C16114" w14:textId="77777777" w:rsidR="00D20524" w:rsidRPr="00474D79" w:rsidRDefault="00D20524" w:rsidP="00D20524">
      <w:pPr>
        <w:spacing w:after="0" w:line="240" w:lineRule="auto"/>
        <w:ind w:firstLine="284"/>
        <w:jc w:val="center"/>
        <w:rPr>
          <w:rFonts w:ascii="Garamond" w:hAnsi="Garamond"/>
          <w:b/>
          <w:bCs/>
          <w:sz w:val="24"/>
          <w:szCs w:val="24"/>
        </w:rPr>
      </w:pPr>
      <w:r w:rsidRPr="00474D79">
        <w:rPr>
          <w:rFonts w:ascii="Garamond" w:hAnsi="Garamond"/>
          <w:b/>
          <w:bCs/>
          <w:sz w:val="24"/>
          <w:szCs w:val="24"/>
        </w:rPr>
        <w:t>Dispozitë e fundit</w:t>
      </w:r>
    </w:p>
    <w:p w14:paraId="2AB5F2AA" w14:textId="77777777" w:rsidR="00D20524" w:rsidRPr="00474D79" w:rsidRDefault="00D20524" w:rsidP="00D20524">
      <w:pPr>
        <w:spacing w:after="0" w:line="240" w:lineRule="auto"/>
        <w:ind w:firstLine="284"/>
        <w:jc w:val="center"/>
        <w:rPr>
          <w:rFonts w:ascii="Garamond" w:hAnsi="Garamond"/>
          <w:sz w:val="24"/>
          <w:szCs w:val="24"/>
        </w:rPr>
      </w:pPr>
    </w:p>
    <w:p w14:paraId="212B38A7" w14:textId="77777777" w:rsidR="00D20524" w:rsidRPr="00474D79" w:rsidRDefault="00D20524" w:rsidP="00D20524">
      <w:pPr>
        <w:spacing w:after="0" w:line="240" w:lineRule="auto"/>
        <w:ind w:firstLine="284"/>
        <w:jc w:val="both"/>
        <w:rPr>
          <w:rFonts w:ascii="Garamond" w:hAnsi="Garamond"/>
          <w:sz w:val="24"/>
          <w:szCs w:val="24"/>
        </w:rPr>
      </w:pPr>
      <w:r w:rsidRPr="00474D79">
        <w:rPr>
          <w:rFonts w:ascii="Garamond" w:hAnsi="Garamond"/>
          <w:sz w:val="24"/>
          <w:szCs w:val="24"/>
        </w:rPr>
        <w:t>Anekset bashkëlidhur kësaj rregulloreje janë pjesë përbërëse e saj.</w:t>
      </w:r>
    </w:p>
    <w:p w14:paraId="51419238" w14:textId="77777777" w:rsidR="00D20524" w:rsidRPr="00474D79" w:rsidRDefault="00D20524" w:rsidP="00D20524">
      <w:pPr>
        <w:spacing w:after="0" w:line="240" w:lineRule="auto"/>
        <w:ind w:firstLine="284"/>
        <w:jc w:val="both"/>
        <w:rPr>
          <w:rFonts w:ascii="Garamond" w:hAnsi="Garamond" w:cs="Arial"/>
          <w:b/>
          <w:bCs/>
          <w:sz w:val="24"/>
          <w:szCs w:val="24"/>
        </w:rPr>
      </w:pPr>
    </w:p>
    <w:p w14:paraId="5B934A34" w14:textId="77777777" w:rsidR="00D20524" w:rsidRPr="00DF4FB7" w:rsidRDefault="00D20524" w:rsidP="00D20524">
      <w:pPr>
        <w:spacing w:after="0" w:line="240" w:lineRule="auto"/>
        <w:ind w:firstLine="284"/>
        <w:jc w:val="right"/>
        <w:rPr>
          <w:rFonts w:ascii="Garamond" w:hAnsi="Garamond"/>
          <w:bCs/>
          <w:sz w:val="24"/>
          <w:szCs w:val="24"/>
        </w:rPr>
      </w:pPr>
      <w:r w:rsidRPr="00DF4FB7">
        <w:rPr>
          <w:rFonts w:ascii="Garamond" w:hAnsi="Garamond"/>
          <w:bCs/>
          <w:sz w:val="24"/>
          <w:szCs w:val="24"/>
        </w:rPr>
        <w:t>KRYETARI I KËSHILLIT MBIKËQYRËS</w:t>
      </w:r>
    </w:p>
    <w:p w14:paraId="477AEFBC" w14:textId="17165B99" w:rsidR="00D20524" w:rsidRPr="00474D79" w:rsidRDefault="00D20524" w:rsidP="00D20524">
      <w:pPr>
        <w:spacing w:after="0" w:line="240" w:lineRule="auto"/>
        <w:ind w:firstLine="284"/>
        <w:jc w:val="right"/>
        <w:rPr>
          <w:rFonts w:ascii="Garamond" w:hAnsi="Garamond"/>
          <w:b/>
          <w:bCs/>
          <w:sz w:val="24"/>
          <w:szCs w:val="24"/>
        </w:rPr>
      </w:pPr>
      <w:r w:rsidRPr="00474D79">
        <w:rPr>
          <w:rFonts w:ascii="Garamond" w:hAnsi="Garamond"/>
          <w:b/>
          <w:bCs/>
          <w:sz w:val="24"/>
          <w:szCs w:val="24"/>
        </w:rPr>
        <w:t>Gent Sejko</w:t>
      </w:r>
    </w:p>
    <w:p w14:paraId="445B63E7" w14:textId="77777777" w:rsidR="00D20524" w:rsidRPr="00474D79" w:rsidRDefault="00D20524" w:rsidP="00D20524">
      <w:pPr>
        <w:spacing w:after="0" w:line="240" w:lineRule="auto"/>
        <w:ind w:firstLine="284"/>
        <w:jc w:val="right"/>
        <w:rPr>
          <w:rFonts w:ascii="Garamond" w:hAnsi="Garamond"/>
          <w:b/>
          <w:bCs/>
          <w:sz w:val="24"/>
          <w:szCs w:val="24"/>
        </w:rPr>
      </w:pPr>
    </w:p>
    <w:p w14:paraId="238C9BCD" w14:textId="77777777" w:rsidR="00D20524" w:rsidRPr="00DF4FB7" w:rsidRDefault="00D20524" w:rsidP="00E1313D">
      <w:pPr>
        <w:spacing w:after="0" w:line="240" w:lineRule="auto"/>
        <w:jc w:val="right"/>
        <w:rPr>
          <w:rFonts w:ascii="Garamond" w:hAnsi="Garamond" w:cs="Times New Roman"/>
          <w:sz w:val="24"/>
          <w:szCs w:val="24"/>
        </w:rPr>
      </w:pPr>
    </w:p>
    <w:p w14:paraId="6E2501E2" w14:textId="4A8FBF56" w:rsidR="00E075D9" w:rsidRPr="00474D79" w:rsidRDefault="00E075D9" w:rsidP="00FD3EF9">
      <w:pPr>
        <w:spacing w:after="0" w:line="240" w:lineRule="auto"/>
        <w:jc w:val="center"/>
        <w:rPr>
          <w:rFonts w:ascii="Garamond" w:hAnsi="Garamond" w:cs="Times New Roman"/>
          <w:b/>
          <w:sz w:val="24"/>
          <w:szCs w:val="24"/>
        </w:rPr>
      </w:pPr>
      <w:r w:rsidRPr="00DF4FB7">
        <w:rPr>
          <w:rFonts w:ascii="Garamond" w:hAnsi="Garamond" w:cs="Times New Roman"/>
          <w:sz w:val="24"/>
          <w:szCs w:val="24"/>
        </w:rPr>
        <w:t>ANEKSET</w:t>
      </w:r>
    </w:p>
    <w:p w14:paraId="07AC118D" w14:textId="77777777" w:rsidR="00D20524" w:rsidRPr="00474D79" w:rsidRDefault="00D20524" w:rsidP="00FD3EF9">
      <w:pPr>
        <w:spacing w:after="0" w:line="240" w:lineRule="auto"/>
        <w:jc w:val="center"/>
        <w:rPr>
          <w:rFonts w:ascii="Garamond" w:hAnsi="Garamond" w:cs="Times New Roman"/>
          <w:b/>
          <w:sz w:val="24"/>
          <w:szCs w:val="24"/>
        </w:rPr>
      </w:pPr>
    </w:p>
    <w:p w14:paraId="6E2501E3" w14:textId="441A9379" w:rsidR="00E075D9" w:rsidRPr="00474D79" w:rsidRDefault="00E075D9" w:rsidP="00D20524">
      <w:pPr>
        <w:pStyle w:val="TEKSTIIII"/>
      </w:pPr>
      <w:r w:rsidRPr="00474D79">
        <w:t>Për raportimin e treguesve të paralajmërimit të hershëm në Bankën e Shqipërisë, subjekti plotëson aneksin nr.</w:t>
      </w:r>
      <w:r w:rsidR="00DF4FB7">
        <w:t xml:space="preserve"> </w:t>
      </w:r>
      <w:r w:rsidRPr="00474D79">
        <w:t>1</w:t>
      </w:r>
      <w:r w:rsidR="00F917BF" w:rsidRPr="00474D79">
        <w:t>,</w:t>
      </w:r>
      <w:r w:rsidRPr="00474D79">
        <w:t xml:space="preserve"> duke ndjekur </w:t>
      </w:r>
      <w:r w:rsidR="00A41DF4" w:rsidRPr="00474D79">
        <w:t>udh</w:t>
      </w:r>
      <w:r w:rsidR="009A57EF" w:rsidRPr="00474D79">
        <w:t>ë</w:t>
      </w:r>
      <w:r w:rsidR="00A41DF4" w:rsidRPr="00474D79">
        <w:t xml:space="preserve">zimet </w:t>
      </w:r>
      <w:r w:rsidRPr="00474D79">
        <w:t xml:space="preserve">e </w:t>
      </w:r>
      <w:r w:rsidR="00A41DF4" w:rsidRPr="00474D79">
        <w:t>parashikuara n</w:t>
      </w:r>
      <w:r w:rsidR="009A57EF" w:rsidRPr="00474D79">
        <w:t>ë</w:t>
      </w:r>
      <w:r w:rsidR="00A41DF4" w:rsidRPr="00474D79">
        <w:t xml:space="preserve"> </w:t>
      </w:r>
      <w:r w:rsidRPr="00474D79">
        <w:t>aneksi</w:t>
      </w:r>
      <w:r w:rsidR="00A41DF4" w:rsidRPr="00474D79">
        <w:t>n</w:t>
      </w:r>
      <w:r w:rsidRPr="00474D79">
        <w:t xml:space="preserve"> nr.</w:t>
      </w:r>
      <w:r w:rsidR="00DF4FB7">
        <w:t xml:space="preserve"> </w:t>
      </w:r>
      <w:r w:rsidRPr="00474D79">
        <w:t>2</w:t>
      </w:r>
      <w:r w:rsidR="00C7474C" w:rsidRPr="00474D79">
        <w:t xml:space="preserve"> të kësaj rregulloreje</w:t>
      </w:r>
      <w:r w:rsidRPr="00474D79">
        <w:t xml:space="preserve">. </w:t>
      </w:r>
    </w:p>
    <w:p w14:paraId="6E2501E4" w14:textId="77777777" w:rsidR="00E075D9" w:rsidRPr="00474D79" w:rsidRDefault="00E075D9" w:rsidP="00FD3EF9">
      <w:pPr>
        <w:spacing w:after="0" w:line="240" w:lineRule="auto"/>
        <w:rPr>
          <w:rFonts w:ascii="Garamond" w:hAnsi="Garamond" w:cs="Times New Roman"/>
          <w:i/>
          <w:sz w:val="24"/>
          <w:szCs w:val="24"/>
        </w:rPr>
      </w:pPr>
    </w:p>
    <w:p w14:paraId="048D7719" w14:textId="77777777" w:rsidR="007E42E4" w:rsidRDefault="007E42E4" w:rsidP="00DF4FB7">
      <w:pPr>
        <w:spacing w:after="0" w:line="240" w:lineRule="auto"/>
        <w:jc w:val="center"/>
        <w:rPr>
          <w:rFonts w:ascii="Garamond" w:hAnsi="Garamond" w:cs="Times New Roman"/>
          <w:sz w:val="24"/>
          <w:szCs w:val="24"/>
        </w:rPr>
      </w:pPr>
    </w:p>
    <w:p w14:paraId="6E2501E5" w14:textId="6641C773" w:rsidR="00EF09E3" w:rsidRPr="00DF4FB7" w:rsidRDefault="00DF4FB7" w:rsidP="00DF4FB7">
      <w:pPr>
        <w:spacing w:after="0" w:line="240" w:lineRule="auto"/>
        <w:jc w:val="center"/>
        <w:rPr>
          <w:rFonts w:ascii="Garamond" w:hAnsi="Garamond" w:cs="Times New Roman"/>
          <w:sz w:val="24"/>
          <w:szCs w:val="24"/>
        </w:rPr>
      </w:pPr>
      <w:r w:rsidRPr="00DF4FB7">
        <w:rPr>
          <w:rFonts w:ascii="Garamond" w:hAnsi="Garamond" w:cs="Times New Roman"/>
          <w:sz w:val="24"/>
          <w:szCs w:val="24"/>
        </w:rPr>
        <w:lastRenderedPageBreak/>
        <w:t>ANEKS NR.1</w:t>
      </w:r>
    </w:p>
    <w:p w14:paraId="6E2501E6" w14:textId="7E536BC0" w:rsidR="00EF09E3" w:rsidRPr="00DF4FB7" w:rsidRDefault="00DF4FB7" w:rsidP="00DF4FB7">
      <w:pPr>
        <w:spacing w:after="0" w:line="240" w:lineRule="auto"/>
        <w:jc w:val="center"/>
        <w:rPr>
          <w:rFonts w:ascii="Garamond" w:hAnsi="Garamond" w:cs="Times New Roman"/>
          <w:sz w:val="24"/>
          <w:szCs w:val="24"/>
        </w:rPr>
      </w:pPr>
      <w:r w:rsidRPr="00DF4FB7">
        <w:rPr>
          <w:rFonts w:ascii="Garamond" w:hAnsi="Garamond" w:cs="Times New Roman"/>
          <w:sz w:val="24"/>
          <w:szCs w:val="24"/>
        </w:rPr>
        <w:t>TREGUESIT E PARALAJMËRIMIT TË HERSHËM</w:t>
      </w: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4706"/>
        <w:gridCol w:w="2978"/>
        <w:gridCol w:w="1090"/>
      </w:tblGrid>
      <w:tr w:rsidR="00EF09E3" w:rsidRPr="00474D79" w14:paraId="6E2501EB"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F2F2F2"/>
            <w:vAlign w:val="center"/>
          </w:tcPr>
          <w:p w14:paraId="6E2501E7" w14:textId="77777777" w:rsidR="00EF09E3" w:rsidRPr="00474D79" w:rsidRDefault="00EF09E3" w:rsidP="00FD3EF9">
            <w:pPr>
              <w:spacing w:after="0" w:line="240" w:lineRule="auto"/>
              <w:jc w:val="center"/>
              <w:rPr>
                <w:rFonts w:ascii="Garamond" w:eastAsia="Times New Roman" w:hAnsi="Garamond" w:cs="Times New Roman"/>
                <w:b/>
                <w:sz w:val="20"/>
                <w:szCs w:val="20"/>
              </w:rPr>
            </w:pPr>
            <w:r w:rsidRPr="00474D79">
              <w:rPr>
                <w:rFonts w:ascii="Garamond" w:eastAsia="Times New Roman" w:hAnsi="Garamond" w:cs="Times New Roman"/>
                <w:b/>
                <w:sz w:val="20"/>
                <w:szCs w:val="20"/>
              </w:rPr>
              <w:t>Nr.</w:t>
            </w:r>
          </w:p>
        </w:tc>
        <w:tc>
          <w:tcPr>
            <w:tcW w:w="2485" w:type="pct"/>
            <w:tcBorders>
              <w:top w:val="single" w:sz="4" w:space="0" w:color="auto"/>
              <w:left w:val="single" w:sz="4" w:space="0" w:color="auto"/>
              <w:bottom w:val="single" w:sz="4" w:space="0" w:color="auto"/>
              <w:right w:val="single" w:sz="4" w:space="0" w:color="auto"/>
            </w:tcBorders>
            <w:shd w:val="clear" w:color="auto" w:fill="F2F2F2"/>
            <w:vAlign w:val="center"/>
          </w:tcPr>
          <w:p w14:paraId="6E2501E8" w14:textId="77777777" w:rsidR="00EF09E3" w:rsidRPr="00474D79" w:rsidRDefault="00EF09E3" w:rsidP="00FD3EF9">
            <w:pPr>
              <w:spacing w:after="0" w:line="240" w:lineRule="auto"/>
              <w:jc w:val="center"/>
              <w:rPr>
                <w:rFonts w:ascii="Garamond" w:eastAsia="Times New Roman" w:hAnsi="Garamond" w:cs="Times New Roman"/>
                <w:b/>
                <w:sz w:val="20"/>
                <w:szCs w:val="20"/>
              </w:rPr>
            </w:pPr>
            <w:r w:rsidRPr="00474D79">
              <w:rPr>
                <w:rFonts w:ascii="Garamond" w:eastAsia="Times New Roman" w:hAnsi="Garamond" w:cs="Times New Roman"/>
                <w:b/>
                <w:sz w:val="20"/>
                <w:szCs w:val="20"/>
              </w:rPr>
              <w:t>Treguesi</w:t>
            </w:r>
          </w:p>
        </w:tc>
        <w:tc>
          <w:tcPr>
            <w:tcW w:w="1573" w:type="pct"/>
            <w:tcBorders>
              <w:top w:val="single" w:sz="4" w:space="0" w:color="auto"/>
              <w:left w:val="single" w:sz="4" w:space="0" w:color="auto"/>
              <w:bottom w:val="single" w:sz="4" w:space="0" w:color="auto"/>
              <w:right w:val="single" w:sz="4" w:space="0" w:color="auto"/>
            </w:tcBorders>
            <w:shd w:val="clear" w:color="auto" w:fill="F2F2F2"/>
            <w:vAlign w:val="center"/>
          </w:tcPr>
          <w:p w14:paraId="6E2501E9" w14:textId="77777777" w:rsidR="00EF09E3" w:rsidRPr="00474D79" w:rsidRDefault="00EF09E3" w:rsidP="00FD3EF9">
            <w:pPr>
              <w:spacing w:after="0" w:line="240" w:lineRule="auto"/>
              <w:jc w:val="center"/>
              <w:rPr>
                <w:rFonts w:ascii="Garamond" w:eastAsia="Times New Roman" w:hAnsi="Garamond" w:cs="Times New Roman"/>
                <w:b/>
                <w:sz w:val="20"/>
                <w:szCs w:val="20"/>
              </w:rPr>
            </w:pPr>
            <w:r w:rsidRPr="00474D79">
              <w:rPr>
                <w:rFonts w:ascii="Garamond" w:eastAsia="Times New Roman" w:hAnsi="Garamond" w:cs="Times New Roman"/>
                <w:b/>
                <w:sz w:val="20"/>
                <w:szCs w:val="20"/>
              </w:rPr>
              <w:t>Vlera</w:t>
            </w:r>
          </w:p>
        </w:tc>
        <w:tc>
          <w:tcPr>
            <w:tcW w:w="576" w:type="pct"/>
            <w:tcBorders>
              <w:top w:val="single" w:sz="4" w:space="0" w:color="auto"/>
              <w:left w:val="single" w:sz="4" w:space="0" w:color="auto"/>
              <w:bottom w:val="single" w:sz="4" w:space="0" w:color="auto"/>
              <w:right w:val="single" w:sz="4" w:space="0" w:color="auto"/>
            </w:tcBorders>
            <w:shd w:val="clear" w:color="auto" w:fill="F2F2F2"/>
            <w:vAlign w:val="center"/>
          </w:tcPr>
          <w:p w14:paraId="6E2501EA" w14:textId="77777777" w:rsidR="00EF09E3" w:rsidRPr="00474D79" w:rsidRDefault="00EF09E3" w:rsidP="00FD3EF9">
            <w:pPr>
              <w:spacing w:after="0" w:line="240" w:lineRule="auto"/>
              <w:jc w:val="center"/>
              <w:rPr>
                <w:rFonts w:ascii="Garamond" w:eastAsia="Times New Roman" w:hAnsi="Garamond" w:cs="Times New Roman"/>
                <w:b/>
                <w:sz w:val="20"/>
                <w:szCs w:val="20"/>
              </w:rPr>
            </w:pPr>
            <w:r w:rsidRPr="00474D79">
              <w:rPr>
                <w:rFonts w:ascii="Garamond" w:eastAsia="Times New Roman" w:hAnsi="Garamond" w:cs="Times New Roman"/>
                <w:b/>
                <w:sz w:val="20"/>
                <w:szCs w:val="20"/>
              </w:rPr>
              <w:t>Komente</w:t>
            </w:r>
          </w:p>
        </w:tc>
      </w:tr>
      <w:tr w:rsidR="00EF09E3" w:rsidRPr="00474D79" w14:paraId="6E2501F0"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1EC" w14:textId="77777777" w:rsidR="00EF09E3" w:rsidRPr="00474D79" w:rsidRDefault="00EF09E3" w:rsidP="00FD3EF9">
            <w:pPr>
              <w:spacing w:after="0" w:line="240" w:lineRule="auto"/>
              <w:jc w:val="center"/>
              <w:rPr>
                <w:rFonts w:ascii="Garamond" w:eastAsia="Times New Roman" w:hAnsi="Garamond" w:cs="Times New Roman"/>
                <w:sz w:val="20"/>
                <w:szCs w:val="20"/>
              </w:rPr>
            </w:pPr>
            <w:r w:rsidRPr="00474D79">
              <w:rPr>
                <w:rFonts w:ascii="Garamond" w:eastAsia="Times New Roman" w:hAnsi="Garamond" w:cs="Times New Roman"/>
                <w:sz w:val="20"/>
                <w:szCs w:val="20"/>
              </w:rPr>
              <w:t>1</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1ED" w14:textId="77777777" w:rsidR="00EF09E3" w:rsidRPr="00474D79" w:rsidRDefault="00EF09E3" w:rsidP="00FD3EF9">
            <w:pPr>
              <w:spacing w:after="0" w:line="240" w:lineRule="auto"/>
              <w:jc w:val="both"/>
              <w:rPr>
                <w:rFonts w:ascii="Garamond" w:eastAsia="Times New Roman" w:hAnsi="Garamond" w:cs="Times New Roman"/>
                <w:sz w:val="20"/>
                <w:szCs w:val="20"/>
              </w:rPr>
            </w:pPr>
            <w:r w:rsidRPr="00474D79">
              <w:rPr>
                <w:rFonts w:ascii="Garamond" w:hAnsi="Garamond" w:cs="Times New Roman"/>
                <w:sz w:val="20"/>
                <w:szCs w:val="20"/>
              </w:rPr>
              <w:t>Numri i çështjeve të reja ligjore</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1EE"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Numër</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1EF" w14:textId="77777777" w:rsidR="00EF09E3" w:rsidRPr="00474D79" w:rsidRDefault="00EF09E3" w:rsidP="00FD3EF9">
            <w:pPr>
              <w:spacing w:after="0" w:line="240" w:lineRule="auto"/>
              <w:jc w:val="both"/>
              <w:rPr>
                <w:rFonts w:ascii="Garamond" w:eastAsia="Times New Roman" w:hAnsi="Garamond" w:cs="Times New Roman"/>
                <w:sz w:val="20"/>
                <w:szCs w:val="20"/>
              </w:rPr>
            </w:pPr>
            <w:r w:rsidRPr="00474D79">
              <w:rPr>
                <w:rFonts w:ascii="Garamond" w:eastAsia="Times New Roman" w:hAnsi="Garamond" w:cs="Times New Roman"/>
                <w:sz w:val="20"/>
                <w:szCs w:val="20"/>
              </w:rPr>
              <w:t> </w:t>
            </w:r>
          </w:p>
        </w:tc>
      </w:tr>
      <w:tr w:rsidR="00EF09E3" w:rsidRPr="00474D79" w14:paraId="6E2501F5"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1F1" w14:textId="77777777" w:rsidR="00EF09E3" w:rsidRPr="00474D79" w:rsidRDefault="00EF09E3" w:rsidP="00FD3EF9">
            <w:pPr>
              <w:spacing w:after="0" w:line="240" w:lineRule="auto"/>
              <w:jc w:val="center"/>
              <w:rPr>
                <w:rFonts w:ascii="Garamond" w:eastAsia="Times New Roman" w:hAnsi="Garamond" w:cs="Times New Roman"/>
                <w:sz w:val="20"/>
                <w:szCs w:val="20"/>
              </w:rPr>
            </w:pPr>
            <w:r w:rsidRPr="00474D79">
              <w:rPr>
                <w:rFonts w:ascii="Garamond" w:eastAsia="Times New Roman" w:hAnsi="Garamond" w:cs="Times New Roman"/>
                <w:sz w:val="20"/>
                <w:szCs w:val="20"/>
              </w:rPr>
              <w:t>2</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1F2" w14:textId="77777777" w:rsidR="00EF09E3" w:rsidRPr="00474D79" w:rsidRDefault="00EF09E3" w:rsidP="00FD3EF9">
            <w:pPr>
              <w:spacing w:after="0" w:line="240" w:lineRule="auto"/>
              <w:jc w:val="both"/>
              <w:rPr>
                <w:rFonts w:ascii="Garamond" w:eastAsia="Times New Roman" w:hAnsi="Garamond" w:cs="Times New Roman"/>
                <w:sz w:val="20"/>
                <w:szCs w:val="20"/>
              </w:rPr>
            </w:pPr>
            <w:r w:rsidRPr="00474D79">
              <w:rPr>
                <w:rFonts w:ascii="Garamond" w:eastAsia="Times New Roman" w:hAnsi="Garamond" w:cs="Times New Roman"/>
                <w:sz w:val="20"/>
                <w:szCs w:val="20"/>
                <w:lang w:eastAsia="en-GB"/>
              </w:rPr>
              <w:t>Kostoja e çështjeve ligjore</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1F3"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Vlerë (ALL)</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1F4" w14:textId="77777777" w:rsidR="00EF09E3" w:rsidRPr="00474D79" w:rsidRDefault="00EF09E3" w:rsidP="00FD3EF9">
            <w:pPr>
              <w:spacing w:after="0" w:line="240" w:lineRule="auto"/>
              <w:jc w:val="both"/>
              <w:rPr>
                <w:rFonts w:ascii="Garamond" w:eastAsia="Times New Roman" w:hAnsi="Garamond" w:cs="Times New Roman"/>
                <w:sz w:val="20"/>
                <w:szCs w:val="20"/>
              </w:rPr>
            </w:pPr>
            <w:r w:rsidRPr="00474D79">
              <w:rPr>
                <w:rFonts w:ascii="Garamond" w:eastAsia="Times New Roman" w:hAnsi="Garamond" w:cs="Times New Roman"/>
                <w:sz w:val="20"/>
                <w:szCs w:val="20"/>
              </w:rPr>
              <w:t> </w:t>
            </w:r>
          </w:p>
        </w:tc>
      </w:tr>
      <w:tr w:rsidR="00EF09E3" w:rsidRPr="00474D79" w14:paraId="6E2501FA"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1F6" w14:textId="77777777" w:rsidR="00EF09E3" w:rsidRPr="00474D79" w:rsidRDefault="00EF09E3" w:rsidP="00FD3EF9">
            <w:pPr>
              <w:spacing w:after="0" w:line="240" w:lineRule="auto"/>
              <w:jc w:val="center"/>
              <w:rPr>
                <w:rFonts w:ascii="Garamond" w:eastAsia="Times New Roman" w:hAnsi="Garamond" w:cs="Times New Roman"/>
                <w:sz w:val="20"/>
                <w:szCs w:val="20"/>
              </w:rPr>
            </w:pPr>
            <w:r w:rsidRPr="00474D79">
              <w:rPr>
                <w:rFonts w:ascii="Garamond" w:eastAsia="Times New Roman" w:hAnsi="Garamond" w:cs="Times New Roman"/>
                <w:sz w:val="20"/>
                <w:szCs w:val="20"/>
              </w:rPr>
              <w:t>3</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1F7" w14:textId="77777777" w:rsidR="00EF09E3" w:rsidRPr="00474D79" w:rsidRDefault="00EF09E3" w:rsidP="00FD3EF9">
            <w:pPr>
              <w:spacing w:after="0" w:line="240" w:lineRule="auto"/>
              <w:jc w:val="both"/>
              <w:rPr>
                <w:rFonts w:ascii="Garamond" w:eastAsia="Times New Roman" w:hAnsi="Garamond" w:cs="Times New Roman"/>
                <w:sz w:val="20"/>
                <w:szCs w:val="20"/>
              </w:rPr>
            </w:pPr>
            <w:r w:rsidRPr="00474D79">
              <w:rPr>
                <w:rFonts w:ascii="Garamond" w:hAnsi="Garamond" w:cs="Times New Roman"/>
                <w:sz w:val="20"/>
                <w:szCs w:val="20"/>
              </w:rPr>
              <w:t>Ankesat e reja të klientëve</w:t>
            </w:r>
            <w:r w:rsidRPr="00474D79" w:rsidDel="00BC3B7C">
              <w:rPr>
                <w:rFonts w:ascii="Garamond" w:hAnsi="Garamond" w:cs="Times New Roman"/>
                <w:sz w:val="20"/>
                <w:szCs w:val="20"/>
              </w:rPr>
              <w:t xml:space="preserve"> </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1F8"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Numër</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1F9" w14:textId="77777777" w:rsidR="00EF09E3" w:rsidRPr="00474D79" w:rsidRDefault="00EF09E3" w:rsidP="00FD3EF9">
            <w:pPr>
              <w:spacing w:after="0" w:line="240" w:lineRule="auto"/>
              <w:jc w:val="both"/>
              <w:rPr>
                <w:rFonts w:ascii="Garamond" w:eastAsia="Times New Roman" w:hAnsi="Garamond" w:cs="Times New Roman"/>
                <w:sz w:val="20"/>
                <w:szCs w:val="20"/>
              </w:rPr>
            </w:pPr>
            <w:r w:rsidRPr="00474D79">
              <w:rPr>
                <w:rFonts w:ascii="Garamond" w:eastAsia="Times New Roman" w:hAnsi="Garamond" w:cs="Times New Roman"/>
                <w:sz w:val="20"/>
                <w:szCs w:val="20"/>
              </w:rPr>
              <w:t> </w:t>
            </w:r>
          </w:p>
        </w:tc>
      </w:tr>
      <w:tr w:rsidR="00EF09E3" w:rsidRPr="00474D79" w14:paraId="6E2501FF"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1FB" w14:textId="77777777" w:rsidR="00EF09E3" w:rsidRPr="00474D79" w:rsidRDefault="00EF09E3" w:rsidP="00FD3EF9">
            <w:pPr>
              <w:spacing w:after="0" w:line="240" w:lineRule="auto"/>
              <w:jc w:val="center"/>
              <w:rPr>
                <w:rFonts w:ascii="Garamond" w:eastAsia="Times New Roman" w:hAnsi="Garamond" w:cs="Times New Roman"/>
                <w:sz w:val="20"/>
                <w:szCs w:val="20"/>
              </w:rPr>
            </w:pPr>
            <w:r w:rsidRPr="00474D79">
              <w:rPr>
                <w:rFonts w:ascii="Garamond" w:eastAsia="Times New Roman" w:hAnsi="Garamond" w:cs="Times New Roman"/>
                <w:sz w:val="20"/>
                <w:szCs w:val="20"/>
              </w:rPr>
              <w:t>4</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1FC" w14:textId="77777777" w:rsidR="00EF09E3" w:rsidRPr="00474D79" w:rsidRDefault="00EF09E3" w:rsidP="00FD3EF9">
            <w:pPr>
              <w:spacing w:after="0" w:line="240" w:lineRule="auto"/>
              <w:jc w:val="both"/>
              <w:rPr>
                <w:rFonts w:ascii="Garamond" w:eastAsia="Times New Roman" w:hAnsi="Garamond" w:cs="Times New Roman"/>
                <w:sz w:val="20"/>
                <w:szCs w:val="20"/>
              </w:rPr>
            </w:pPr>
            <w:r w:rsidRPr="00474D79">
              <w:rPr>
                <w:rFonts w:ascii="Garamond" w:hAnsi="Garamond" w:cs="Times New Roman"/>
                <w:sz w:val="20"/>
                <w:szCs w:val="20"/>
              </w:rPr>
              <w:t xml:space="preserve">Ankesat e hapura të klientëve </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1FD"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Numër</w:t>
            </w:r>
            <w:r w:rsidRPr="00474D79" w:rsidDel="0000031B">
              <w:rPr>
                <w:rFonts w:ascii="Garamond" w:eastAsia="Times New Roman" w:hAnsi="Garamond" w:cs="Times New Roman"/>
                <w:i/>
                <w:sz w:val="20"/>
                <w:szCs w:val="20"/>
              </w:rPr>
              <w:t xml:space="preserve"> </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1FE" w14:textId="77777777" w:rsidR="00EF09E3" w:rsidRPr="00474D79" w:rsidRDefault="00EF09E3" w:rsidP="00FD3EF9">
            <w:pPr>
              <w:spacing w:after="0" w:line="240" w:lineRule="auto"/>
              <w:jc w:val="both"/>
              <w:rPr>
                <w:rFonts w:ascii="Garamond" w:eastAsia="Times New Roman" w:hAnsi="Garamond" w:cs="Times New Roman"/>
                <w:sz w:val="20"/>
                <w:szCs w:val="20"/>
              </w:rPr>
            </w:pPr>
            <w:r w:rsidRPr="00474D79">
              <w:rPr>
                <w:rFonts w:ascii="Garamond" w:eastAsia="Times New Roman" w:hAnsi="Garamond" w:cs="Times New Roman"/>
                <w:sz w:val="20"/>
                <w:szCs w:val="20"/>
              </w:rPr>
              <w:t> </w:t>
            </w:r>
          </w:p>
        </w:tc>
      </w:tr>
      <w:tr w:rsidR="00EF09E3" w:rsidRPr="00474D79" w14:paraId="6E250204"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200" w14:textId="77777777" w:rsidR="00EF09E3" w:rsidRPr="00474D79" w:rsidRDefault="00EF09E3" w:rsidP="00FD3EF9">
            <w:pPr>
              <w:spacing w:after="0" w:line="240" w:lineRule="auto"/>
              <w:jc w:val="center"/>
              <w:rPr>
                <w:rFonts w:ascii="Garamond" w:eastAsia="Times New Roman" w:hAnsi="Garamond" w:cs="Times New Roman"/>
                <w:sz w:val="20"/>
                <w:szCs w:val="20"/>
              </w:rPr>
            </w:pPr>
            <w:r w:rsidRPr="00474D79">
              <w:rPr>
                <w:rFonts w:ascii="Garamond" w:eastAsia="Times New Roman" w:hAnsi="Garamond" w:cs="Times New Roman"/>
                <w:sz w:val="20"/>
                <w:szCs w:val="20"/>
              </w:rPr>
              <w:t>5</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201" w14:textId="77777777" w:rsidR="00EF09E3" w:rsidRPr="00474D79" w:rsidRDefault="00EF09E3" w:rsidP="00FD3EF9">
            <w:pPr>
              <w:spacing w:after="0" w:line="240" w:lineRule="auto"/>
              <w:jc w:val="both"/>
              <w:rPr>
                <w:rFonts w:ascii="Garamond" w:eastAsia="Times New Roman" w:hAnsi="Garamond" w:cs="Times New Roman"/>
                <w:sz w:val="20"/>
                <w:szCs w:val="20"/>
                <w:highlight w:val="yellow"/>
              </w:rPr>
            </w:pPr>
            <w:r w:rsidRPr="00474D79">
              <w:rPr>
                <w:rFonts w:ascii="Garamond" w:hAnsi="Garamond" w:cs="Times New Roman"/>
                <w:sz w:val="20"/>
                <w:szCs w:val="20"/>
              </w:rPr>
              <w:t>Numri i gjobave nga autoritetet</w:t>
            </w:r>
            <w:r w:rsidRPr="00474D79" w:rsidDel="00A75C0E">
              <w:rPr>
                <w:rFonts w:ascii="Garamond" w:hAnsi="Garamond" w:cs="Times New Roman"/>
                <w:sz w:val="20"/>
                <w:szCs w:val="20"/>
              </w:rPr>
              <w:t xml:space="preserve"> </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202"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Numër</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203" w14:textId="77777777" w:rsidR="00EF09E3" w:rsidRPr="00474D79" w:rsidRDefault="00EF09E3" w:rsidP="00FD3EF9">
            <w:pPr>
              <w:spacing w:after="0" w:line="240" w:lineRule="auto"/>
              <w:jc w:val="both"/>
              <w:rPr>
                <w:rFonts w:ascii="Garamond" w:eastAsia="Times New Roman" w:hAnsi="Garamond" w:cs="Times New Roman"/>
                <w:sz w:val="20"/>
                <w:szCs w:val="20"/>
              </w:rPr>
            </w:pPr>
            <w:r w:rsidRPr="00474D79">
              <w:rPr>
                <w:rFonts w:ascii="Garamond" w:eastAsia="Times New Roman" w:hAnsi="Garamond" w:cs="Times New Roman"/>
                <w:sz w:val="20"/>
                <w:szCs w:val="20"/>
              </w:rPr>
              <w:t> </w:t>
            </w:r>
          </w:p>
        </w:tc>
      </w:tr>
      <w:tr w:rsidR="00EF09E3" w:rsidRPr="00474D79" w14:paraId="6E250209"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205" w14:textId="77777777" w:rsidR="00EF09E3" w:rsidRPr="00474D79" w:rsidRDefault="00EF09E3" w:rsidP="00FD3EF9">
            <w:pPr>
              <w:spacing w:after="0" w:line="240" w:lineRule="auto"/>
              <w:jc w:val="center"/>
              <w:rPr>
                <w:rFonts w:ascii="Garamond" w:eastAsia="Times New Roman" w:hAnsi="Garamond" w:cs="Times New Roman"/>
                <w:sz w:val="20"/>
                <w:szCs w:val="20"/>
              </w:rPr>
            </w:pPr>
            <w:r w:rsidRPr="00474D79">
              <w:rPr>
                <w:rFonts w:ascii="Garamond" w:eastAsia="Times New Roman" w:hAnsi="Garamond" w:cs="Times New Roman"/>
                <w:sz w:val="20"/>
                <w:szCs w:val="20"/>
              </w:rPr>
              <w:t>6</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206" w14:textId="77777777" w:rsidR="00EF09E3" w:rsidRPr="00474D79" w:rsidRDefault="00EF09E3" w:rsidP="00FD3EF9">
            <w:pPr>
              <w:spacing w:after="0" w:line="240" w:lineRule="auto"/>
              <w:jc w:val="both"/>
              <w:rPr>
                <w:rFonts w:ascii="Garamond" w:eastAsia="Times New Roman" w:hAnsi="Garamond" w:cs="Times New Roman"/>
                <w:sz w:val="20"/>
                <w:szCs w:val="20"/>
              </w:rPr>
            </w:pPr>
            <w:r w:rsidRPr="00474D79">
              <w:rPr>
                <w:rFonts w:ascii="Garamond" w:hAnsi="Garamond" w:cs="Times New Roman"/>
                <w:sz w:val="20"/>
                <w:szCs w:val="20"/>
              </w:rPr>
              <w:t>Vlera e gjobave nga autoritetet</w:t>
            </w:r>
            <w:r w:rsidRPr="00474D79" w:rsidDel="00BC3B7C">
              <w:rPr>
                <w:rFonts w:ascii="Garamond" w:hAnsi="Garamond" w:cs="Times New Roman"/>
                <w:sz w:val="20"/>
                <w:szCs w:val="20"/>
              </w:rPr>
              <w:t xml:space="preserve"> </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207"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Vlerë (ALL)</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208" w14:textId="77777777" w:rsidR="00EF09E3" w:rsidRPr="00474D79" w:rsidRDefault="00EF09E3" w:rsidP="00FD3EF9">
            <w:pPr>
              <w:spacing w:after="0" w:line="240" w:lineRule="auto"/>
              <w:jc w:val="both"/>
              <w:rPr>
                <w:rFonts w:ascii="Garamond" w:eastAsia="Times New Roman" w:hAnsi="Garamond" w:cs="Times New Roman"/>
                <w:sz w:val="20"/>
                <w:szCs w:val="20"/>
              </w:rPr>
            </w:pPr>
            <w:r w:rsidRPr="00474D79">
              <w:rPr>
                <w:rFonts w:ascii="Garamond" w:eastAsia="Times New Roman" w:hAnsi="Garamond" w:cs="Times New Roman"/>
                <w:sz w:val="20"/>
                <w:szCs w:val="20"/>
              </w:rPr>
              <w:t> </w:t>
            </w:r>
          </w:p>
        </w:tc>
      </w:tr>
      <w:tr w:rsidR="00EF09E3" w:rsidRPr="00474D79" w14:paraId="6E25020E"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20A" w14:textId="77777777" w:rsidR="00EF09E3" w:rsidRPr="00474D79" w:rsidRDefault="00EF09E3" w:rsidP="00FD3EF9">
            <w:pPr>
              <w:spacing w:after="0" w:line="240" w:lineRule="auto"/>
              <w:jc w:val="center"/>
              <w:rPr>
                <w:rFonts w:ascii="Garamond" w:eastAsia="Times New Roman" w:hAnsi="Garamond" w:cs="Times New Roman"/>
                <w:sz w:val="20"/>
                <w:szCs w:val="20"/>
              </w:rPr>
            </w:pPr>
            <w:r w:rsidRPr="00474D79">
              <w:rPr>
                <w:rFonts w:ascii="Garamond" w:eastAsia="Times New Roman" w:hAnsi="Garamond" w:cs="Times New Roman"/>
                <w:sz w:val="20"/>
                <w:szCs w:val="20"/>
              </w:rPr>
              <w:t>7</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20B" w14:textId="77777777" w:rsidR="00EF09E3" w:rsidRPr="00474D79" w:rsidRDefault="00EF09E3" w:rsidP="00FD3EF9">
            <w:pPr>
              <w:spacing w:after="0" w:line="240" w:lineRule="auto"/>
              <w:jc w:val="both"/>
              <w:rPr>
                <w:rFonts w:ascii="Garamond" w:hAnsi="Garamond" w:cs="Times New Roman"/>
                <w:sz w:val="20"/>
                <w:szCs w:val="20"/>
              </w:rPr>
            </w:pPr>
            <w:r w:rsidRPr="00474D79">
              <w:rPr>
                <w:rFonts w:ascii="Garamond" w:eastAsia="Times New Roman" w:hAnsi="Garamond" w:cs="Times New Roman"/>
                <w:sz w:val="20"/>
                <w:szCs w:val="20"/>
                <w:lang w:eastAsia="en-GB"/>
              </w:rPr>
              <w:t>Qarkullimi i punonjësve</w:t>
            </w:r>
            <w:r w:rsidRPr="00474D79" w:rsidDel="00BC3B7C">
              <w:rPr>
                <w:rFonts w:ascii="Garamond" w:eastAsia="Times New Roman" w:hAnsi="Garamond" w:cs="Times New Roman"/>
                <w:sz w:val="20"/>
                <w:szCs w:val="20"/>
                <w:lang w:eastAsia="en-GB"/>
              </w:rPr>
              <w:t xml:space="preserve"> </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20C"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Përqindje (%)</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20D"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EF09E3" w:rsidRPr="00474D79" w14:paraId="6E250213"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20F" w14:textId="77777777" w:rsidR="00EF09E3" w:rsidRPr="00474D79" w:rsidRDefault="00EF09E3" w:rsidP="00FD3EF9">
            <w:pPr>
              <w:spacing w:after="0" w:line="240" w:lineRule="auto"/>
              <w:jc w:val="center"/>
              <w:rPr>
                <w:rFonts w:ascii="Garamond" w:eastAsia="Times New Roman" w:hAnsi="Garamond" w:cs="Times New Roman"/>
                <w:sz w:val="20"/>
                <w:szCs w:val="20"/>
              </w:rPr>
            </w:pPr>
            <w:r w:rsidRPr="00474D79">
              <w:rPr>
                <w:rFonts w:ascii="Garamond" w:eastAsia="Times New Roman" w:hAnsi="Garamond" w:cs="Times New Roman"/>
                <w:sz w:val="20"/>
                <w:szCs w:val="20"/>
              </w:rPr>
              <w:t>8</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210" w14:textId="77777777" w:rsidR="00EF09E3" w:rsidRPr="00474D79" w:rsidRDefault="00EF09E3" w:rsidP="00FD3EF9">
            <w:pPr>
              <w:spacing w:after="0" w:line="240" w:lineRule="auto"/>
              <w:jc w:val="both"/>
              <w:rPr>
                <w:rFonts w:ascii="Garamond" w:eastAsia="Times New Roman" w:hAnsi="Garamond" w:cs="Times New Roman"/>
                <w:i/>
                <w:sz w:val="20"/>
                <w:szCs w:val="20"/>
                <w:lang w:eastAsia="en-GB"/>
              </w:rPr>
            </w:pPr>
            <w:r w:rsidRPr="00474D79">
              <w:rPr>
                <w:rFonts w:ascii="Garamond" w:eastAsia="Times New Roman" w:hAnsi="Garamond" w:cs="Times New Roman"/>
                <w:sz w:val="20"/>
                <w:szCs w:val="20"/>
                <w:lang w:eastAsia="en-GB"/>
              </w:rPr>
              <w:t>Avari/Ndërprerje të programit bazë (</w:t>
            </w:r>
            <w:r w:rsidRPr="00474D79">
              <w:rPr>
                <w:rFonts w:ascii="Garamond" w:eastAsia="Times New Roman" w:hAnsi="Garamond" w:cs="Times New Roman"/>
                <w:i/>
                <w:sz w:val="20"/>
                <w:szCs w:val="20"/>
                <w:lang w:eastAsia="en-GB"/>
              </w:rPr>
              <w:t>core system</w:t>
            </w:r>
            <w:r w:rsidRPr="00474D79">
              <w:rPr>
                <w:rFonts w:ascii="Garamond" w:eastAsia="Times New Roman" w:hAnsi="Garamond" w:cs="Times New Roman"/>
                <w:sz w:val="20"/>
                <w:szCs w:val="20"/>
                <w:lang w:eastAsia="en-GB"/>
              </w:rPr>
              <w:t xml:space="preserve">) </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211"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(orë:minuta:sekonda)</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212"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4A4F48" w:rsidRPr="00474D79" w14:paraId="6E250283" w14:textId="77777777" w:rsidTr="00D20524">
        <w:trPr>
          <w:trHeight w:val="4760"/>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214" w14:textId="77777777" w:rsidR="004A4F48" w:rsidRPr="00474D79" w:rsidDel="00E7335C" w:rsidRDefault="004A4F48" w:rsidP="00FD3EF9">
            <w:pPr>
              <w:spacing w:after="0" w:line="240" w:lineRule="auto"/>
              <w:jc w:val="center"/>
              <w:rPr>
                <w:rFonts w:ascii="Garamond" w:eastAsia="Times New Roman" w:hAnsi="Garamond" w:cs="Times New Roman"/>
                <w:sz w:val="20"/>
                <w:szCs w:val="20"/>
              </w:rPr>
            </w:pPr>
            <w:r w:rsidRPr="00474D79">
              <w:rPr>
                <w:rFonts w:ascii="Garamond" w:eastAsia="Times New Roman" w:hAnsi="Garamond" w:cs="Times New Roman"/>
                <w:sz w:val="20"/>
                <w:szCs w:val="20"/>
              </w:rPr>
              <w:t>9</w:t>
            </w:r>
          </w:p>
        </w:tc>
        <w:tc>
          <w:tcPr>
            <w:tcW w:w="463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250215" w14:textId="77777777" w:rsidR="004A4F48" w:rsidRPr="00474D79" w:rsidRDefault="004A4F48"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 xml:space="preserve">Numri i tentativave për </w:t>
            </w:r>
            <w:r w:rsidRPr="00474D79">
              <w:rPr>
                <w:rFonts w:ascii="Garamond" w:eastAsia="Times New Roman" w:hAnsi="Garamond" w:cs="Times New Roman"/>
                <w:i/>
                <w:sz w:val="20"/>
                <w:szCs w:val="20"/>
                <w:lang w:eastAsia="en-GB"/>
              </w:rPr>
              <w:t>hacking</w:t>
            </w:r>
            <w:r w:rsidRPr="00474D79">
              <w:rPr>
                <w:rFonts w:ascii="Garamond" w:eastAsia="Times New Roman" w:hAnsi="Garamond" w:cs="Times New Roman"/>
                <w:sz w:val="20"/>
                <w:szCs w:val="20"/>
                <w:lang w:eastAsia="en-GB"/>
              </w:rPr>
              <w:t>/ incidenteve kibernetike</w:t>
            </w:r>
          </w:p>
          <w:tbl>
            <w:tblPr>
              <w:tblW w:w="8548" w:type="dxa"/>
              <w:tblLook w:val="04A0" w:firstRow="1" w:lastRow="0" w:firstColumn="1" w:lastColumn="0" w:noHBand="0" w:noVBand="1"/>
            </w:tblPr>
            <w:tblGrid>
              <w:gridCol w:w="4768"/>
              <w:gridCol w:w="2700"/>
              <w:gridCol w:w="1080"/>
            </w:tblGrid>
            <w:tr w:rsidR="004A4F48" w:rsidRPr="00474D79" w14:paraId="6E250219" w14:textId="77777777" w:rsidTr="004A4F48">
              <w:trPr>
                <w:trHeight w:val="470"/>
              </w:trPr>
              <w:tc>
                <w:tcPr>
                  <w:tcW w:w="47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E250216" w14:textId="77777777" w:rsidR="004A4F48" w:rsidRPr="00474D79" w:rsidRDefault="004A4F48" w:rsidP="00FD3EF9">
                  <w:pPr>
                    <w:spacing w:after="0" w:line="240" w:lineRule="auto"/>
                    <w:jc w:val="both"/>
                    <w:rPr>
                      <w:rFonts w:ascii="Garamond" w:eastAsia="Times New Roman" w:hAnsi="Garamond" w:cs="Times New Roman"/>
                      <w:b/>
                      <w:bCs/>
                      <w:color w:val="000000"/>
                      <w:sz w:val="20"/>
                      <w:szCs w:val="20"/>
                      <w:lang w:eastAsia="sq-AL"/>
                    </w:rPr>
                  </w:pPr>
                  <w:r w:rsidRPr="00474D79">
                    <w:rPr>
                      <w:rFonts w:ascii="Garamond" w:eastAsia="Times New Roman" w:hAnsi="Garamond" w:cs="Times New Roman"/>
                      <w:b/>
                      <w:bCs/>
                      <w:color w:val="000000"/>
                      <w:sz w:val="20"/>
                      <w:szCs w:val="20"/>
                      <w:lang w:eastAsia="sq-AL"/>
                    </w:rPr>
                    <w:t>Niveli 1 i detajimit</w:t>
                  </w:r>
                </w:p>
              </w:tc>
              <w:tc>
                <w:tcPr>
                  <w:tcW w:w="27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E250217" w14:textId="77777777" w:rsidR="004A4F48" w:rsidRPr="00474D79" w:rsidRDefault="004A4F48" w:rsidP="00FD3EF9">
                  <w:pPr>
                    <w:spacing w:after="0" w:line="240" w:lineRule="auto"/>
                    <w:jc w:val="both"/>
                    <w:rPr>
                      <w:rFonts w:ascii="Garamond" w:eastAsia="Times New Roman" w:hAnsi="Garamond" w:cs="Times New Roman"/>
                      <w:b/>
                      <w:bCs/>
                      <w:color w:val="000000"/>
                      <w:sz w:val="20"/>
                      <w:szCs w:val="20"/>
                      <w:lang w:eastAsia="sq-AL"/>
                    </w:rPr>
                  </w:pPr>
                  <w:r w:rsidRPr="00474D79">
                    <w:rPr>
                      <w:rFonts w:ascii="Garamond" w:eastAsia="Times New Roman" w:hAnsi="Garamond" w:cs="Times New Roman"/>
                      <w:b/>
                      <w:bCs/>
                      <w:color w:val="000000"/>
                      <w:sz w:val="20"/>
                      <w:szCs w:val="20"/>
                      <w:lang w:eastAsia="sq-AL"/>
                    </w:rPr>
                    <w:t>Niveli 2 i detajimit</w:t>
                  </w:r>
                </w:p>
              </w:tc>
              <w:tc>
                <w:tcPr>
                  <w:tcW w:w="10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E250218" w14:textId="77777777" w:rsidR="004A4F48" w:rsidRPr="00474D79" w:rsidRDefault="004A4F48" w:rsidP="00FD3EF9">
                  <w:pPr>
                    <w:spacing w:after="0" w:line="240" w:lineRule="auto"/>
                    <w:jc w:val="both"/>
                    <w:rPr>
                      <w:rFonts w:ascii="Garamond" w:eastAsia="Times New Roman" w:hAnsi="Garamond" w:cs="Times New Roman"/>
                      <w:b/>
                      <w:bCs/>
                      <w:color w:val="000000"/>
                      <w:sz w:val="20"/>
                      <w:szCs w:val="20"/>
                      <w:lang w:eastAsia="sq-AL"/>
                    </w:rPr>
                  </w:pPr>
                  <w:r w:rsidRPr="00474D79">
                    <w:rPr>
                      <w:rFonts w:ascii="Garamond" w:eastAsia="Times New Roman" w:hAnsi="Garamond" w:cs="Times New Roman"/>
                      <w:b/>
                      <w:bCs/>
                      <w:color w:val="000000"/>
                      <w:sz w:val="20"/>
                      <w:szCs w:val="20"/>
                      <w:lang w:eastAsia="sq-AL"/>
                    </w:rPr>
                    <w:t>Numër</w:t>
                  </w:r>
                </w:p>
              </w:tc>
            </w:tr>
            <w:tr w:rsidR="004A4F48" w:rsidRPr="00474D79" w14:paraId="6E25021D" w14:textId="77777777" w:rsidTr="004A4F48">
              <w:trPr>
                <w:trHeight w:val="322"/>
              </w:trPr>
              <w:tc>
                <w:tcPr>
                  <w:tcW w:w="4768" w:type="dxa"/>
                  <w:tcBorders>
                    <w:top w:val="single" w:sz="4" w:space="0" w:color="auto"/>
                    <w:left w:val="single" w:sz="8" w:space="0" w:color="auto"/>
                    <w:bottom w:val="nil"/>
                    <w:right w:val="single" w:sz="8" w:space="0" w:color="auto"/>
                  </w:tcBorders>
                  <w:shd w:val="clear" w:color="auto" w:fill="auto"/>
                  <w:vAlign w:val="center"/>
                  <w:hideMark/>
                </w:tcPr>
                <w:p w14:paraId="6E25021A"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i/>
                      <w:color w:val="000000"/>
                      <w:sz w:val="20"/>
                      <w:szCs w:val="20"/>
                      <w:lang w:eastAsia="sq-AL"/>
                    </w:rPr>
                    <w:t>Software</w:t>
                  </w:r>
                  <w:r w:rsidRPr="00474D79">
                    <w:rPr>
                      <w:rFonts w:ascii="Garamond" w:eastAsia="Times New Roman" w:hAnsi="Garamond" w:cs="Times New Roman"/>
                      <w:color w:val="000000"/>
                      <w:sz w:val="20"/>
                      <w:szCs w:val="20"/>
                      <w:lang w:eastAsia="sq-AL"/>
                    </w:rPr>
                    <w:t>/program i dëmshëm (</w:t>
                  </w:r>
                  <w:r w:rsidRPr="00474D79">
                    <w:rPr>
                      <w:rFonts w:ascii="Garamond" w:eastAsia="Times New Roman" w:hAnsi="Garamond" w:cs="Times New Roman"/>
                      <w:i/>
                      <w:color w:val="000000"/>
                      <w:sz w:val="20"/>
                      <w:szCs w:val="20"/>
                      <w:lang w:eastAsia="sq-AL"/>
                    </w:rPr>
                    <w:t>Malware</w:t>
                  </w:r>
                  <w:r w:rsidRPr="00474D79">
                    <w:rPr>
                      <w:rFonts w:ascii="Garamond" w:eastAsia="Times New Roman" w:hAnsi="Garamond" w:cs="Times New Roman"/>
                      <w:color w:val="000000"/>
                      <w:sz w:val="20"/>
                      <w:szCs w:val="20"/>
                      <w:lang w:eastAsia="sq-AL"/>
                    </w:rPr>
                    <w:t>)</w:t>
                  </w:r>
                </w:p>
              </w:tc>
              <w:tc>
                <w:tcPr>
                  <w:tcW w:w="2700" w:type="dxa"/>
                  <w:tcBorders>
                    <w:top w:val="single" w:sz="4" w:space="0" w:color="auto"/>
                    <w:left w:val="nil"/>
                    <w:bottom w:val="single" w:sz="8" w:space="0" w:color="auto"/>
                    <w:right w:val="single" w:sz="8" w:space="0" w:color="auto"/>
                  </w:tcBorders>
                  <w:shd w:val="clear" w:color="auto" w:fill="auto"/>
                  <w:vAlign w:val="center"/>
                  <w:hideMark/>
                </w:tcPr>
                <w:p w14:paraId="6E25021B"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Ransomware</w:t>
                  </w:r>
                </w:p>
              </w:tc>
              <w:tc>
                <w:tcPr>
                  <w:tcW w:w="1080" w:type="dxa"/>
                  <w:tcBorders>
                    <w:top w:val="single" w:sz="4" w:space="0" w:color="auto"/>
                    <w:left w:val="nil"/>
                    <w:bottom w:val="single" w:sz="8" w:space="0" w:color="auto"/>
                    <w:right w:val="single" w:sz="8" w:space="0" w:color="auto"/>
                  </w:tcBorders>
                  <w:shd w:val="clear" w:color="auto" w:fill="auto"/>
                  <w:vAlign w:val="center"/>
                  <w:hideMark/>
                </w:tcPr>
                <w:p w14:paraId="6E25021C"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21" w14:textId="77777777" w:rsidTr="004A4F48">
              <w:trPr>
                <w:trHeight w:val="250"/>
              </w:trPr>
              <w:tc>
                <w:tcPr>
                  <w:tcW w:w="4768" w:type="dxa"/>
                  <w:tcBorders>
                    <w:top w:val="nil"/>
                    <w:left w:val="single" w:sz="8" w:space="0" w:color="auto"/>
                    <w:bottom w:val="nil"/>
                    <w:right w:val="single" w:sz="8" w:space="0" w:color="auto"/>
                  </w:tcBorders>
                  <w:shd w:val="clear" w:color="auto" w:fill="auto"/>
                  <w:vAlign w:val="center"/>
                  <w:hideMark/>
                </w:tcPr>
                <w:p w14:paraId="6E25021E"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p>
              </w:tc>
              <w:tc>
                <w:tcPr>
                  <w:tcW w:w="2700" w:type="dxa"/>
                  <w:tcBorders>
                    <w:top w:val="nil"/>
                    <w:left w:val="nil"/>
                    <w:bottom w:val="single" w:sz="8" w:space="0" w:color="auto"/>
                    <w:right w:val="single" w:sz="8" w:space="0" w:color="auto"/>
                  </w:tcBorders>
                  <w:shd w:val="clear" w:color="auto" w:fill="auto"/>
                  <w:vAlign w:val="center"/>
                  <w:hideMark/>
                </w:tcPr>
                <w:p w14:paraId="6E25021F"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Trojan horse</w:t>
                  </w:r>
                  <w:r w:rsidRPr="00474D79">
                    <w:rPr>
                      <w:rFonts w:ascii="Garamond" w:eastAsia="Times New Roman" w:hAnsi="Garamond" w:cs="Times New Roman"/>
                      <w:i/>
                      <w:color w:val="1F497D"/>
                      <w:sz w:val="20"/>
                      <w:szCs w:val="20"/>
                      <w:lang w:eastAsia="sq-AL"/>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6E250220"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25" w14:textId="77777777" w:rsidTr="004A4F48">
              <w:trPr>
                <w:trHeight w:val="250"/>
              </w:trPr>
              <w:tc>
                <w:tcPr>
                  <w:tcW w:w="4768" w:type="dxa"/>
                  <w:tcBorders>
                    <w:top w:val="nil"/>
                    <w:left w:val="single" w:sz="8" w:space="0" w:color="auto"/>
                    <w:bottom w:val="nil"/>
                    <w:right w:val="single" w:sz="8" w:space="0" w:color="auto"/>
                  </w:tcBorders>
                  <w:shd w:val="clear" w:color="auto" w:fill="auto"/>
                  <w:hideMark/>
                </w:tcPr>
                <w:p w14:paraId="6E250222"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23"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Virus</w:t>
                  </w:r>
                </w:p>
              </w:tc>
              <w:tc>
                <w:tcPr>
                  <w:tcW w:w="1080" w:type="dxa"/>
                  <w:tcBorders>
                    <w:top w:val="nil"/>
                    <w:left w:val="nil"/>
                    <w:bottom w:val="single" w:sz="8" w:space="0" w:color="auto"/>
                    <w:right w:val="single" w:sz="8" w:space="0" w:color="auto"/>
                  </w:tcBorders>
                  <w:shd w:val="clear" w:color="auto" w:fill="auto"/>
                  <w:vAlign w:val="center"/>
                  <w:hideMark/>
                </w:tcPr>
                <w:p w14:paraId="6E250224"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29" w14:textId="77777777" w:rsidTr="004A4F48">
              <w:trPr>
                <w:trHeight w:val="300"/>
              </w:trPr>
              <w:tc>
                <w:tcPr>
                  <w:tcW w:w="4768" w:type="dxa"/>
                  <w:tcBorders>
                    <w:top w:val="nil"/>
                    <w:left w:val="single" w:sz="8" w:space="0" w:color="auto"/>
                    <w:bottom w:val="nil"/>
                    <w:right w:val="single" w:sz="8" w:space="0" w:color="auto"/>
                  </w:tcBorders>
                  <w:shd w:val="clear" w:color="auto" w:fill="auto"/>
                  <w:hideMark/>
                </w:tcPr>
                <w:p w14:paraId="6E250226"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27"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Worm</w:t>
                  </w:r>
                </w:p>
              </w:tc>
              <w:tc>
                <w:tcPr>
                  <w:tcW w:w="1080" w:type="dxa"/>
                  <w:tcBorders>
                    <w:top w:val="nil"/>
                    <w:left w:val="nil"/>
                    <w:bottom w:val="single" w:sz="8" w:space="0" w:color="auto"/>
                    <w:right w:val="single" w:sz="8" w:space="0" w:color="auto"/>
                  </w:tcBorders>
                  <w:shd w:val="clear" w:color="auto" w:fill="auto"/>
                  <w:vAlign w:val="center"/>
                  <w:hideMark/>
                </w:tcPr>
                <w:p w14:paraId="6E250228"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2D" w14:textId="77777777" w:rsidTr="004A4F48">
              <w:trPr>
                <w:trHeight w:val="358"/>
              </w:trPr>
              <w:tc>
                <w:tcPr>
                  <w:tcW w:w="4768" w:type="dxa"/>
                  <w:tcBorders>
                    <w:top w:val="nil"/>
                    <w:left w:val="single" w:sz="8" w:space="0" w:color="auto"/>
                    <w:bottom w:val="nil"/>
                    <w:right w:val="single" w:sz="8" w:space="0" w:color="auto"/>
                  </w:tcBorders>
                  <w:shd w:val="clear" w:color="auto" w:fill="auto"/>
                  <w:hideMark/>
                </w:tcPr>
                <w:p w14:paraId="6E25022A"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2B"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Spyware/Adware</w:t>
                  </w:r>
                </w:p>
              </w:tc>
              <w:tc>
                <w:tcPr>
                  <w:tcW w:w="1080" w:type="dxa"/>
                  <w:tcBorders>
                    <w:top w:val="nil"/>
                    <w:left w:val="nil"/>
                    <w:bottom w:val="single" w:sz="8" w:space="0" w:color="auto"/>
                    <w:right w:val="single" w:sz="8" w:space="0" w:color="auto"/>
                  </w:tcBorders>
                  <w:shd w:val="clear" w:color="auto" w:fill="auto"/>
                  <w:vAlign w:val="center"/>
                  <w:hideMark/>
                </w:tcPr>
                <w:p w14:paraId="6E25022C"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31" w14:textId="77777777" w:rsidTr="004A4F48">
              <w:trPr>
                <w:trHeight w:val="340"/>
              </w:trPr>
              <w:tc>
                <w:tcPr>
                  <w:tcW w:w="4768" w:type="dxa"/>
                  <w:tcBorders>
                    <w:top w:val="nil"/>
                    <w:left w:val="single" w:sz="8" w:space="0" w:color="auto"/>
                    <w:bottom w:val="single" w:sz="8" w:space="0" w:color="auto"/>
                    <w:right w:val="single" w:sz="8" w:space="0" w:color="auto"/>
                  </w:tcBorders>
                  <w:shd w:val="clear" w:color="auto" w:fill="auto"/>
                  <w:hideMark/>
                </w:tcPr>
                <w:p w14:paraId="6E25022E"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2F"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Mobile malware</w:t>
                  </w:r>
                </w:p>
              </w:tc>
              <w:tc>
                <w:tcPr>
                  <w:tcW w:w="1080" w:type="dxa"/>
                  <w:tcBorders>
                    <w:top w:val="nil"/>
                    <w:left w:val="nil"/>
                    <w:bottom w:val="single" w:sz="8" w:space="0" w:color="auto"/>
                    <w:right w:val="single" w:sz="8" w:space="0" w:color="auto"/>
                  </w:tcBorders>
                  <w:shd w:val="clear" w:color="auto" w:fill="auto"/>
                  <w:vAlign w:val="center"/>
                  <w:hideMark/>
                </w:tcPr>
                <w:p w14:paraId="6E250230"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35" w14:textId="77777777" w:rsidTr="004A4F48">
              <w:trPr>
                <w:trHeight w:val="250"/>
              </w:trPr>
              <w:tc>
                <w:tcPr>
                  <w:tcW w:w="4768" w:type="dxa"/>
                  <w:tcBorders>
                    <w:top w:val="nil"/>
                    <w:left w:val="single" w:sz="8" w:space="0" w:color="auto"/>
                    <w:bottom w:val="nil"/>
                    <w:right w:val="single" w:sz="8" w:space="0" w:color="auto"/>
                  </w:tcBorders>
                  <w:shd w:val="clear" w:color="auto" w:fill="auto"/>
                  <w:vAlign w:val="center"/>
                  <w:hideMark/>
                </w:tcPr>
                <w:p w14:paraId="6E250232"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Sulmet e inxhinierisë sociale (</w:t>
                  </w:r>
                  <w:r w:rsidRPr="00474D79">
                    <w:rPr>
                      <w:rFonts w:ascii="Garamond" w:eastAsia="Times New Roman" w:hAnsi="Garamond" w:cs="Times New Roman"/>
                      <w:i/>
                      <w:color w:val="000000"/>
                      <w:sz w:val="20"/>
                      <w:szCs w:val="20"/>
                      <w:lang w:eastAsia="sq-AL"/>
                    </w:rPr>
                    <w:t>Social Engineering</w:t>
                  </w:r>
                  <w:r w:rsidRPr="00474D79">
                    <w:rPr>
                      <w:rFonts w:ascii="Garamond" w:eastAsia="Times New Roman" w:hAnsi="Garamond" w:cs="Times New Roman"/>
                      <w:color w:val="000000"/>
                      <w:sz w:val="20"/>
                      <w:szCs w:val="20"/>
                      <w:lang w:eastAsia="sq-AL"/>
                    </w:rPr>
                    <w:t>)</w:t>
                  </w:r>
                </w:p>
              </w:tc>
              <w:tc>
                <w:tcPr>
                  <w:tcW w:w="2700" w:type="dxa"/>
                  <w:tcBorders>
                    <w:top w:val="nil"/>
                    <w:left w:val="nil"/>
                    <w:bottom w:val="single" w:sz="8" w:space="0" w:color="auto"/>
                    <w:right w:val="single" w:sz="8" w:space="0" w:color="auto"/>
                  </w:tcBorders>
                  <w:shd w:val="clear" w:color="auto" w:fill="auto"/>
                  <w:vAlign w:val="center"/>
                  <w:hideMark/>
                </w:tcPr>
                <w:p w14:paraId="6E250233"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Phishing</w:t>
                  </w:r>
                </w:p>
              </w:tc>
              <w:tc>
                <w:tcPr>
                  <w:tcW w:w="1080" w:type="dxa"/>
                  <w:tcBorders>
                    <w:top w:val="nil"/>
                    <w:left w:val="nil"/>
                    <w:bottom w:val="single" w:sz="8" w:space="0" w:color="auto"/>
                    <w:right w:val="single" w:sz="8" w:space="0" w:color="auto"/>
                  </w:tcBorders>
                  <w:shd w:val="clear" w:color="auto" w:fill="auto"/>
                  <w:vAlign w:val="center"/>
                  <w:hideMark/>
                </w:tcPr>
                <w:p w14:paraId="6E250234"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39" w14:textId="77777777" w:rsidTr="004A4F48">
              <w:trPr>
                <w:trHeight w:val="241"/>
              </w:trPr>
              <w:tc>
                <w:tcPr>
                  <w:tcW w:w="4768" w:type="dxa"/>
                  <w:tcBorders>
                    <w:top w:val="nil"/>
                    <w:left w:val="single" w:sz="8" w:space="0" w:color="auto"/>
                    <w:bottom w:val="nil"/>
                    <w:right w:val="single" w:sz="8" w:space="0" w:color="auto"/>
                  </w:tcBorders>
                  <w:shd w:val="clear" w:color="auto" w:fill="auto"/>
                  <w:vAlign w:val="center"/>
                  <w:hideMark/>
                </w:tcPr>
                <w:p w14:paraId="6E250236"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p>
              </w:tc>
              <w:tc>
                <w:tcPr>
                  <w:tcW w:w="2700" w:type="dxa"/>
                  <w:tcBorders>
                    <w:top w:val="nil"/>
                    <w:left w:val="nil"/>
                    <w:bottom w:val="single" w:sz="8" w:space="0" w:color="auto"/>
                    <w:right w:val="single" w:sz="8" w:space="0" w:color="auto"/>
                  </w:tcBorders>
                  <w:shd w:val="clear" w:color="auto" w:fill="auto"/>
                  <w:vAlign w:val="center"/>
                  <w:hideMark/>
                </w:tcPr>
                <w:p w14:paraId="6E250237"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Spear Phishing</w:t>
                  </w:r>
                </w:p>
              </w:tc>
              <w:tc>
                <w:tcPr>
                  <w:tcW w:w="1080" w:type="dxa"/>
                  <w:tcBorders>
                    <w:top w:val="nil"/>
                    <w:left w:val="nil"/>
                    <w:bottom w:val="single" w:sz="8" w:space="0" w:color="auto"/>
                    <w:right w:val="single" w:sz="8" w:space="0" w:color="auto"/>
                  </w:tcBorders>
                  <w:shd w:val="clear" w:color="auto" w:fill="auto"/>
                  <w:vAlign w:val="center"/>
                  <w:hideMark/>
                </w:tcPr>
                <w:p w14:paraId="6E250238"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3D" w14:textId="77777777" w:rsidTr="004A4F48">
              <w:trPr>
                <w:trHeight w:val="300"/>
              </w:trPr>
              <w:tc>
                <w:tcPr>
                  <w:tcW w:w="4768" w:type="dxa"/>
                  <w:tcBorders>
                    <w:top w:val="nil"/>
                    <w:left w:val="single" w:sz="8" w:space="0" w:color="auto"/>
                    <w:bottom w:val="nil"/>
                    <w:right w:val="single" w:sz="8" w:space="0" w:color="auto"/>
                  </w:tcBorders>
                  <w:shd w:val="clear" w:color="auto" w:fill="auto"/>
                  <w:hideMark/>
                </w:tcPr>
                <w:p w14:paraId="6E25023A"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3B"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 xml:space="preserve">Pretexting </w:t>
                  </w:r>
                </w:p>
              </w:tc>
              <w:tc>
                <w:tcPr>
                  <w:tcW w:w="1080" w:type="dxa"/>
                  <w:tcBorders>
                    <w:top w:val="nil"/>
                    <w:left w:val="nil"/>
                    <w:bottom w:val="single" w:sz="8" w:space="0" w:color="auto"/>
                    <w:right w:val="single" w:sz="8" w:space="0" w:color="auto"/>
                  </w:tcBorders>
                  <w:shd w:val="clear" w:color="auto" w:fill="auto"/>
                  <w:vAlign w:val="center"/>
                  <w:hideMark/>
                </w:tcPr>
                <w:p w14:paraId="6E25023C"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41" w14:textId="77777777" w:rsidTr="004A4F48">
              <w:trPr>
                <w:trHeight w:val="470"/>
              </w:trPr>
              <w:tc>
                <w:tcPr>
                  <w:tcW w:w="4768" w:type="dxa"/>
                  <w:tcBorders>
                    <w:top w:val="nil"/>
                    <w:left w:val="single" w:sz="8" w:space="0" w:color="auto"/>
                    <w:bottom w:val="single" w:sz="8" w:space="0" w:color="auto"/>
                    <w:right w:val="single" w:sz="8" w:space="0" w:color="auto"/>
                  </w:tcBorders>
                  <w:shd w:val="clear" w:color="auto" w:fill="auto"/>
                  <w:hideMark/>
                </w:tcPr>
                <w:p w14:paraId="6E25023E"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3F"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Cyber squatting</w:t>
                  </w:r>
                </w:p>
              </w:tc>
              <w:tc>
                <w:tcPr>
                  <w:tcW w:w="1080" w:type="dxa"/>
                  <w:tcBorders>
                    <w:top w:val="nil"/>
                    <w:left w:val="nil"/>
                    <w:bottom w:val="single" w:sz="8" w:space="0" w:color="auto"/>
                    <w:right w:val="single" w:sz="8" w:space="0" w:color="auto"/>
                  </w:tcBorders>
                  <w:shd w:val="clear" w:color="auto" w:fill="auto"/>
                  <w:vAlign w:val="center"/>
                  <w:hideMark/>
                </w:tcPr>
                <w:p w14:paraId="6E250240"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45" w14:textId="77777777" w:rsidTr="004A4F48">
              <w:trPr>
                <w:trHeight w:val="277"/>
              </w:trPr>
              <w:tc>
                <w:tcPr>
                  <w:tcW w:w="4768" w:type="dxa"/>
                  <w:tcBorders>
                    <w:top w:val="nil"/>
                    <w:left w:val="single" w:sz="8" w:space="0" w:color="auto"/>
                    <w:bottom w:val="nil"/>
                    <w:right w:val="single" w:sz="8" w:space="0" w:color="auto"/>
                  </w:tcBorders>
                  <w:shd w:val="clear" w:color="auto" w:fill="auto"/>
                  <w:vAlign w:val="center"/>
                  <w:hideMark/>
                </w:tcPr>
                <w:p w14:paraId="6E250242"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Sulme nga punonjës ose palë të treta që aksidentalisht dhe/ose qëllimisht keqpërdorin të drejtat e aksesit</w:t>
                  </w:r>
                </w:p>
              </w:tc>
              <w:tc>
                <w:tcPr>
                  <w:tcW w:w="2700" w:type="dxa"/>
                  <w:tcBorders>
                    <w:top w:val="nil"/>
                    <w:left w:val="nil"/>
                    <w:bottom w:val="single" w:sz="8" w:space="0" w:color="auto"/>
                    <w:right w:val="single" w:sz="8" w:space="0" w:color="auto"/>
                  </w:tcBorders>
                  <w:shd w:val="clear" w:color="auto" w:fill="auto"/>
                  <w:vAlign w:val="center"/>
                  <w:hideMark/>
                </w:tcPr>
                <w:p w14:paraId="6E250243"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Accidental misuse of access rights</w:t>
                  </w:r>
                </w:p>
              </w:tc>
              <w:tc>
                <w:tcPr>
                  <w:tcW w:w="1080" w:type="dxa"/>
                  <w:tcBorders>
                    <w:top w:val="nil"/>
                    <w:left w:val="nil"/>
                    <w:bottom w:val="single" w:sz="8" w:space="0" w:color="auto"/>
                    <w:right w:val="single" w:sz="8" w:space="0" w:color="auto"/>
                  </w:tcBorders>
                  <w:shd w:val="clear" w:color="auto" w:fill="auto"/>
                  <w:vAlign w:val="center"/>
                  <w:hideMark/>
                </w:tcPr>
                <w:p w14:paraId="6E250244"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49" w14:textId="77777777" w:rsidTr="004A4F48">
              <w:trPr>
                <w:trHeight w:val="331"/>
              </w:trPr>
              <w:tc>
                <w:tcPr>
                  <w:tcW w:w="4768" w:type="dxa"/>
                  <w:tcBorders>
                    <w:top w:val="nil"/>
                    <w:left w:val="single" w:sz="8" w:space="0" w:color="auto"/>
                    <w:bottom w:val="nil"/>
                    <w:right w:val="single" w:sz="8" w:space="0" w:color="auto"/>
                  </w:tcBorders>
                  <w:shd w:val="clear" w:color="auto" w:fill="auto"/>
                  <w:vAlign w:val="center"/>
                  <w:hideMark/>
                </w:tcPr>
                <w:p w14:paraId="6E250246"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w:t>
                  </w:r>
                  <w:r w:rsidRPr="00474D79">
                    <w:rPr>
                      <w:rFonts w:ascii="Garamond" w:eastAsia="Times New Roman" w:hAnsi="Garamond" w:cs="Times New Roman"/>
                      <w:i/>
                      <w:color w:val="000000"/>
                      <w:sz w:val="20"/>
                      <w:szCs w:val="20"/>
                      <w:lang w:eastAsia="sq-AL"/>
                    </w:rPr>
                    <w:t>Insider/Third Party Provider Event and/or</w:t>
                  </w:r>
                </w:p>
              </w:tc>
              <w:tc>
                <w:tcPr>
                  <w:tcW w:w="2700" w:type="dxa"/>
                  <w:tcBorders>
                    <w:top w:val="nil"/>
                    <w:left w:val="nil"/>
                    <w:bottom w:val="single" w:sz="8" w:space="0" w:color="auto"/>
                    <w:right w:val="single" w:sz="8" w:space="0" w:color="auto"/>
                  </w:tcBorders>
                  <w:shd w:val="clear" w:color="auto" w:fill="auto"/>
                  <w:vAlign w:val="center"/>
                  <w:hideMark/>
                </w:tcPr>
                <w:p w14:paraId="6E250247"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Intentional misuse of access rights by service provider</w:t>
                  </w:r>
                </w:p>
              </w:tc>
              <w:tc>
                <w:tcPr>
                  <w:tcW w:w="1080" w:type="dxa"/>
                  <w:tcBorders>
                    <w:top w:val="nil"/>
                    <w:left w:val="nil"/>
                    <w:bottom w:val="single" w:sz="8" w:space="0" w:color="auto"/>
                    <w:right w:val="single" w:sz="8" w:space="0" w:color="auto"/>
                  </w:tcBorders>
                  <w:shd w:val="clear" w:color="auto" w:fill="auto"/>
                  <w:vAlign w:val="center"/>
                  <w:hideMark/>
                </w:tcPr>
                <w:p w14:paraId="6E250248"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4D" w14:textId="77777777" w:rsidTr="004A4F48">
              <w:trPr>
                <w:trHeight w:val="40"/>
              </w:trPr>
              <w:tc>
                <w:tcPr>
                  <w:tcW w:w="4768" w:type="dxa"/>
                  <w:tcBorders>
                    <w:top w:val="nil"/>
                    <w:left w:val="single" w:sz="8" w:space="0" w:color="auto"/>
                    <w:bottom w:val="nil"/>
                    <w:right w:val="single" w:sz="8" w:space="0" w:color="auto"/>
                  </w:tcBorders>
                  <w:shd w:val="clear" w:color="auto" w:fill="auto"/>
                  <w:vAlign w:val="center"/>
                  <w:hideMark/>
                </w:tcPr>
                <w:p w14:paraId="6E25024A"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i/>
                      <w:color w:val="000000"/>
                      <w:sz w:val="20"/>
                      <w:szCs w:val="20"/>
                      <w:lang w:eastAsia="sq-AL"/>
                    </w:rPr>
                    <w:t>Misuses of access rights</w:t>
                  </w:r>
                  <w:r w:rsidRPr="00474D79">
                    <w:rPr>
                      <w:rFonts w:ascii="Garamond" w:eastAsia="Times New Roman" w:hAnsi="Garamond" w:cs="Times New Roman"/>
                      <w:color w:val="000000"/>
                      <w:sz w:val="20"/>
                      <w:szCs w:val="20"/>
                      <w:lang w:eastAsia="sq-AL"/>
                    </w:rPr>
                    <w:t>)</w:t>
                  </w:r>
                </w:p>
              </w:tc>
              <w:tc>
                <w:tcPr>
                  <w:tcW w:w="2700" w:type="dxa"/>
                  <w:tcBorders>
                    <w:top w:val="nil"/>
                    <w:left w:val="nil"/>
                    <w:bottom w:val="single" w:sz="8" w:space="0" w:color="auto"/>
                    <w:right w:val="single" w:sz="8" w:space="0" w:color="auto"/>
                  </w:tcBorders>
                  <w:shd w:val="clear" w:color="auto" w:fill="auto"/>
                  <w:vAlign w:val="center"/>
                  <w:hideMark/>
                </w:tcPr>
                <w:p w14:paraId="6E25024B"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Intentional misuse of access rights by insider</w:t>
                  </w:r>
                </w:p>
              </w:tc>
              <w:tc>
                <w:tcPr>
                  <w:tcW w:w="1080" w:type="dxa"/>
                  <w:tcBorders>
                    <w:top w:val="nil"/>
                    <w:left w:val="nil"/>
                    <w:bottom w:val="single" w:sz="8" w:space="0" w:color="auto"/>
                    <w:right w:val="single" w:sz="8" w:space="0" w:color="auto"/>
                  </w:tcBorders>
                  <w:shd w:val="clear" w:color="auto" w:fill="auto"/>
                  <w:vAlign w:val="center"/>
                  <w:hideMark/>
                </w:tcPr>
                <w:p w14:paraId="6E25024C"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51" w14:textId="77777777" w:rsidTr="004A4F48">
              <w:trPr>
                <w:trHeight w:val="241"/>
              </w:trPr>
              <w:tc>
                <w:tcPr>
                  <w:tcW w:w="4768" w:type="dxa"/>
                  <w:tcBorders>
                    <w:top w:val="nil"/>
                    <w:left w:val="single" w:sz="8" w:space="0" w:color="auto"/>
                    <w:bottom w:val="single" w:sz="8" w:space="0" w:color="auto"/>
                    <w:right w:val="single" w:sz="8" w:space="0" w:color="auto"/>
                  </w:tcBorders>
                  <w:shd w:val="clear" w:color="auto" w:fill="auto"/>
                  <w:hideMark/>
                </w:tcPr>
                <w:p w14:paraId="6E25024E"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4F"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Policy violation (Insider/ TPP)</w:t>
                  </w:r>
                </w:p>
              </w:tc>
              <w:tc>
                <w:tcPr>
                  <w:tcW w:w="1080" w:type="dxa"/>
                  <w:tcBorders>
                    <w:top w:val="nil"/>
                    <w:left w:val="nil"/>
                    <w:bottom w:val="single" w:sz="8" w:space="0" w:color="auto"/>
                    <w:right w:val="single" w:sz="8" w:space="0" w:color="auto"/>
                  </w:tcBorders>
                  <w:shd w:val="clear" w:color="auto" w:fill="auto"/>
                  <w:vAlign w:val="center"/>
                  <w:hideMark/>
                </w:tcPr>
                <w:p w14:paraId="6E250250"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55" w14:textId="77777777" w:rsidTr="004A4F48">
              <w:trPr>
                <w:trHeight w:val="268"/>
              </w:trPr>
              <w:tc>
                <w:tcPr>
                  <w:tcW w:w="4768" w:type="dxa"/>
                  <w:tcBorders>
                    <w:top w:val="nil"/>
                    <w:left w:val="single" w:sz="8" w:space="0" w:color="auto"/>
                    <w:bottom w:val="nil"/>
                    <w:right w:val="single" w:sz="8" w:space="0" w:color="auto"/>
                  </w:tcBorders>
                  <w:shd w:val="clear" w:color="auto" w:fill="auto"/>
                  <w:vAlign w:val="center"/>
                  <w:hideMark/>
                </w:tcPr>
                <w:p w14:paraId="6E250252"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Akses i paautorizuar i qëllimshëm</w:t>
                  </w:r>
                </w:p>
              </w:tc>
              <w:tc>
                <w:tcPr>
                  <w:tcW w:w="2700" w:type="dxa"/>
                  <w:tcBorders>
                    <w:top w:val="nil"/>
                    <w:left w:val="nil"/>
                    <w:bottom w:val="single" w:sz="8" w:space="0" w:color="auto"/>
                    <w:right w:val="single" w:sz="8" w:space="0" w:color="auto"/>
                  </w:tcBorders>
                  <w:shd w:val="clear" w:color="auto" w:fill="auto"/>
                  <w:vAlign w:val="center"/>
                  <w:hideMark/>
                </w:tcPr>
                <w:p w14:paraId="6E250253"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Brute force attack</w:t>
                  </w:r>
                </w:p>
              </w:tc>
              <w:tc>
                <w:tcPr>
                  <w:tcW w:w="1080" w:type="dxa"/>
                  <w:tcBorders>
                    <w:top w:val="nil"/>
                    <w:left w:val="nil"/>
                    <w:bottom w:val="single" w:sz="8" w:space="0" w:color="auto"/>
                    <w:right w:val="single" w:sz="8" w:space="0" w:color="auto"/>
                  </w:tcBorders>
                  <w:shd w:val="clear" w:color="auto" w:fill="auto"/>
                  <w:vAlign w:val="center"/>
                  <w:hideMark/>
                </w:tcPr>
                <w:p w14:paraId="6E250254"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59" w14:textId="77777777" w:rsidTr="004A4F48">
              <w:trPr>
                <w:trHeight w:val="430"/>
              </w:trPr>
              <w:tc>
                <w:tcPr>
                  <w:tcW w:w="4768" w:type="dxa"/>
                  <w:tcBorders>
                    <w:top w:val="nil"/>
                    <w:left w:val="single" w:sz="8" w:space="0" w:color="auto"/>
                    <w:bottom w:val="nil"/>
                    <w:right w:val="single" w:sz="8" w:space="0" w:color="auto"/>
                  </w:tcBorders>
                  <w:shd w:val="clear" w:color="auto" w:fill="auto"/>
                  <w:vAlign w:val="center"/>
                  <w:hideMark/>
                </w:tcPr>
                <w:p w14:paraId="6E250256"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w:t>
                  </w:r>
                  <w:r w:rsidRPr="00474D79">
                    <w:rPr>
                      <w:rFonts w:ascii="Garamond" w:eastAsia="Times New Roman" w:hAnsi="Garamond" w:cs="Times New Roman"/>
                      <w:i/>
                      <w:color w:val="000000"/>
                      <w:sz w:val="20"/>
                      <w:szCs w:val="20"/>
                      <w:lang w:eastAsia="sq-AL"/>
                    </w:rPr>
                    <w:t>Unauthorised Access intentional</w:t>
                  </w:r>
                  <w:r w:rsidRPr="00474D79">
                    <w:rPr>
                      <w:rFonts w:ascii="Garamond" w:eastAsia="Times New Roman" w:hAnsi="Garamond" w:cs="Times New Roman"/>
                      <w:color w:val="000000"/>
                      <w:sz w:val="20"/>
                      <w:szCs w:val="20"/>
                      <w:lang w:eastAsia="sq-AL"/>
                    </w:rPr>
                    <w:t>)</w:t>
                  </w:r>
                </w:p>
              </w:tc>
              <w:tc>
                <w:tcPr>
                  <w:tcW w:w="2700" w:type="dxa"/>
                  <w:tcBorders>
                    <w:top w:val="nil"/>
                    <w:left w:val="nil"/>
                    <w:bottom w:val="single" w:sz="8" w:space="0" w:color="auto"/>
                    <w:right w:val="single" w:sz="8" w:space="0" w:color="auto"/>
                  </w:tcBorders>
                  <w:shd w:val="clear" w:color="auto" w:fill="auto"/>
                  <w:vAlign w:val="center"/>
                  <w:hideMark/>
                </w:tcPr>
                <w:p w14:paraId="6E250257"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Malicious script injection and/or OS commanding</w:t>
                  </w:r>
                </w:p>
              </w:tc>
              <w:tc>
                <w:tcPr>
                  <w:tcW w:w="1080" w:type="dxa"/>
                  <w:tcBorders>
                    <w:top w:val="nil"/>
                    <w:left w:val="nil"/>
                    <w:bottom w:val="single" w:sz="8" w:space="0" w:color="auto"/>
                    <w:right w:val="single" w:sz="8" w:space="0" w:color="auto"/>
                  </w:tcBorders>
                  <w:shd w:val="clear" w:color="auto" w:fill="auto"/>
                  <w:vAlign w:val="center"/>
                  <w:hideMark/>
                </w:tcPr>
                <w:p w14:paraId="6E250258"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5D" w14:textId="77777777" w:rsidTr="004A4F48">
              <w:trPr>
                <w:trHeight w:val="250"/>
              </w:trPr>
              <w:tc>
                <w:tcPr>
                  <w:tcW w:w="4768" w:type="dxa"/>
                  <w:tcBorders>
                    <w:top w:val="nil"/>
                    <w:left w:val="single" w:sz="8" w:space="0" w:color="auto"/>
                    <w:bottom w:val="nil"/>
                    <w:right w:val="single" w:sz="8" w:space="0" w:color="auto"/>
                  </w:tcBorders>
                  <w:shd w:val="clear" w:color="auto" w:fill="auto"/>
                  <w:vAlign w:val="center"/>
                  <w:hideMark/>
                </w:tcPr>
                <w:p w14:paraId="6E25025A"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5B"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SQL Injection</w:t>
                  </w:r>
                </w:p>
              </w:tc>
              <w:tc>
                <w:tcPr>
                  <w:tcW w:w="1080" w:type="dxa"/>
                  <w:tcBorders>
                    <w:top w:val="nil"/>
                    <w:left w:val="nil"/>
                    <w:bottom w:val="single" w:sz="8" w:space="0" w:color="auto"/>
                    <w:right w:val="single" w:sz="8" w:space="0" w:color="auto"/>
                  </w:tcBorders>
                  <w:shd w:val="clear" w:color="auto" w:fill="auto"/>
                  <w:vAlign w:val="center"/>
                  <w:hideMark/>
                </w:tcPr>
                <w:p w14:paraId="6E25025C"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61" w14:textId="77777777" w:rsidTr="004A4F48">
              <w:trPr>
                <w:trHeight w:val="340"/>
              </w:trPr>
              <w:tc>
                <w:tcPr>
                  <w:tcW w:w="4768" w:type="dxa"/>
                  <w:tcBorders>
                    <w:top w:val="nil"/>
                    <w:left w:val="single" w:sz="8" w:space="0" w:color="auto"/>
                    <w:bottom w:val="nil"/>
                    <w:right w:val="single" w:sz="8" w:space="0" w:color="auto"/>
                  </w:tcBorders>
                  <w:shd w:val="clear" w:color="auto" w:fill="auto"/>
                  <w:hideMark/>
                </w:tcPr>
                <w:p w14:paraId="6E25025E"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5F"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Other exploited vulnerability</w:t>
                  </w:r>
                </w:p>
              </w:tc>
              <w:tc>
                <w:tcPr>
                  <w:tcW w:w="1080" w:type="dxa"/>
                  <w:tcBorders>
                    <w:top w:val="nil"/>
                    <w:left w:val="nil"/>
                    <w:bottom w:val="single" w:sz="8" w:space="0" w:color="auto"/>
                    <w:right w:val="single" w:sz="8" w:space="0" w:color="auto"/>
                  </w:tcBorders>
                  <w:shd w:val="clear" w:color="auto" w:fill="auto"/>
                  <w:vAlign w:val="center"/>
                  <w:hideMark/>
                </w:tcPr>
                <w:p w14:paraId="6E250260"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65" w14:textId="77777777" w:rsidTr="004A4F48">
              <w:trPr>
                <w:trHeight w:val="340"/>
              </w:trPr>
              <w:tc>
                <w:tcPr>
                  <w:tcW w:w="4768" w:type="dxa"/>
                  <w:tcBorders>
                    <w:top w:val="nil"/>
                    <w:left w:val="single" w:sz="8" w:space="0" w:color="auto"/>
                    <w:bottom w:val="single" w:sz="8" w:space="0" w:color="auto"/>
                    <w:right w:val="single" w:sz="8" w:space="0" w:color="auto"/>
                  </w:tcBorders>
                  <w:shd w:val="clear" w:color="auto" w:fill="auto"/>
                  <w:hideMark/>
                </w:tcPr>
                <w:p w14:paraId="6E250262"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63"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Information exposure</w:t>
                  </w:r>
                </w:p>
              </w:tc>
              <w:tc>
                <w:tcPr>
                  <w:tcW w:w="1080" w:type="dxa"/>
                  <w:tcBorders>
                    <w:top w:val="nil"/>
                    <w:left w:val="nil"/>
                    <w:bottom w:val="single" w:sz="8" w:space="0" w:color="auto"/>
                    <w:right w:val="single" w:sz="8" w:space="0" w:color="auto"/>
                  </w:tcBorders>
                  <w:shd w:val="clear" w:color="auto" w:fill="auto"/>
                  <w:vAlign w:val="center"/>
                  <w:hideMark/>
                </w:tcPr>
                <w:p w14:paraId="6E250264"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69" w14:textId="77777777" w:rsidTr="004A4F48">
              <w:trPr>
                <w:trHeight w:val="250"/>
              </w:trPr>
              <w:tc>
                <w:tcPr>
                  <w:tcW w:w="4768" w:type="dxa"/>
                  <w:tcBorders>
                    <w:top w:val="nil"/>
                    <w:left w:val="single" w:sz="8" w:space="0" w:color="auto"/>
                    <w:bottom w:val="nil"/>
                    <w:right w:val="single" w:sz="8" w:space="0" w:color="auto"/>
                  </w:tcBorders>
                  <w:shd w:val="clear" w:color="auto" w:fill="auto"/>
                  <w:vAlign w:val="center"/>
                  <w:hideMark/>
                </w:tcPr>
                <w:p w14:paraId="6E250266"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Sulm me shërbim të refuzuar/mohim shërbimi (</w:t>
                  </w:r>
                  <w:r w:rsidRPr="00474D79">
                    <w:rPr>
                      <w:rFonts w:ascii="Garamond" w:eastAsia="Times New Roman" w:hAnsi="Garamond" w:cs="Times New Roman"/>
                      <w:i/>
                      <w:color w:val="000000"/>
                      <w:sz w:val="20"/>
                      <w:szCs w:val="20"/>
                      <w:lang w:eastAsia="sq-AL"/>
                    </w:rPr>
                    <w:t>Denial of Service Attack</w:t>
                  </w:r>
                  <w:r w:rsidRPr="00474D79">
                    <w:rPr>
                      <w:rFonts w:ascii="Garamond" w:eastAsia="Times New Roman" w:hAnsi="Garamond" w:cs="Times New Roman"/>
                      <w:color w:val="000000"/>
                      <w:sz w:val="20"/>
                      <w:szCs w:val="20"/>
                      <w:lang w:eastAsia="sq-AL"/>
                    </w:rPr>
                    <w:t>)</w:t>
                  </w:r>
                </w:p>
              </w:tc>
              <w:tc>
                <w:tcPr>
                  <w:tcW w:w="2700" w:type="dxa"/>
                  <w:vMerge w:val="restart"/>
                  <w:tcBorders>
                    <w:top w:val="nil"/>
                    <w:left w:val="single" w:sz="8" w:space="0" w:color="auto"/>
                    <w:bottom w:val="single" w:sz="8" w:space="0" w:color="000000"/>
                    <w:right w:val="single" w:sz="8" w:space="0" w:color="auto"/>
                  </w:tcBorders>
                  <w:shd w:val="clear" w:color="auto" w:fill="auto"/>
                  <w:vAlign w:val="center"/>
                </w:tcPr>
                <w:p w14:paraId="6E250267" w14:textId="77777777" w:rsidR="004A4F48" w:rsidRPr="00474D79" w:rsidRDefault="004A4F48" w:rsidP="00FD3EF9">
                  <w:pPr>
                    <w:spacing w:after="0" w:line="240" w:lineRule="auto"/>
                    <w:rPr>
                      <w:rFonts w:ascii="Garamond" w:hAnsi="Garamond" w:cs="Times New Roman"/>
                      <w:i/>
                      <w:sz w:val="20"/>
                      <w:szCs w:val="20"/>
                    </w:rPr>
                  </w:pPr>
                  <w:r w:rsidRPr="00474D79">
                    <w:rPr>
                      <w:rFonts w:ascii="Garamond" w:hAnsi="Garamond" w:cs="Times New Roman"/>
                      <w:i/>
                      <w:sz w:val="20"/>
                      <w:szCs w:val="20"/>
                    </w:rPr>
                    <w:t>DoS attack</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6E250268"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6D" w14:textId="77777777" w:rsidTr="004A4F48">
              <w:trPr>
                <w:trHeight w:val="40"/>
              </w:trPr>
              <w:tc>
                <w:tcPr>
                  <w:tcW w:w="4768" w:type="dxa"/>
                  <w:tcBorders>
                    <w:top w:val="nil"/>
                    <w:left w:val="single" w:sz="8" w:space="0" w:color="auto"/>
                    <w:bottom w:val="nil"/>
                    <w:right w:val="single" w:sz="8" w:space="0" w:color="auto"/>
                  </w:tcBorders>
                  <w:shd w:val="clear" w:color="auto" w:fill="auto"/>
                  <w:vAlign w:val="center"/>
                  <w:hideMark/>
                </w:tcPr>
                <w:p w14:paraId="6E25026A"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p>
              </w:tc>
              <w:tc>
                <w:tcPr>
                  <w:tcW w:w="2700" w:type="dxa"/>
                  <w:vMerge/>
                  <w:tcBorders>
                    <w:top w:val="nil"/>
                    <w:left w:val="single" w:sz="8" w:space="0" w:color="auto"/>
                    <w:bottom w:val="single" w:sz="8" w:space="0" w:color="000000"/>
                    <w:right w:val="single" w:sz="8" w:space="0" w:color="auto"/>
                  </w:tcBorders>
                  <w:vAlign w:val="center"/>
                  <w:hideMark/>
                </w:tcPr>
                <w:p w14:paraId="6E25026B" w14:textId="77777777" w:rsidR="004A4F48" w:rsidRPr="00474D79" w:rsidRDefault="004A4F48" w:rsidP="00FD3EF9">
                  <w:pPr>
                    <w:spacing w:after="0" w:line="240" w:lineRule="auto"/>
                    <w:rPr>
                      <w:rFonts w:ascii="Garamond" w:eastAsia="Times New Roman" w:hAnsi="Garamond" w:cs="Times New Roman"/>
                      <w:i/>
                      <w:color w:val="000000"/>
                      <w:sz w:val="20"/>
                      <w:szCs w:val="20"/>
                      <w:lang w:eastAsia="sq-AL"/>
                    </w:rPr>
                  </w:pPr>
                </w:p>
              </w:tc>
              <w:tc>
                <w:tcPr>
                  <w:tcW w:w="1080" w:type="dxa"/>
                  <w:vMerge/>
                  <w:tcBorders>
                    <w:top w:val="nil"/>
                    <w:left w:val="single" w:sz="8" w:space="0" w:color="auto"/>
                    <w:bottom w:val="single" w:sz="8" w:space="0" w:color="000000"/>
                    <w:right w:val="single" w:sz="8" w:space="0" w:color="auto"/>
                  </w:tcBorders>
                  <w:vAlign w:val="center"/>
                  <w:hideMark/>
                </w:tcPr>
                <w:p w14:paraId="6E25026C"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p>
              </w:tc>
            </w:tr>
            <w:tr w:rsidR="004A4F48" w:rsidRPr="00474D79" w14:paraId="6E250271" w14:textId="77777777" w:rsidTr="004A4F48">
              <w:trPr>
                <w:trHeight w:val="304"/>
              </w:trPr>
              <w:tc>
                <w:tcPr>
                  <w:tcW w:w="4768" w:type="dxa"/>
                  <w:tcBorders>
                    <w:top w:val="nil"/>
                    <w:left w:val="single" w:sz="8" w:space="0" w:color="auto"/>
                    <w:bottom w:val="single" w:sz="8" w:space="0" w:color="auto"/>
                    <w:right w:val="single" w:sz="8" w:space="0" w:color="auto"/>
                  </w:tcBorders>
                  <w:shd w:val="clear" w:color="auto" w:fill="auto"/>
                  <w:vAlign w:val="center"/>
                  <w:hideMark/>
                </w:tcPr>
                <w:p w14:paraId="6E25026E"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6F"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DDoS attack</w:t>
                  </w:r>
                </w:p>
              </w:tc>
              <w:tc>
                <w:tcPr>
                  <w:tcW w:w="1080" w:type="dxa"/>
                  <w:tcBorders>
                    <w:top w:val="nil"/>
                    <w:left w:val="nil"/>
                    <w:bottom w:val="single" w:sz="8" w:space="0" w:color="auto"/>
                    <w:right w:val="single" w:sz="8" w:space="0" w:color="auto"/>
                  </w:tcBorders>
                  <w:shd w:val="clear" w:color="auto" w:fill="auto"/>
                  <w:vAlign w:val="center"/>
                  <w:hideMark/>
                </w:tcPr>
                <w:p w14:paraId="6E250270"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75" w14:textId="77777777" w:rsidTr="004A4F48">
              <w:trPr>
                <w:trHeight w:val="331"/>
              </w:trPr>
              <w:tc>
                <w:tcPr>
                  <w:tcW w:w="4768" w:type="dxa"/>
                  <w:tcBorders>
                    <w:top w:val="nil"/>
                    <w:left w:val="single" w:sz="8" w:space="0" w:color="auto"/>
                    <w:bottom w:val="nil"/>
                    <w:right w:val="single" w:sz="8" w:space="0" w:color="auto"/>
                  </w:tcBorders>
                  <w:shd w:val="clear" w:color="auto" w:fill="auto"/>
                  <w:vAlign w:val="center"/>
                  <w:hideMark/>
                </w:tcPr>
                <w:p w14:paraId="6E250272"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Ngjarje të tjera të sigurisë kibernetike (</w:t>
                  </w:r>
                  <w:r w:rsidRPr="00474D79">
                    <w:rPr>
                      <w:rFonts w:ascii="Garamond" w:eastAsia="Times New Roman" w:hAnsi="Garamond" w:cs="Times New Roman"/>
                      <w:i/>
                      <w:color w:val="000000"/>
                      <w:sz w:val="20"/>
                      <w:szCs w:val="20"/>
                      <w:lang w:eastAsia="sq-AL"/>
                    </w:rPr>
                    <w:t>Other Cyber Security Event</w:t>
                  </w:r>
                  <w:r w:rsidRPr="00474D79">
                    <w:rPr>
                      <w:rFonts w:ascii="Garamond" w:eastAsia="Times New Roman" w:hAnsi="Garamond" w:cs="Times New Roman"/>
                      <w:color w:val="000000"/>
                      <w:sz w:val="20"/>
                      <w:szCs w:val="20"/>
                      <w:lang w:eastAsia="sq-AL"/>
                    </w:rPr>
                    <w:t>)</w:t>
                  </w:r>
                </w:p>
              </w:tc>
              <w:tc>
                <w:tcPr>
                  <w:tcW w:w="2700" w:type="dxa"/>
                  <w:tcBorders>
                    <w:top w:val="nil"/>
                    <w:left w:val="nil"/>
                    <w:bottom w:val="single" w:sz="8" w:space="0" w:color="auto"/>
                    <w:right w:val="single" w:sz="8" w:space="0" w:color="auto"/>
                  </w:tcBorders>
                  <w:shd w:val="clear" w:color="auto" w:fill="auto"/>
                  <w:vAlign w:val="center"/>
                  <w:hideMark/>
                </w:tcPr>
                <w:p w14:paraId="6E250273"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Defacement</w:t>
                  </w:r>
                </w:p>
              </w:tc>
              <w:tc>
                <w:tcPr>
                  <w:tcW w:w="1080" w:type="dxa"/>
                  <w:tcBorders>
                    <w:top w:val="nil"/>
                    <w:left w:val="nil"/>
                    <w:bottom w:val="single" w:sz="8" w:space="0" w:color="auto"/>
                    <w:right w:val="single" w:sz="8" w:space="0" w:color="auto"/>
                  </w:tcBorders>
                  <w:shd w:val="clear" w:color="auto" w:fill="auto"/>
                  <w:vAlign w:val="center"/>
                  <w:hideMark/>
                </w:tcPr>
                <w:p w14:paraId="6E250274"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79" w14:textId="77777777" w:rsidTr="004A4F48">
              <w:trPr>
                <w:trHeight w:val="457"/>
              </w:trPr>
              <w:tc>
                <w:tcPr>
                  <w:tcW w:w="4768" w:type="dxa"/>
                  <w:tcBorders>
                    <w:top w:val="nil"/>
                    <w:left w:val="single" w:sz="8" w:space="0" w:color="auto"/>
                    <w:bottom w:val="nil"/>
                    <w:right w:val="single" w:sz="8" w:space="0" w:color="auto"/>
                  </w:tcBorders>
                  <w:shd w:val="clear" w:color="auto" w:fill="auto"/>
                  <w:vAlign w:val="center"/>
                  <w:hideMark/>
                </w:tcPr>
                <w:p w14:paraId="6E250276"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p>
              </w:tc>
              <w:tc>
                <w:tcPr>
                  <w:tcW w:w="2700" w:type="dxa"/>
                  <w:tcBorders>
                    <w:top w:val="nil"/>
                    <w:left w:val="nil"/>
                    <w:bottom w:val="single" w:sz="8" w:space="0" w:color="auto"/>
                    <w:right w:val="single" w:sz="8" w:space="0" w:color="auto"/>
                  </w:tcBorders>
                  <w:shd w:val="clear" w:color="auto" w:fill="auto"/>
                  <w:vAlign w:val="center"/>
                  <w:hideMark/>
                </w:tcPr>
                <w:p w14:paraId="6E250277"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Brand Abuse on Mass and Social Media</w:t>
                  </w:r>
                </w:p>
              </w:tc>
              <w:tc>
                <w:tcPr>
                  <w:tcW w:w="1080" w:type="dxa"/>
                  <w:tcBorders>
                    <w:top w:val="nil"/>
                    <w:left w:val="nil"/>
                    <w:bottom w:val="single" w:sz="8" w:space="0" w:color="auto"/>
                    <w:right w:val="single" w:sz="8" w:space="0" w:color="auto"/>
                  </w:tcBorders>
                  <w:shd w:val="clear" w:color="auto" w:fill="auto"/>
                  <w:vAlign w:val="center"/>
                  <w:hideMark/>
                </w:tcPr>
                <w:p w14:paraId="6E250278"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7D" w14:textId="77777777" w:rsidTr="004A4F48">
              <w:trPr>
                <w:trHeight w:val="412"/>
              </w:trPr>
              <w:tc>
                <w:tcPr>
                  <w:tcW w:w="4768" w:type="dxa"/>
                  <w:tcBorders>
                    <w:top w:val="nil"/>
                    <w:left w:val="single" w:sz="8" w:space="0" w:color="auto"/>
                    <w:bottom w:val="nil"/>
                    <w:right w:val="single" w:sz="8" w:space="0" w:color="auto"/>
                  </w:tcBorders>
                  <w:shd w:val="clear" w:color="auto" w:fill="auto"/>
                  <w:vAlign w:val="center"/>
                  <w:hideMark/>
                </w:tcPr>
                <w:p w14:paraId="6E25027A"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7B"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Libel of persons on Mass and Social Media</w:t>
                  </w:r>
                </w:p>
              </w:tc>
              <w:tc>
                <w:tcPr>
                  <w:tcW w:w="1080" w:type="dxa"/>
                  <w:tcBorders>
                    <w:top w:val="nil"/>
                    <w:left w:val="nil"/>
                    <w:bottom w:val="single" w:sz="8" w:space="0" w:color="auto"/>
                    <w:right w:val="single" w:sz="8" w:space="0" w:color="auto"/>
                  </w:tcBorders>
                  <w:shd w:val="clear" w:color="auto" w:fill="auto"/>
                  <w:vAlign w:val="center"/>
                  <w:hideMark/>
                </w:tcPr>
                <w:p w14:paraId="6E25027C"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81" w14:textId="77777777" w:rsidTr="004A4F48">
              <w:trPr>
                <w:trHeight w:val="340"/>
              </w:trPr>
              <w:tc>
                <w:tcPr>
                  <w:tcW w:w="4768" w:type="dxa"/>
                  <w:tcBorders>
                    <w:top w:val="nil"/>
                    <w:left w:val="single" w:sz="8" w:space="0" w:color="auto"/>
                    <w:bottom w:val="single" w:sz="8" w:space="0" w:color="auto"/>
                    <w:right w:val="single" w:sz="8" w:space="0" w:color="auto"/>
                  </w:tcBorders>
                  <w:shd w:val="clear" w:color="auto" w:fill="auto"/>
                  <w:hideMark/>
                </w:tcPr>
                <w:p w14:paraId="6E25027E"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7F"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Vulnerability Scan</w:t>
                  </w:r>
                </w:p>
              </w:tc>
              <w:tc>
                <w:tcPr>
                  <w:tcW w:w="1080" w:type="dxa"/>
                  <w:tcBorders>
                    <w:top w:val="nil"/>
                    <w:left w:val="nil"/>
                    <w:bottom w:val="single" w:sz="8" w:space="0" w:color="auto"/>
                    <w:right w:val="single" w:sz="8" w:space="0" w:color="auto"/>
                  </w:tcBorders>
                  <w:shd w:val="clear" w:color="auto" w:fill="auto"/>
                  <w:vAlign w:val="center"/>
                  <w:hideMark/>
                </w:tcPr>
                <w:p w14:paraId="6E250280"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bl>
          <w:p w14:paraId="6E250282" w14:textId="77777777" w:rsidR="004A4F48" w:rsidRPr="00474D79" w:rsidRDefault="004A4F48" w:rsidP="00FD3EF9">
            <w:pPr>
              <w:spacing w:after="0" w:line="240" w:lineRule="auto"/>
              <w:jc w:val="both"/>
              <w:rPr>
                <w:rFonts w:ascii="Garamond" w:eastAsia="Times New Roman" w:hAnsi="Garamond" w:cs="Times New Roman"/>
                <w:sz w:val="20"/>
                <w:szCs w:val="20"/>
              </w:rPr>
            </w:pPr>
          </w:p>
        </w:tc>
      </w:tr>
      <w:tr w:rsidR="004A4F48" w:rsidRPr="00474D79" w14:paraId="6E2502F4" w14:textId="77777777" w:rsidTr="00D20524">
        <w:trPr>
          <w:trHeight w:val="2780"/>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284" w14:textId="77777777" w:rsidR="004A4F48" w:rsidRPr="00474D79" w:rsidRDefault="004A4F48" w:rsidP="00FD3EF9">
            <w:pPr>
              <w:spacing w:after="0" w:line="240" w:lineRule="auto"/>
              <w:jc w:val="center"/>
              <w:rPr>
                <w:rFonts w:ascii="Garamond" w:eastAsia="Times New Roman" w:hAnsi="Garamond" w:cs="Times New Roman"/>
                <w:sz w:val="20"/>
                <w:szCs w:val="20"/>
              </w:rPr>
            </w:pPr>
            <w:r w:rsidRPr="00474D79">
              <w:rPr>
                <w:rFonts w:ascii="Garamond" w:eastAsia="Times New Roman" w:hAnsi="Garamond" w:cs="Times New Roman"/>
                <w:sz w:val="20"/>
                <w:szCs w:val="20"/>
              </w:rPr>
              <w:lastRenderedPageBreak/>
              <w:t>10</w:t>
            </w:r>
          </w:p>
        </w:tc>
        <w:tc>
          <w:tcPr>
            <w:tcW w:w="463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250285" w14:textId="77777777" w:rsidR="004A4F48" w:rsidRPr="00474D79" w:rsidRDefault="004A4F48" w:rsidP="00FD3EF9">
            <w:pPr>
              <w:spacing w:after="0" w:line="240" w:lineRule="auto"/>
              <w:jc w:val="both"/>
              <w:rPr>
                <w:rFonts w:ascii="Garamond" w:eastAsia="Times New Roman" w:hAnsi="Garamond" w:cs="Times New Roman"/>
                <w:sz w:val="20"/>
                <w:szCs w:val="20"/>
                <w:lang w:eastAsia="en-GB"/>
              </w:rPr>
            </w:pPr>
          </w:p>
          <w:p w14:paraId="6E250286" w14:textId="77777777" w:rsidR="004A4F48" w:rsidRPr="00474D79" w:rsidRDefault="004A4F48"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 xml:space="preserve">Numri i tentativave të suksesshme për incidente me natyrë kibernetike të </w:t>
            </w:r>
            <w:r w:rsidRPr="00474D79">
              <w:rPr>
                <w:rFonts w:ascii="Garamond" w:eastAsia="Times New Roman" w:hAnsi="Garamond" w:cs="Times New Roman"/>
                <w:i/>
                <w:sz w:val="20"/>
                <w:szCs w:val="20"/>
                <w:lang w:eastAsia="en-GB"/>
              </w:rPr>
              <w:t>hacking</w:t>
            </w:r>
            <w:r w:rsidRPr="00474D79">
              <w:rPr>
                <w:rFonts w:ascii="Garamond" w:eastAsia="Times New Roman" w:hAnsi="Garamond" w:cs="Times New Roman"/>
                <w:sz w:val="20"/>
                <w:szCs w:val="20"/>
                <w:lang w:eastAsia="en-GB"/>
              </w:rPr>
              <w:t xml:space="preserve">/incidenteve kibernetike </w:t>
            </w:r>
          </w:p>
          <w:tbl>
            <w:tblPr>
              <w:tblW w:w="8548" w:type="dxa"/>
              <w:tblLook w:val="04A0" w:firstRow="1" w:lastRow="0" w:firstColumn="1" w:lastColumn="0" w:noHBand="0" w:noVBand="1"/>
            </w:tblPr>
            <w:tblGrid>
              <w:gridCol w:w="4768"/>
              <w:gridCol w:w="2700"/>
              <w:gridCol w:w="1080"/>
            </w:tblGrid>
            <w:tr w:rsidR="004A4F48" w:rsidRPr="00474D79" w14:paraId="6E25028A" w14:textId="77777777" w:rsidTr="004A4F48">
              <w:trPr>
                <w:trHeight w:val="470"/>
              </w:trPr>
              <w:tc>
                <w:tcPr>
                  <w:tcW w:w="47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E250287" w14:textId="77777777" w:rsidR="004A4F48" w:rsidRPr="00474D79" w:rsidRDefault="004A4F48" w:rsidP="00FD3EF9">
                  <w:pPr>
                    <w:spacing w:after="0" w:line="240" w:lineRule="auto"/>
                    <w:jc w:val="both"/>
                    <w:rPr>
                      <w:rFonts w:ascii="Garamond" w:eastAsia="Times New Roman" w:hAnsi="Garamond" w:cs="Times New Roman"/>
                      <w:b/>
                      <w:bCs/>
                      <w:color w:val="000000"/>
                      <w:sz w:val="20"/>
                      <w:szCs w:val="20"/>
                      <w:lang w:eastAsia="sq-AL"/>
                    </w:rPr>
                  </w:pPr>
                  <w:r w:rsidRPr="00474D79">
                    <w:rPr>
                      <w:rFonts w:ascii="Garamond" w:eastAsia="Times New Roman" w:hAnsi="Garamond" w:cs="Times New Roman"/>
                      <w:b/>
                      <w:bCs/>
                      <w:color w:val="000000"/>
                      <w:sz w:val="20"/>
                      <w:szCs w:val="20"/>
                      <w:lang w:eastAsia="sq-AL"/>
                    </w:rPr>
                    <w:t>Niveli 1 i detajimit</w:t>
                  </w:r>
                </w:p>
              </w:tc>
              <w:tc>
                <w:tcPr>
                  <w:tcW w:w="27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E250288" w14:textId="77777777" w:rsidR="004A4F48" w:rsidRPr="00474D79" w:rsidRDefault="004A4F48" w:rsidP="00FD3EF9">
                  <w:pPr>
                    <w:spacing w:after="0" w:line="240" w:lineRule="auto"/>
                    <w:jc w:val="both"/>
                    <w:rPr>
                      <w:rFonts w:ascii="Garamond" w:eastAsia="Times New Roman" w:hAnsi="Garamond" w:cs="Times New Roman"/>
                      <w:b/>
                      <w:bCs/>
                      <w:color w:val="000000"/>
                      <w:sz w:val="20"/>
                      <w:szCs w:val="20"/>
                      <w:lang w:eastAsia="sq-AL"/>
                    </w:rPr>
                  </w:pPr>
                  <w:r w:rsidRPr="00474D79">
                    <w:rPr>
                      <w:rFonts w:ascii="Garamond" w:eastAsia="Times New Roman" w:hAnsi="Garamond" w:cs="Times New Roman"/>
                      <w:b/>
                      <w:bCs/>
                      <w:color w:val="000000"/>
                      <w:sz w:val="20"/>
                      <w:szCs w:val="20"/>
                      <w:lang w:eastAsia="sq-AL"/>
                    </w:rPr>
                    <w:t>Niveli 2 i detajimit</w:t>
                  </w:r>
                </w:p>
              </w:tc>
              <w:tc>
                <w:tcPr>
                  <w:tcW w:w="10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E250289" w14:textId="77777777" w:rsidR="004A4F48" w:rsidRPr="00474D79" w:rsidRDefault="004A4F48" w:rsidP="00FD3EF9">
                  <w:pPr>
                    <w:spacing w:after="0" w:line="240" w:lineRule="auto"/>
                    <w:jc w:val="both"/>
                    <w:rPr>
                      <w:rFonts w:ascii="Garamond" w:eastAsia="Times New Roman" w:hAnsi="Garamond" w:cs="Times New Roman"/>
                      <w:b/>
                      <w:bCs/>
                      <w:color w:val="000000"/>
                      <w:sz w:val="20"/>
                      <w:szCs w:val="20"/>
                      <w:lang w:eastAsia="sq-AL"/>
                    </w:rPr>
                  </w:pPr>
                  <w:r w:rsidRPr="00474D79">
                    <w:rPr>
                      <w:rFonts w:ascii="Garamond" w:eastAsia="Times New Roman" w:hAnsi="Garamond" w:cs="Times New Roman"/>
                      <w:b/>
                      <w:bCs/>
                      <w:color w:val="000000"/>
                      <w:sz w:val="20"/>
                      <w:szCs w:val="20"/>
                      <w:lang w:eastAsia="sq-AL"/>
                    </w:rPr>
                    <w:t>Numër</w:t>
                  </w:r>
                </w:p>
              </w:tc>
            </w:tr>
            <w:tr w:rsidR="004A4F48" w:rsidRPr="00474D79" w14:paraId="6E25028E" w14:textId="77777777" w:rsidTr="004A4F48">
              <w:trPr>
                <w:trHeight w:val="322"/>
              </w:trPr>
              <w:tc>
                <w:tcPr>
                  <w:tcW w:w="4768" w:type="dxa"/>
                  <w:tcBorders>
                    <w:top w:val="single" w:sz="4" w:space="0" w:color="auto"/>
                    <w:left w:val="single" w:sz="8" w:space="0" w:color="auto"/>
                    <w:bottom w:val="nil"/>
                    <w:right w:val="single" w:sz="8" w:space="0" w:color="auto"/>
                  </w:tcBorders>
                  <w:shd w:val="clear" w:color="auto" w:fill="auto"/>
                  <w:vAlign w:val="center"/>
                  <w:hideMark/>
                </w:tcPr>
                <w:p w14:paraId="6E25028B"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i/>
                      <w:color w:val="000000"/>
                      <w:sz w:val="20"/>
                      <w:szCs w:val="20"/>
                      <w:lang w:eastAsia="sq-AL"/>
                    </w:rPr>
                    <w:t>Software</w:t>
                  </w:r>
                  <w:r w:rsidRPr="00474D79">
                    <w:rPr>
                      <w:rFonts w:ascii="Garamond" w:eastAsia="Times New Roman" w:hAnsi="Garamond" w:cs="Times New Roman"/>
                      <w:color w:val="000000"/>
                      <w:sz w:val="20"/>
                      <w:szCs w:val="20"/>
                      <w:lang w:eastAsia="sq-AL"/>
                    </w:rPr>
                    <w:t>/program i dëmshëm (</w:t>
                  </w:r>
                  <w:r w:rsidRPr="00474D79">
                    <w:rPr>
                      <w:rFonts w:ascii="Garamond" w:eastAsia="Times New Roman" w:hAnsi="Garamond" w:cs="Times New Roman"/>
                      <w:i/>
                      <w:color w:val="000000"/>
                      <w:sz w:val="20"/>
                      <w:szCs w:val="20"/>
                      <w:lang w:eastAsia="sq-AL"/>
                    </w:rPr>
                    <w:t>Malware</w:t>
                  </w:r>
                  <w:r w:rsidRPr="00474D79">
                    <w:rPr>
                      <w:rFonts w:ascii="Garamond" w:eastAsia="Times New Roman" w:hAnsi="Garamond" w:cs="Times New Roman"/>
                      <w:color w:val="000000"/>
                      <w:sz w:val="20"/>
                      <w:szCs w:val="20"/>
                      <w:lang w:eastAsia="sq-AL"/>
                    </w:rPr>
                    <w:t>)</w:t>
                  </w:r>
                </w:p>
              </w:tc>
              <w:tc>
                <w:tcPr>
                  <w:tcW w:w="2700" w:type="dxa"/>
                  <w:tcBorders>
                    <w:top w:val="single" w:sz="4" w:space="0" w:color="auto"/>
                    <w:left w:val="nil"/>
                    <w:bottom w:val="single" w:sz="8" w:space="0" w:color="auto"/>
                    <w:right w:val="single" w:sz="8" w:space="0" w:color="auto"/>
                  </w:tcBorders>
                  <w:shd w:val="clear" w:color="auto" w:fill="auto"/>
                  <w:vAlign w:val="center"/>
                  <w:hideMark/>
                </w:tcPr>
                <w:p w14:paraId="6E25028C"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Ransomware</w:t>
                  </w:r>
                </w:p>
              </w:tc>
              <w:tc>
                <w:tcPr>
                  <w:tcW w:w="1080" w:type="dxa"/>
                  <w:tcBorders>
                    <w:top w:val="single" w:sz="4" w:space="0" w:color="auto"/>
                    <w:left w:val="nil"/>
                    <w:bottom w:val="single" w:sz="8" w:space="0" w:color="auto"/>
                    <w:right w:val="single" w:sz="8" w:space="0" w:color="auto"/>
                  </w:tcBorders>
                  <w:shd w:val="clear" w:color="auto" w:fill="auto"/>
                  <w:vAlign w:val="center"/>
                  <w:hideMark/>
                </w:tcPr>
                <w:p w14:paraId="6E25028D"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92" w14:textId="77777777" w:rsidTr="004A4F48">
              <w:trPr>
                <w:trHeight w:val="250"/>
              </w:trPr>
              <w:tc>
                <w:tcPr>
                  <w:tcW w:w="4768" w:type="dxa"/>
                  <w:tcBorders>
                    <w:top w:val="nil"/>
                    <w:left w:val="single" w:sz="8" w:space="0" w:color="auto"/>
                    <w:bottom w:val="nil"/>
                    <w:right w:val="single" w:sz="8" w:space="0" w:color="auto"/>
                  </w:tcBorders>
                  <w:shd w:val="clear" w:color="auto" w:fill="auto"/>
                  <w:vAlign w:val="center"/>
                  <w:hideMark/>
                </w:tcPr>
                <w:p w14:paraId="6E25028F"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p>
              </w:tc>
              <w:tc>
                <w:tcPr>
                  <w:tcW w:w="2700" w:type="dxa"/>
                  <w:tcBorders>
                    <w:top w:val="nil"/>
                    <w:left w:val="nil"/>
                    <w:bottom w:val="single" w:sz="8" w:space="0" w:color="auto"/>
                    <w:right w:val="single" w:sz="8" w:space="0" w:color="auto"/>
                  </w:tcBorders>
                  <w:shd w:val="clear" w:color="auto" w:fill="auto"/>
                  <w:vAlign w:val="center"/>
                  <w:hideMark/>
                </w:tcPr>
                <w:p w14:paraId="6E250290"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Trojan horse</w:t>
                  </w:r>
                  <w:r w:rsidRPr="00474D79">
                    <w:rPr>
                      <w:rFonts w:ascii="Garamond" w:eastAsia="Times New Roman" w:hAnsi="Garamond" w:cs="Times New Roman"/>
                      <w:i/>
                      <w:color w:val="1F497D"/>
                      <w:sz w:val="20"/>
                      <w:szCs w:val="20"/>
                      <w:lang w:eastAsia="sq-AL"/>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6E250291"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96" w14:textId="77777777" w:rsidTr="004A4F48">
              <w:trPr>
                <w:trHeight w:val="250"/>
              </w:trPr>
              <w:tc>
                <w:tcPr>
                  <w:tcW w:w="4768" w:type="dxa"/>
                  <w:tcBorders>
                    <w:top w:val="nil"/>
                    <w:left w:val="single" w:sz="8" w:space="0" w:color="auto"/>
                    <w:bottom w:val="nil"/>
                    <w:right w:val="single" w:sz="8" w:space="0" w:color="auto"/>
                  </w:tcBorders>
                  <w:shd w:val="clear" w:color="auto" w:fill="auto"/>
                  <w:hideMark/>
                </w:tcPr>
                <w:p w14:paraId="6E250293"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94"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Virus</w:t>
                  </w:r>
                </w:p>
              </w:tc>
              <w:tc>
                <w:tcPr>
                  <w:tcW w:w="1080" w:type="dxa"/>
                  <w:tcBorders>
                    <w:top w:val="nil"/>
                    <w:left w:val="nil"/>
                    <w:bottom w:val="single" w:sz="8" w:space="0" w:color="auto"/>
                    <w:right w:val="single" w:sz="8" w:space="0" w:color="auto"/>
                  </w:tcBorders>
                  <w:shd w:val="clear" w:color="auto" w:fill="auto"/>
                  <w:vAlign w:val="center"/>
                  <w:hideMark/>
                </w:tcPr>
                <w:p w14:paraId="6E250295"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9A" w14:textId="77777777" w:rsidTr="004A4F48">
              <w:trPr>
                <w:trHeight w:val="300"/>
              </w:trPr>
              <w:tc>
                <w:tcPr>
                  <w:tcW w:w="4768" w:type="dxa"/>
                  <w:tcBorders>
                    <w:top w:val="nil"/>
                    <w:left w:val="single" w:sz="8" w:space="0" w:color="auto"/>
                    <w:bottom w:val="nil"/>
                    <w:right w:val="single" w:sz="8" w:space="0" w:color="auto"/>
                  </w:tcBorders>
                  <w:shd w:val="clear" w:color="auto" w:fill="auto"/>
                  <w:hideMark/>
                </w:tcPr>
                <w:p w14:paraId="6E250297"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98"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Worm</w:t>
                  </w:r>
                </w:p>
              </w:tc>
              <w:tc>
                <w:tcPr>
                  <w:tcW w:w="1080" w:type="dxa"/>
                  <w:tcBorders>
                    <w:top w:val="nil"/>
                    <w:left w:val="nil"/>
                    <w:bottom w:val="single" w:sz="8" w:space="0" w:color="auto"/>
                    <w:right w:val="single" w:sz="8" w:space="0" w:color="auto"/>
                  </w:tcBorders>
                  <w:shd w:val="clear" w:color="auto" w:fill="auto"/>
                  <w:vAlign w:val="center"/>
                  <w:hideMark/>
                </w:tcPr>
                <w:p w14:paraId="6E250299"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9E" w14:textId="77777777" w:rsidTr="004A4F48">
              <w:trPr>
                <w:trHeight w:val="358"/>
              </w:trPr>
              <w:tc>
                <w:tcPr>
                  <w:tcW w:w="4768" w:type="dxa"/>
                  <w:tcBorders>
                    <w:top w:val="nil"/>
                    <w:left w:val="single" w:sz="8" w:space="0" w:color="auto"/>
                    <w:bottom w:val="nil"/>
                    <w:right w:val="single" w:sz="8" w:space="0" w:color="auto"/>
                  </w:tcBorders>
                  <w:shd w:val="clear" w:color="auto" w:fill="auto"/>
                  <w:hideMark/>
                </w:tcPr>
                <w:p w14:paraId="6E25029B"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9C"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Spyware/Adware</w:t>
                  </w:r>
                </w:p>
              </w:tc>
              <w:tc>
                <w:tcPr>
                  <w:tcW w:w="1080" w:type="dxa"/>
                  <w:tcBorders>
                    <w:top w:val="nil"/>
                    <w:left w:val="nil"/>
                    <w:bottom w:val="single" w:sz="8" w:space="0" w:color="auto"/>
                    <w:right w:val="single" w:sz="8" w:space="0" w:color="auto"/>
                  </w:tcBorders>
                  <w:shd w:val="clear" w:color="auto" w:fill="auto"/>
                  <w:vAlign w:val="center"/>
                  <w:hideMark/>
                </w:tcPr>
                <w:p w14:paraId="6E25029D"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A2" w14:textId="77777777" w:rsidTr="004A4F48">
              <w:trPr>
                <w:trHeight w:val="340"/>
              </w:trPr>
              <w:tc>
                <w:tcPr>
                  <w:tcW w:w="4768" w:type="dxa"/>
                  <w:tcBorders>
                    <w:top w:val="nil"/>
                    <w:left w:val="single" w:sz="8" w:space="0" w:color="auto"/>
                    <w:bottom w:val="single" w:sz="8" w:space="0" w:color="auto"/>
                    <w:right w:val="single" w:sz="8" w:space="0" w:color="auto"/>
                  </w:tcBorders>
                  <w:shd w:val="clear" w:color="auto" w:fill="auto"/>
                  <w:hideMark/>
                </w:tcPr>
                <w:p w14:paraId="6E25029F"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A0"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Mobile malware</w:t>
                  </w:r>
                </w:p>
              </w:tc>
              <w:tc>
                <w:tcPr>
                  <w:tcW w:w="1080" w:type="dxa"/>
                  <w:tcBorders>
                    <w:top w:val="nil"/>
                    <w:left w:val="nil"/>
                    <w:bottom w:val="single" w:sz="8" w:space="0" w:color="auto"/>
                    <w:right w:val="single" w:sz="8" w:space="0" w:color="auto"/>
                  </w:tcBorders>
                  <w:shd w:val="clear" w:color="auto" w:fill="auto"/>
                  <w:vAlign w:val="center"/>
                  <w:hideMark/>
                </w:tcPr>
                <w:p w14:paraId="6E2502A1"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A6" w14:textId="77777777" w:rsidTr="004A4F48">
              <w:trPr>
                <w:trHeight w:val="250"/>
              </w:trPr>
              <w:tc>
                <w:tcPr>
                  <w:tcW w:w="4768" w:type="dxa"/>
                  <w:tcBorders>
                    <w:top w:val="nil"/>
                    <w:left w:val="single" w:sz="8" w:space="0" w:color="auto"/>
                    <w:bottom w:val="nil"/>
                    <w:right w:val="single" w:sz="8" w:space="0" w:color="auto"/>
                  </w:tcBorders>
                  <w:shd w:val="clear" w:color="auto" w:fill="auto"/>
                  <w:vAlign w:val="center"/>
                  <w:hideMark/>
                </w:tcPr>
                <w:p w14:paraId="6E2502A3"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Sulmet e inxhinierisë sociale (</w:t>
                  </w:r>
                  <w:r w:rsidRPr="00474D79">
                    <w:rPr>
                      <w:rFonts w:ascii="Garamond" w:eastAsia="Times New Roman" w:hAnsi="Garamond" w:cs="Times New Roman"/>
                      <w:i/>
                      <w:color w:val="000000"/>
                      <w:sz w:val="20"/>
                      <w:szCs w:val="20"/>
                      <w:lang w:eastAsia="sq-AL"/>
                    </w:rPr>
                    <w:t>Social Engineering</w:t>
                  </w:r>
                  <w:r w:rsidRPr="00474D79">
                    <w:rPr>
                      <w:rFonts w:ascii="Garamond" w:eastAsia="Times New Roman" w:hAnsi="Garamond" w:cs="Times New Roman"/>
                      <w:color w:val="000000"/>
                      <w:sz w:val="20"/>
                      <w:szCs w:val="20"/>
                      <w:lang w:eastAsia="sq-AL"/>
                    </w:rPr>
                    <w:t>)</w:t>
                  </w:r>
                </w:p>
              </w:tc>
              <w:tc>
                <w:tcPr>
                  <w:tcW w:w="2700" w:type="dxa"/>
                  <w:tcBorders>
                    <w:top w:val="nil"/>
                    <w:left w:val="nil"/>
                    <w:bottom w:val="single" w:sz="8" w:space="0" w:color="auto"/>
                    <w:right w:val="single" w:sz="8" w:space="0" w:color="auto"/>
                  </w:tcBorders>
                  <w:shd w:val="clear" w:color="auto" w:fill="auto"/>
                  <w:vAlign w:val="center"/>
                  <w:hideMark/>
                </w:tcPr>
                <w:p w14:paraId="6E2502A4"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Phishing</w:t>
                  </w:r>
                </w:p>
              </w:tc>
              <w:tc>
                <w:tcPr>
                  <w:tcW w:w="1080" w:type="dxa"/>
                  <w:tcBorders>
                    <w:top w:val="nil"/>
                    <w:left w:val="nil"/>
                    <w:bottom w:val="single" w:sz="8" w:space="0" w:color="auto"/>
                    <w:right w:val="single" w:sz="8" w:space="0" w:color="auto"/>
                  </w:tcBorders>
                  <w:shd w:val="clear" w:color="auto" w:fill="auto"/>
                  <w:vAlign w:val="center"/>
                  <w:hideMark/>
                </w:tcPr>
                <w:p w14:paraId="6E2502A5"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AA" w14:textId="77777777" w:rsidTr="004A4F48">
              <w:trPr>
                <w:trHeight w:val="241"/>
              </w:trPr>
              <w:tc>
                <w:tcPr>
                  <w:tcW w:w="4768" w:type="dxa"/>
                  <w:tcBorders>
                    <w:top w:val="nil"/>
                    <w:left w:val="single" w:sz="8" w:space="0" w:color="auto"/>
                    <w:bottom w:val="nil"/>
                    <w:right w:val="single" w:sz="8" w:space="0" w:color="auto"/>
                  </w:tcBorders>
                  <w:shd w:val="clear" w:color="auto" w:fill="auto"/>
                  <w:vAlign w:val="center"/>
                  <w:hideMark/>
                </w:tcPr>
                <w:p w14:paraId="6E2502A7"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p>
              </w:tc>
              <w:tc>
                <w:tcPr>
                  <w:tcW w:w="2700" w:type="dxa"/>
                  <w:tcBorders>
                    <w:top w:val="nil"/>
                    <w:left w:val="nil"/>
                    <w:bottom w:val="single" w:sz="8" w:space="0" w:color="auto"/>
                    <w:right w:val="single" w:sz="8" w:space="0" w:color="auto"/>
                  </w:tcBorders>
                  <w:shd w:val="clear" w:color="auto" w:fill="auto"/>
                  <w:vAlign w:val="center"/>
                  <w:hideMark/>
                </w:tcPr>
                <w:p w14:paraId="6E2502A8"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Spear Phishing</w:t>
                  </w:r>
                </w:p>
              </w:tc>
              <w:tc>
                <w:tcPr>
                  <w:tcW w:w="1080" w:type="dxa"/>
                  <w:tcBorders>
                    <w:top w:val="nil"/>
                    <w:left w:val="nil"/>
                    <w:bottom w:val="single" w:sz="8" w:space="0" w:color="auto"/>
                    <w:right w:val="single" w:sz="8" w:space="0" w:color="auto"/>
                  </w:tcBorders>
                  <w:shd w:val="clear" w:color="auto" w:fill="auto"/>
                  <w:vAlign w:val="center"/>
                  <w:hideMark/>
                </w:tcPr>
                <w:p w14:paraId="6E2502A9"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AE" w14:textId="77777777" w:rsidTr="004A4F48">
              <w:trPr>
                <w:trHeight w:val="300"/>
              </w:trPr>
              <w:tc>
                <w:tcPr>
                  <w:tcW w:w="4768" w:type="dxa"/>
                  <w:tcBorders>
                    <w:top w:val="nil"/>
                    <w:left w:val="single" w:sz="8" w:space="0" w:color="auto"/>
                    <w:bottom w:val="nil"/>
                    <w:right w:val="single" w:sz="8" w:space="0" w:color="auto"/>
                  </w:tcBorders>
                  <w:shd w:val="clear" w:color="auto" w:fill="auto"/>
                  <w:hideMark/>
                </w:tcPr>
                <w:p w14:paraId="6E2502AB"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AC"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 xml:space="preserve">Pretexting </w:t>
                  </w:r>
                </w:p>
              </w:tc>
              <w:tc>
                <w:tcPr>
                  <w:tcW w:w="1080" w:type="dxa"/>
                  <w:tcBorders>
                    <w:top w:val="nil"/>
                    <w:left w:val="nil"/>
                    <w:bottom w:val="single" w:sz="8" w:space="0" w:color="auto"/>
                    <w:right w:val="single" w:sz="8" w:space="0" w:color="auto"/>
                  </w:tcBorders>
                  <w:shd w:val="clear" w:color="auto" w:fill="auto"/>
                  <w:vAlign w:val="center"/>
                  <w:hideMark/>
                </w:tcPr>
                <w:p w14:paraId="6E2502AD"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B2" w14:textId="77777777" w:rsidTr="004A4F48">
              <w:trPr>
                <w:trHeight w:val="470"/>
              </w:trPr>
              <w:tc>
                <w:tcPr>
                  <w:tcW w:w="4768" w:type="dxa"/>
                  <w:tcBorders>
                    <w:top w:val="nil"/>
                    <w:left w:val="single" w:sz="8" w:space="0" w:color="auto"/>
                    <w:bottom w:val="single" w:sz="8" w:space="0" w:color="auto"/>
                    <w:right w:val="single" w:sz="8" w:space="0" w:color="auto"/>
                  </w:tcBorders>
                  <w:shd w:val="clear" w:color="auto" w:fill="auto"/>
                  <w:hideMark/>
                </w:tcPr>
                <w:p w14:paraId="6E2502AF"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B0"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Cyber squatting</w:t>
                  </w:r>
                </w:p>
              </w:tc>
              <w:tc>
                <w:tcPr>
                  <w:tcW w:w="1080" w:type="dxa"/>
                  <w:tcBorders>
                    <w:top w:val="nil"/>
                    <w:left w:val="nil"/>
                    <w:bottom w:val="single" w:sz="8" w:space="0" w:color="auto"/>
                    <w:right w:val="single" w:sz="8" w:space="0" w:color="auto"/>
                  </w:tcBorders>
                  <w:shd w:val="clear" w:color="auto" w:fill="auto"/>
                  <w:vAlign w:val="center"/>
                  <w:hideMark/>
                </w:tcPr>
                <w:p w14:paraId="6E2502B1"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B6" w14:textId="77777777" w:rsidTr="004A4F48">
              <w:trPr>
                <w:trHeight w:val="277"/>
              </w:trPr>
              <w:tc>
                <w:tcPr>
                  <w:tcW w:w="4768" w:type="dxa"/>
                  <w:tcBorders>
                    <w:top w:val="nil"/>
                    <w:left w:val="single" w:sz="8" w:space="0" w:color="auto"/>
                    <w:bottom w:val="nil"/>
                    <w:right w:val="single" w:sz="8" w:space="0" w:color="auto"/>
                  </w:tcBorders>
                  <w:shd w:val="clear" w:color="auto" w:fill="auto"/>
                  <w:vAlign w:val="center"/>
                  <w:hideMark/>
                </w:tcPr>
                <w:p w14:paraId="6E2502B3"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Sulme nga punonjës ose palë të treta që aksidentalisht dhe/ose qëllimisht keqpërdorin të drejtat e aksesit</w:t>
                  </w:r>
                </w:p>
              </w:tc>
              <w:tc>
                <w:tcPr>
                  <w:tcW w:w="2700" w:type="dxa"/>
                  <w:tcBorders>
                    <w:top w:val="nil"/>
                    <w:left w:val="nil"/>
                    <w:bottom w:val="single" w:sz="8" w:space="0" w:color="auto"/>
                    <w:right w:val="single" w:sz="8" w:space="0" w:color="auto"/>
                  </w:tcBorders>
                  <w:shd w:val="clear" w:color="auto" w:fill="auto"/>
                  <w:vAlign w:val="center"/>
                  <w:hideMark/>
                </w:tcPr>
                <w:p w14:paraId="6E2502B4"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Accidental misuse of access rights</w:t>
                  </w:r>
                </w:p>
              </w:tc>
              <w:tc>
                <w:tcPr>
                  <w:tcW w:w="1080" w:type="dxa"/>
                  <w:tcBorders>
                    <w:top w:val="nil"/>
                    <w:left w:val="nil"/>
                    <w:bottom w:val="single" w:sz="8" w:space="0" w:color="auto"/>
                    <w:right w:val="single" w:sz="8" w:space="0" w:color="auto"/>
                  </w:tcBorders>
                  <w:shd w:val="clear" w:color="auto" w:fill="auto"/>
                  <w:vAlign w:val="center"/>
                  <w:hideMark/>
                </w:tcPr>
                <w:p w14:paraId="6E2502B5"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BA" w14:textId="77777777" w:rsidTr="004A4F48">
              <w:trPr>
                <w:trHeight w:val="331"/>
              </w:trPr>
              <w:tc>
                <w:tcPr>
                  <w:tcW w:w="4768" w:type="dxa"/>
                  <w:tcBorders>
                    <w:top w:val="nil"/>
                    <w:left w:val="single" w:sz="8" w:space="0" w:color="auto"/>
                    <w:bottom w:val="nil"/>
                    <w:right w:val="single" w:sz="8" w:space="0" w:color="auto"/>
                  </w:tcBorders>
                  <w:shd w:val="clear" w:color="auto" w:fill="auto"/>
                  <w:vAlign w:val="center"/>
                  <w:hideMark/>
                </w:tcPr>
                <w:p w14:paraId="6E2502B7"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w:t>
                  </w:r>
                  <w:r w:rsidRPr="00474D79">
                    <w:rPr>
                      <w:rFonts w:ascii="Garamond" w:eastAsia="Times New Roman" w:hAnsi="Garamond" w:cs="Times New Roman"/>
                      <w:i/>
                      <w:color w:val="000000"/>
                      <w:sz w:val="20"/>
                      <w:szCs w:val="20"/>
                      <w:lang w:eastAsia="sq-AL"/>
                    </w:rPr>
                    <w:t>Insider/Third Party Provider Event and/or</w:t>
                  </w:r>
                </w:p>
              </w:tc>
              <w:tc>
                <w:tcPr>
                  <w:tcW w:w="2700" w:type="dxa"/>
                  <w:tcBorders>
                    <w:top w:val="nil"/>
                    <w:left w:val="nil"/>
                    <w:bottom w:val="single" w:sz="8" w:space="0" w:color="auto"/>
                    <w:right w:val="single" w:sz="8" w:space="0" w:color="auto"/>
                  </w:tcBorders>
                  <w:shd w:val="clear" w:color="auto" w:fill="auto"/>
                  <w:vAlign w:val="center"/>
                  <w:hideMark/>
                </w:tcPr>
                <w:p w14:paraId="6E2502B8"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Intentional misuse of access rights by service provider</w:t>
                  </w:r>
                </w:p>
              </w:tc>
              <w:tc>
                <w:tcPr>
                  <w:tcW w:w="1080" w:type="dxa"/>
                  <w:tcBorders>
                    <w:top w:val="nil"/>
                    <w:left w:val="nil"/>
                    <w:bottom w:val="single" w:sz="8" w:space="0" w:color="auto"/>
                    <w:right w:val="single" w:sz="8" w:space="0" w:color="auto"/>
                  </w:tcBorders>
                  <w:shd w:val="clear" w:color="auto" w:fill="auto"/>
                  <w:vAlign w:val="center"/>
                  <w:hideMark/>
                </w:tcPr>
                <w:p w14:paraId="6E2502B9"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BE" w14:textId="77777777" w:rsidTr="004A4F48">
              <w:trPr>
                <w:trHeight w:val="40"/>
              </w:trPr>
              <w:tc>
                <w:tcPr>
                  <w:tcW w:w="4768" w:type="dxa"/>
                  <w:tcBorders>
                    <w:top w:val="nil"/>
                    <w:left w:val="single" w:sz="8" w:space="0" w:color="auto"/>
                    <w:bottom w:val="nil"/>
                    <w:right w:val="single" w:sz="8" w:space="0" w:color="auto"/>
                  </w:tcBorders>
                  <w:shd w:val="clear" w:color="auto" w:fill="auto"/>
                  <w:vAlign w:val="center"/>
                  <w:hideMark/>
                </w:tcPr>
                <w:p w14:paraId="6E2502BB"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i/>
                      <w:color w:val="000000"/>
                      <w:sz w:val="20"/>
                      <w:szCs w:val="20"/>
                      <w:lang w:eastAsia="sq-AL"/>
                    </w:rPr>
                    <w:t>Misuses of access rights</w:t>
                  </w:r>
                  <w:r w:rsidRPr="00474D79">
                    <w:rPr>
                      <w:rFonts w:ascii="Garamond" w:eastAsia="Times New Roman" w:hAnsi="Garamond" w:cs="Times New Roman"/>
                      <w:color w:val="000000"/>
                      <w:sz w:val="20"/>
                      <w:szCs w:val="20"/>
                      <w:lang w:eastAsia="sq-AL"/>
                    </w:rPr>
                    <w:t>)</w:t>
                  </w:r>
                </w:p>
              </w:tc>
              <w:tc>
                <w:tcPr>
                  <w:tcW w:w="2700" w:type="dxa"/>
                  <w:tcBorders>
                    <w:top w:val="nil"/>
                    <w:left w:val="nil"/>
                    <w:bottom w:val="single" w:sz="8" w:space="0" w:color="auto"/>
                    <w:right w:val="single" w:sz="8" w:space="0" w:color="auto"/>
                  </w:tcBorders>
                  <w:shd w:val="clear" w:color="auto" w:fill="auto"/>
                  <w:vAlign w:val="center"/>
                  <w:hideMark/>
                </w:tcPr>
                <w:p w14:paraId="6E2502BC"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Intentional misuse of access rights by insider</w:t>
                  </w:r>
                </w:p>
              </w:tc>
              <w:tc>
                <w:tcPr>
                  <w:tcW w:w="1080" w:type="dxa"/>
                  <w:tcBorders>
                    <w:top w:val="nil"/>
                    <w:left w:val="nil"/>
                    <w:bottom w:val="single" w:sz="8" w:space="0" w:color="auto"/>
                    <w:right w:val="single" w:sz="8" w:space="0" w:color="auto"/>
                  </w:tcBorders>
                  <w:shd w:val="clear" w:color="auto" w:fill="auto"/>
                  <w:vAlign w:val="center"/>
                  <w:hideMark/>
                </w:tcPr>
                <w:p w14:paraId="6E2502BD"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C2" w14:textId="77777777" w:rsidTr="004A4F48">
              <w:trPr>
                <w:trHeight w:val="241"/>
              </w:trPr>
              <w:tc>
                <w:tcPr>
                  <w:tcW w:w="4768" w:type="dxa"/>
                  <w:tcBorders>
                    <w:top w:val="nil"/>
                    <w:left w:val="single" w:sz="8" w:space="0" w:color="auto"/>
                    <w:bottom w:val="single" w:sz="8" w:space="0" w:color="auto"/>
                    <w:right w:val="single" w:sz="8" w:space="0" w:color="auto"/>
                  </w:tcBorders>
                  <w:shd w:val="clear" w:color="auto" w:fill="auto"/>
                  <w:hideMark/>
                </w:tcPr>
                <w:p w14:paraId="6E2502BF"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C0"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Policy violation (Insider/ TPP)</w:t>
                  </w:r>
                </w:p>
              </w:tc>
              <w:tc>
                <w:tcPr>
                  <w:tcW w:w="1080" w:type="dxa"/>
                  <w:tcBorders>
                    <w:top w:val="nil"/>
                    <w:left w:val="nil"/>
                    <w:bottom w:val="single" w:sz="8" w:space="0" w:color="auto"/>
                    <w:right w:val="single" w:sz="8" w:space="0" w:color="auto"/>
                  </w:tcBorders>
                  <w:shd w:val="clear" w:color="auto" w:fill="auto"/>
                  <w:vAlign w:val="center"/>
                  <w:hideMark/>
                </w:tcPr>
                <w:p w14:paraId="6E2502C1"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C6" w14:textId="77777777" w:rsidTr="004A4F48">
              <w:trPr>
                <w:trHeight w:val="268"/>
              </w:trPr>
              <w:tc>
                <w:tcPr>
                  <w:tcW w:w="4768" w:type="dxa"/>
                  <w:tcBorders>
                    <w:top w:val="nil"/>
                    <w:left w:val="single" w:sz="8" w:space="0" w:color="auto"/>
                    <w:bottom w:val="nil"/>
                    <w:right w:val="single" w:sz="8" w:space="0" w:color="auto"/>
                  </w:tcBorders>
                  <w:shd w:val="clear" w:color="auto" w:fill="auto"/>
                  <w:vAlign w:val="center"/>
                  <w:hideMark/>
                </w:tcPr>
                <w:p w14:paraId="6E2502C3"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Akses i paautorizuar i qëllimshëm</w:t>
                  </w:r>
                </w:p>
              </w:tc>
              <w:tc>
                <w:tcPr>
                  <w:tcW w:w="2700" w:type="dxa"/>
                  <w:tcBorders>
                    <w:top w:val="nil"/>
                    <w:left w:val="nil"/>
                    <w:bottom w:val="single" w:sz="8" w:space="0" w:color="auto"/>
                    <w:right w:val="single" w:sz="8" w:space="0" w:color="auto"/>
                  </w:tcBorders>
                  <w:shd w:val="clear" w:color="auto" w:fill="auto"/>
                  <w:vAlign w:val="center"/>
                  <w:hideMark/>
                </w:tcPr>
                <w:p w14:paraId="6E2502C4"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Brute force attack</w:t>
                  </w:r>
                </w:p>
              </w:tc>
              <w:tc>
                <w:tcPr>
                  <w:tcW w:w="1080" w:type="dxa"/>
                  <w:tcBorders>
                    <w:top w:val="nil"/>
                    <w:left w:val="nil"/>
                    <w:bottom w:val="single" w:sz="8" w:space="0" w:color="auto"/>
                    <w:right w:val="single" w:sz="8" w:space="0" w:color="auto"/>
                  </w:tcBorders>
                  <w:shd w:val="clear" w:color="auto" w:fill="auto"/>
                  <w:vAlign w:val="center"/>
                  <w:hideMark/>
                </w:tcPr>
                <w:p w14:paraId="6E2502C5"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CA" w14:textId="77777777" w:rsidTr="004A4F48">
              <w:trPr>
                <w:trHeight w:val="430"/>
              </w:trPr>
              <w:tc>
                <w:tcPr>
                  <w:tcW w:w="4768" w:type="dxa"/>
                  <w:tcBorders>
                    <w:top w:val="nil"/>
                    <w:left w:val="single" w:sz="8" w:space="0" w:color="auto"/>
                    <w:bottom w:val="nil"/>
                    <w:right w:val="single" w:sz="8" w:space="0" w:color="auto"/>
                  </w:tcBorders>
                  <w:shd w:val="clear" w:color="auto" w:fill="auto"/>
                  <w:vAlign w:val="center"/>
                  <w:hideMark/>
                </w:tcPr>
                <w:p w14:paraId="6E2502C7"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w:t>
                  </w:r>
                  <w:r w:rsidRPr="00474D79">
                    <w:rPr>
                      <w:rFonts w:ascii="Garamond" w:eastAsia="Times New Roman" w:hAnsi="Garamond" w:cs="Times New Roman"/>
                      <w:i/>
                      <w:color w:val="000000"/>
                      <w:sz w:val="20"/>
                      <w:szCs w:val="20"/>
                      <w:lang w:eastAsia="sq-AL"/>
                    </w:rPr>
                    <w:t>Unauthorised access intentional</w:t>
                  </w:r>
                  <w:r w:rsidRPr="00474D79">
                    <w:rPr>
                      <w:rFonts w:ascii="Garamond" w:eastAsia="Times New Roman" w:hAnsi="Garamond" w:cs="Times New Roman"/>
                      <w:color w:val="000000"/>
                      <w:sz w:val="20"/>
                      <w:szCs w:val="20"/>
                      <w:lang w:eastAsia="sq-AL"/>
                    </w:rPr>
                    <w:t>)</w:t>
                  </w:r>
                </w:p>
              </w:tc>
              <w:tc>
                <w:tcPr>
                  <w:tcW w:w="2700" w:type="dxa"/>
                  <w:tcBorders>
                    <w:top w:val="nil"/>
                    <w:left w:val="nil"/>
                    <w:bottom w:val="single" w:sz="8" w:space="0" w:color="auto"/>
                    <w:right w:val="single" w:sz="8" w:space="0" w:color="auto"/>
                  </w:tcBorders>
                  <w:shd w:val="clear" w:color="auto" w:fill="auto"/>
                  <w:vAlign w:val="center"/>
                  <w:hideMark/>
                </w:tcPr>
                <w:p w14:paraId="6E2502C8"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Malicious script injection and/or OS commanding</w:t>
                  </w:r>
                </w:p>
              </w:tc>
              <w:tc>
                <w:tcPr>
                  <w:tcW w:w="1080" w:type="dxa"/>
                  <w:tcBorders>
                    <w:top w:val="nil"/>
                    <w:left w:val="nil"/>
                    <w:bottom w:val="single" w:sz="8" w:space="0" w:color="auto"/>
                    <w:right w:val="single" w:sz="8" w:space="0" w:color="auto"/>
                  </w:tcBorders>
                  <w:shd w:val="clear" w:color="auto" w:fill="auto"/>
                  <w:vAlign w:val="center"/>
                  <w:hideMark/>
                </w:tcPr>
                <w:p w14:paraId="6E2502C9"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CE" w14:textId="77777777" w:rsidTr="004A4F48">
              <w:trPr>
                <w:trHeight w:val="250"/>
              </w:trPr>
              <w:tc>
                <w:tcPr>
                  <w:tcW w:w="4768" w:type="dxa"/>
                  <w:tcBorders>
                    <w:top w:val="nil"/>
                    <w:left w:val="single" w:sz="8" w:space="0" w:color="auto"/>
                    <w:bottom w:val="nil"/>
                    <w:right w:val="single" w:sz="8" w:space="0" w:color="auto"/>
                  </w:tcBorders>
                  <w:shd w:val="clear" w:color="auto" w:fill="auto"/>
                  <w:vAlign w:val="center"/>
                  <w:hideMark/>
                </w:tcPr>
                <w:p w14:paraId="6E2502CB"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CC"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SQL Injection</w:t>
                  </w:r>
                </w:p>
              </w:tc>
              <w:tc>
                <w:tcPr>
                  <w:tcW w:w="1080" w:type="dxa"/>
                  <w:tcBorders>
                    <w:top w:val="nil"/>
                    <w:left w:val="nil"/>
                    <w:bottom w:val="single" w:sz="8" w:space="0" w:color="auto"/>
                    <w:right w:val="single" w:sz="8" w:space="0" w:color="auto"/>
                  </w:tcBorders>
                  <w:shd w:val="clear" w:color="auto" w:fill="auto"/>
                  <w:vAlign w:val="center"/>
                  <w:hideMark/>
                </w:tcPr>
                <w:p w14:paraId="6E2502CD"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D2" w14:textId="77777777" w:rsidTr="004A4F48">
              <w:trPr>
                <w:trHeight w:val="340"/>
              </w:trPr>
              <w:tc>
                <w:tcPr>
                  <w:tcW w:w="4768" w:type="dxa"/>
                  <w:tcBorders>
                    <w:top w:val="nil"/>
                    <w:left w:val="single" w:sz="8" w:space="0" w:color="auto"/>
                    <w:bottom w:val="nil"/>
                    <w:right w:val="single" w:sz="8" w:space="0" w:color="auto"/>
                  </w:tcBorders>
                  <w:shd w:val="clear" w:color="auto" w:fill="auto"/>
                  <w:hideMark/>
                </w:tcPr>
                <w:p w14:paraId="6E2502CF"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D0"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Other exploited vulnerability</w:t>
                  </w:r>
                </w:p>
              </w:tc>
              <w:tc>
                <w:tcPr>
                  <w:tcW w:w="1080" w:type="dxa"/>
                  <w:tcBorders>
                    <w:top w:val="nil"/>
                    <w:left w:val="nil"/>
                    <w:bottom w:val="single" w:sz="8" w:space="0" w:color="auto"/>
                    <w:right w:val="single" w:sz="8" w:space="0" w:color="auto"/>
                  </w:tcBorders>
                  <w:shd w:val="clear" w:color="auto" w:fill="auto"/>
                  <w:vAlign w:val="center"/>
                  <w:hideMark/>
                </w:tcPr>
                <w:p w14:paraId="6E2502D1"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D6" w14:textId="77777777" w:rsidTr="004A4F48">
              <w:trPr>
                <w:trHeight w:val="340"/>
              </w:trPr>
              <w:tc>
                <w:tcPr>
                  <w:tcW w:w="4768" w:type="dxa"/>
                  <w:tcBorders>
                    <w:top w:val="nil"/>
                    <w:left w:val="single" w:sz="8" w:space="0" w:color="auto"/>
                    <w:bottom w:val="single" w:sz="8" w:space="0" w:color="auto"/>
                    <w:right w:val="single" w:sz="8" w:space="0" w:color="auto"/>
                  </w:tcBorders>
                  <w:shd w:val="clear" w:color="auto" w:fill="auto"/>
                  <w:hideMark/>
                </w:tcPr>
                <w:p w14:paraId="6E2502D3"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D4"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Information exposure</w:t>
                  </w:r>
                </w:p>
              </w:tc>
              <w:tc>
                <w:tcPr>
                  <w:tcW w:w="1080" w:type="dxa"/>
                  <w:tcBorders>
                    <w:top w:val="nil"/>
                    <w:left w:val="nil"/>
                    <w:bottom w:val="single" w:sz="8" w:space="0" w:color="auto"/>
                    <w:right w:val="single" w:sz="8" w:space="0" w:color="auto"/>
                  </w:tcBorders>
                  <w:shd w:val="clear" w:color="auto" w:fill="auto"/>
                  <w:vAlign w:val="center"/>
                  <w:hideMark/>
                </w:tcPr>
                <w:p w14:paraId="6E2502D5"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DA" w14:textId="77777777" w:rsidTr="004A4F48">
              <w:trPr>
                <w:trHeight w:val="250"/>
              </w:trPr>
              <w:tc>
                <w:tcPr>
                  <w:tcW w:w="4768" w:type="dxa"/>
                  <w:tcBorders>
                    <w:top w:val="nil"/>
                    <w:left w:val="single" w:sz="8" w:space="0" w:color="auto"/>
                    <w:bottom w:val="nil"/>
                    <w:right w:val="single" w:sz="8" w:space="0" w:color="auto"/>
                  </w:tcBorders>
                  <w:shd w:val="clear" w:color="auto" w:fill="auto"/>
                  <w:vAlign w:val="center"/>
                  <w:hideMark/>
                </w:tcPr>
                <w:p w14:paraId="6E2502D7"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Sulm me shërbim të refuzuar/mohim shërbimi (</w:t>
                  </w:r>
                  <w:r w:rsidRPr="00474D79">
                    <w:rPr>
                      <w:rFonts w:ascii="Garamond" w:eastAsia="Times New Roman" w:hAnsi="Garamond" w:cs="Times New Roman"/>
                      <w:i/>
                      <w:color w:val="000000"/>
                      <w:sz w:val="20"/>
                      <w:szCs w:val="20"/>
                      <w:lang w:eastAsia="sq-AL"/>
                    </w:rPr>
                    <w:t>Denial of Service Attack</w:t>
                  </w:r>
                  <w:r w:rsidRPr="00474D79">
                    <w:rPr>
                      <w:rFonts w:ascii="Garamond" w:eastAsia="Times New Roman" w:hAnsi="Garamond" w:cs="Times New Roman"/>
                      <w:color w:val="000000"/>
                      <w:sz w:val="20"/>
                      <w:szCs w:val="20"/>
                      <w:lang w:eastAsia="sq-AL"/>
                    </w:rPr>
                    <w:t>)</w:t>
                  </w:r>
                </w:p>
              </w:tc>
              <w:tc>
                <w:tcPr>
                  <w:tcW w:w="2700" w:type="dxa"/>
                  <w:vMerge w:val="restart"/>
                  <w:tcBorders>
                    <w:top w:val="nil"/>
                    <w:left w:val="single" w:sz="8" w:space="0" w:color="auto"/>
                    <w:bottom w:val="single" w:sz="8" w:space="0" w:color="000000"/>
                    <w:right w:val="single" w:sz="8" w:space="0" w:color="auto"/>
                  </w:tcBorders>
                  <w:shd w:val="clear" w:color="auto" w:fill="auto"/>
                  <w:vAlign w:val="center"/>
                </w:tcPr>
                <w:p w14:paraId="6E2502D8" w14:textId="77777777" w:rsidR="004A4F48" w:rsidRPr="00474D79" w:rsidRDefault="004A4F48" w:rsidP="00FD3EF9">
                  <w:pPr>
                    <w:spacing w:after="0" w:line="240" w:lineRule="auto"/>
                    <w:rPr>
                      <w:rFonts w:ascii="Garamond" w:hAnsi="Garamond" w:cs="Times New Roman"/>
                      <w:i/>
                      <w:sz w:val="20"/>
                      <w:szCs w:val="20"/>
                    </w:rPr>
                  </w:pPr>
                  <w:r w:rsidRPr="00474D79">
                    <w:rPr>
                      <w:rFonts w:ascii="Garamond" w:hAnsi="Garamond" w:cs="Times New Roman"/>
                      <w:i/>
                      <w:sz w:val="20"/>
                      <w:szCs w:val="20"/>
                    </w:rPr>
                    <w:t>DoS attack</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6E2502D9"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DE" w14:textId="77777777" w:rsidTr="004A4F48">
              <w:trPr>
                <w:trHeight w:val="40"/>
              </w:trPr>
              <w:tc>
                <w:tcPr>
                  <w:tcW w:w="4768" w:type="dxa"/>
                  <w:tcBorders>
                    <w:top w:val="nil"/>
                    <w:left w:val="single" w:sz="8" w:space="0" w:color="auto"/>
                    <w:bottom w:val="nil"/>
                    <w:right w:val="single" w:sz="8" w:space="0" w:color="auto"/>
                  </w:tcBorders>
                  <w:shd w:val="clear" w:color="auto" w:fill="auto"/>
                  <w:vAlign w:val="center"/>
                  <w:hideMark/>
                </w:tcPr>
                <w:p w14:paraId="6E2502DB"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p>
              </w:tc>
              <w:tc>
                <w:tcPr>
                  <w:tcW w:w="2700" w:type="dxa"/>
                  <w:vMerge/>
                  <w:tcBorders>
                    <w:top w:val="nil"/>
                    <w:left w:val="single" w:sz="8" w:space="0" w:color="auto"/>
                    <w:bottom w:val="single" w:sz="8" w:space="0" w:color="000000"/>
                    <w:right w:val="single" w:sz="8" w:space="0" w:color="auto"/>
                  </w:tcBorders>
                  <w:vAlign w:val="center"/>
                  <w:hideMark/>
                </w:tcPr>
                <w:p w14:paraId="6E2502DC" w14:textId="77777777" w:rsidR="004A4F48" w:rsidRPr="00474D79" w:rsidRDefault="004A4F48" w:rsidP="00FD3EF9">
                  <w:pPr>
                    <w:spacing w:after="0" w:line="240" w:lineRule="auto"/>
                    <w:rPr>
                      <w:rFonts w:ascii="Garamond" w:eastAsia="Times New Roman" w:hAnsi="Garamond" w:cs="Times New Roman"/>
                      <w:i/>
                      <w:color w:val="000000"/>
                      <w:sz w:val="20"/>
                      <w:szCs w:val="20"/>
                      <w:lang w:eastAsia="sq-AL"/>
                    </w:rPr>
                  </w:pPr>
                </w:p>
              </w:tc>
              <w:tc>
                <w:tcPr>
                  <w:tcW w:w="1080" w:type="dxa"/>
                  <w:vMerge/>
                  <w:tcBorders>
                    <w:top w:val="nil"/>
                    <w:left w:val="single" w:sz="8" w:space="0" w:color="auto"/>
                    <w:bottom w:val="single" w:sz="8" w:space="0" w:color="000000"/>
                    <w:right w:val="single" w:sz="8" w:space="0" w:color="auto"/>
                  </w:tcBorders>
                  <w:vAlign w:val="center"/>
                  <w:hideMark/>
                </w:tcPr>
                <w:p w14:paraId="6E2502DD"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p>
              </w:tc>
            </w:tr>
            <w:tr w:rsidR="004A4F48" w:rsidRPr="00474D79" w14:paraId="6E2502E2" w14:textId="77777777" w:rsidTr="004A4F48">
              <w:trPr>
                <w:trHeight w:val="304"/>
              </w:trPr>
              <w:tc>
                <w:tcPr>
                  <w:tcW w:w="4768" w:type="dxa"/>
                  <w:tcBorders>
                    <w:top w:val="nil"/>
                    <w:left w:val="single" w:sz="8" w:space="0" w:color="auto"/>
                    <w:bottom w:val="single" w:sz="8" w:space="0" w:color="auto"/>
                    <w:right w:val="single" w:sz="8" w:space="0" w:color="auto"/>
                  </w:tcBorders>
                  <w:shd w:val="clear" w:color="auto" w:fill="auto"/>
                  <w:vAlign w:val="center"/>
                  <w:hideMark/>
                </w:tcPr>
                <w:p w14:paraId="6E2502DF"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E0"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DDoS attack</w:t>
                  </w:r>
                </w:p>
              </w:tc>
              <w:tc>
                <w:tcPr>
                  <w:tcW w:w="1080" w:type="dxa"/>
                  <w:tcBorders>
                    <w:top w:val="nil"/>
                    <w:left w:val="nil"/>
                    <w:bottom w:val="single" w:sz="8" w:space="0" w:color="auto"/>
                    <w:right w:val="single" w:sz="8" w:space="0" w:color="auto"/>
                  </w:tcBorders>
                  <w:shd w:val="clear" w:color="auto" w:fill="auto"/>
                  <w:vAlign w:val="center"/>
                  <w:hideMark/>
                </w:tcPr>
                <w:p w14:paraId="6E2502E1"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E6" w14:textId="77777777" w:rsidTr="004A4F48">
              <w:trPr>
                <w:trHeight w:val="331"/>
              </w:trPr>
              <w:tc>
                <w:tcPr>
                  <w:tcW w:w="4768" w:type="dxa"/>
                  <w:tcBorders>
                    <w:top w:val="nil"/>
                    <w:left w:val="single" w:sz="8" w:space="0" w:color="auto"/>
                    <w:bottom w:val="nil"/>
                    <w:right w:val="single" w:sz="8" w:space="0" w:color="auto"/>
                  </w:tcBorders>
                  <w:shd w:val="clear" w:color="auto" w:fill="auto"/>
                  <w:vAlign w:val="center"/>
                  <w:hideMark/>
                </w:tcPr>
                <w:p w14:paraId="6E2502E3"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Ngjarje të tjera të sigurisë kibernetike (</w:t>
                  </w:r>
                  <w:r w:rsidRPr="00474D79">
                    <w:rPr>
                      <w:rFonts w:ascii="Garamond" w:eastAsia="Times New Roman" w:hAnsi="Garamond" w:cs="Times New Roman"/>
                      <w:i/>
                      <w:color w:val="000000"/>
                      <w:sz w:val="20"/>
                      <w:szCs w:val="20"/>
                      <w:lang w:eastAsia="sq-AL"/>
                    </w:rPr>
                    <w:t>Other Cyber Security Event</w:t>
                  </w:r>
                  <w:r w:rsidRPr="00474D79">
                    <w:rPr>
                      <w:rFonts w:ascii="Garamond" w:eastAsia="Times New Roman" w:hAnsi="Garamond" w:cs="Times New Roman"/>
                      <w:color w:val="000000"/>
                      <w:sz w:val="20"/>
                      <w:szCs w:val="20"/>
                      <w:lang w:eastAsia="sq-AL"/>
                    </w:rPr>
                    <w:t>)</w:t>
                  </w:r>
                </w:p>
              </w:tc>
              <w:tc>
                <w:tcPr>
                  <w:tcW w:w="2700" w:type="dxa"/>
                  <w:tcBorders>
                    <w:top w:val="nil"/>
                    <w:left w:val="nil"/>
                    <w:bottom w:val="single" w:sz="8" w:space="0" w:color="auto"/>
                    <w:right w:val="single" w:sz="8" w:space="0" w:color="auto"/>
                  </w:tcBorders>
                  <w:shd w:val="clear" w:color="auto" w:fill="auto"/>
                  <w:vAlign w:val="center"/>
                  <w:hideMark/>
                </w:tcPr>
                <w:p w14:paraId="6E2502E4"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Defacement</w:t>
                  </w:r>
                </w:p>
              </w:tc>
              <w:tc>
                <w:tcPr>
                  <w:tcW w:w="1080" w:type="dxa"/>
                  <w:tcBorders>
                    <w:top w:val="nil"/>
                    <w:left w:val="nil"/>
                    <w:bottom w:val="single" w:sz="8" w:space="0" w:color="auto"/>
                    <w:right w:val="single" w:sz="8" w:space="0" w:color="auto"/>
                  </w:tcBorders>
                  <w:shd w:val="clear" w:color="auto" w:fill="auto"/>
                  <w:vAlign w:val="center"/>
                  <w:hideMark/>
                </w:tcPr>
                <w:p w14:paraId="6E2502E5"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EA" w14:textId="77777777" w:rsidTr="004A4F48">
              <w:trPr>
                <w:trHeight w:val="457"/>
              </w:trPr>
              <w:tc>
                <w:tcPr>
                  <w:tcW w:w="4768" w:type="dxa"/>
                  <w:tcBorders>
                    <w:top w:val="nil"/>
                    <w:left w:val="single" w:sz="8" w:space="0" w:color="auto"/>
                    <w:bottom w:val="nil"/>
                    <w:right w:val="single" w:sz="8" w:space="0" w:color="auto"/>
                  </w:tcBorders>
                  <w:shd w:val="clear" w:color="auto" w:fill="auto"/>
                  <w:vAlign w:val="center"/>
                  <w:hideMark/>
                </w:tcPr>
                <w:p w14:paraId="6E2502E7"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p>
              </w:tc>
              <w:tc>
                <w:tcPr>
                  <w:tcW w:w="2700" w:type="dxa"/>
                  <w:tcBorders>
                    <w:top w:val="nil"/>
                    <w:left w:val="nil"/>
                    <w:bottom w:val="single" w:sz="8" w:space="0" w:color="auto"/>
                    <w:right w:val="single" w:sz="8" w:space="0" w:color="auto"/>
                  </w:tcBorders>
                  <w:shd w:val="clear" w:color="auto" w:fill="auto"/>
                  <w:vAlign w:val="center"/>
                  <w:hideMark/>
                </w:tcPr>
                <w:p w14:paraId="6E2502E8"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Brand Abuse on Mass and Social Media</w:t>
                  </w:r>
                </w:p>
              </w:tc>
              <w:tc>
                <w:tcPr>
                  <w:tcW w:w="1080" w:type="dxa"/>
                  <w:tcBorders>
                    <w:top w:val="nil"/>
                    <w:left w:val="nil"/>
                    <w:bottom w:val="single" w:sz="8" w:space="0" w:color="auto"/>
                    <w:right w:val="single" w:sz="8" w:space="0" w:color="auto"/>
                  </w:tcBorders>
                  <w:shd w:val="clear" w:color="auto" w:fill="auto"/>
                  <w:vAlign w:val="center"/>
                  <w:hideMark/>
                </w:tcPr>
                <w:p w14:paraId="6E2502E9"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EE" w14:textId="77777777" w:rsidTr="004A4F48">
              <w:trPr>
                <w:trHeight w:val="412"/>
              </w:trPr>
              <w:tc>
                <w:tcPr>
                  <w:tcW w:w="4768" w:type="dxa"/>
                  <w:tcBorders>
                    <w:top w:val="nil"/>
                    <w:left w:val="single" w:sz="8" w:space="0" w:color="auto"/>
                    <w:bottom w:val="nil"/>
                    <w:right w:val="single" w:sz="8" w:space="0" w:color="auto"/>
                  </w:tcBorders>
                  <w:shd w:val="clear" w:color="auto" w:fill="auto"/>
                  <w:vAlign w:val="center"/>
                  <w:hideMark/>
                </w:tcPr>
                <w:p w14:paraId="6E2502EB"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EC"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Libel of persons on Mass and Social Media</w:t>
                  </w:r>
                </w:p>
              </w:tc>
              <w:tc>
                <w:tcPr>
                  <w:tcW w:w="1080" w:type="dxa"/>
                  <w:tcBorders>
                    <w:top w:val="nil"/>
                    <w:left w:val="nil"/>
                    <w:bottom w:val="single" w:sz="8" w:space="0" w:color="auto"/>
                    <w:right w:val="single" w:sz="8" w:space="0" w:color="auto"/>
                  </w:tcBorders>
                  <w:shd w:val="clear" w:color="auto" w:fill="auto"/>
                  <w:vAlign w:val="center"/>
                  <w:hideMark/>
                </w:tcPr>
                <w:p w14:paraId="6E2502ED"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r w:rsidR="004A4F48" w:rsidRPr="00474D79" w14:paraId="6E2502F2" w14:textId="77777777" w:rsidTr="004A4F48">
              <w:trPr>
                <w:trHeight w:val="340"/>
              </w:trPr>
              <w:tc>
                <w:tcPr>
                  <w:tcW w:w="4768" w:type="dxa"/>
                  <w:tcBorders>
                    <w:top w:val="nil"/>
                    <w:left w:val="single" w:sz="8" w:space="0" w:color="auto"/>
                    <w:bottom w:val="single" w:sz="8" w:space="0" w:color="auto"/>
                    <w:right w:val="single" w:sz="8" w:space="0" w:color="auto"/>
                  </w:tcBorders>
                  <w:shd w:val="clear" w:color="auto" w:fill="auto"/>
                  <w:hideMark/>
                </w:tcPr>
                <w:p w14:paraId="6E2502EF" w14:textId="77777777" w:rsidR="004A4F48" w:rsidRPr="00474D79" w:rsidRDefault="004A4F48" w:rsidP="00FD3EF9">
                  <w:pPr>
                    <w:spacing w:after="0" w:line="240" w:lineRule="auto"/>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c>
                <w:tcPr>
                  <w:tcW w:w="2700" w:type="dxa"/>
                  <w:tcBorders>
                    <w:top w:val="nil"/>
                    <w:left w:val="nil"/>
                    <w:bottom w:val="single" w:sz="8" w:space="0" w:color="auto"/>
                    <w:right w:val="single" w:sz="8" w:space="0" w:color="auto"/>
                  </w:tcBorders>
                  <w:shd w:val="clear" w:color="auto" w:fill="auto"/>
                  <w:vAlign w:val="center"/>
                  <w:hideMark/>
                </w:tcPr>
                <w:p w14:paraId="6E2502F0" w14:textId="77777777" w:rsidR="004A4F48" w:rsidRPr="00474D79" w:rsidRDefault="004A4F48" w:rsidP="00FD3EF9">
                  <w:pPr>
                    <w:spacing w:after="0" w:line="240" w:lineRule="auto"/>
                    <w:jc w:val="both"/>
                    <w:rPr>
                      <w:rFonts w:ascii="Garamond" w:eastAsia="Times New Roman" w:hAnsi="Garamond" w:cs="Times New Roman"/>
                      <w:i/>
                      <w:color w:val="000000"/>
                      <w:sz w:val="20"/>
                      <w:szCs w:val="20"/>
                      <w:lang w:eastAsia="sq-AL"/>
                    </w:rPr>
                  </w:pPr>
                  <w:r w:rsidRPr="00474D79">
                    <w:rPr>
                      <w:rFonts w:ascii="Garamond" w:eastAsia="Times New Roman" w:hAnsi="Garamond" w:cs="Times New Roman"/>
                      <w:i/>
                      <w:color w:val="000000"/>
                      <w:sz w:val="20"/>
                      <w:szCs w:val="20"/>
                      <w:lang w:eastAsia="sq-AL"/>
                    </w:rPr>
                    <w:t>Vulnerability Scan</w:t>
                  </w:r>
                </w:p>
              </w:tc>
              <w:tc>
                <w:tcPr>
                  <w:tcW w:w="1080" w:type="dxa"/>
                  <w:tcBorders>
                    <w:top w:val="nil"/>
                    <w:left w:val="nil"/>
                    <w:bottom w:val="single" w:sz="8" w:space="0" w:color="auto"/>
                    <w:right w:val="single" w:sz="8" w:space="0" w:color="auto"/>
                  </w:tcBorders>
                  <w:shd w:val="clear" w:color="auto" w:fill="auto"/>
                  <w:vAlign w:val="center"/>
                  <w:hideMark/>
                </w:tcPr>
                <w:p w14:paraId="6E2502F1" w14:textId="77777777" w:rsidR="004A4F48" w:rsidRPr="00474D79" w:rsidRDefault="004A4F48" w:rsidP="00FD3EF9">
                  <w:pPr>
                    <w:spacing w:after="0" w:line="240" w:lineRule="auto"/>
                    <w:jc w:val="both"/>
                    <w:rPr>
                      <w:rFonts w:ascii="Garamond" w:eastAsia="Times New Roman" w:hAnsi="Garamond" w:cs="Times New Roman"/>
                      <w:color w:val="000000"/>
                      <w:sz w:val="20"/>
                      <w:szCs w:val="20"/>
                      <w:lang w:eastAsia="sq-AL"/>
                    </w:rPr>
                  </w:pPr>
                  <w:r w:rsidRPr="00474D79">
                    <w:rPr>
                      <w:rFonts w:ascii="Garamond" w:eastAsia="Times New Roman" w:hAnsi="Garamond" w:cs="Times New Roman"/>
                      <w:color w:val="000000"/>
                      <w:sz w:val="20"/>
                      <w:szCs w:val="20"/>
                      <w:lang w:eastAsia="sq-AL"/>
                    </w:rPr>
                    <w:t> </w:t>
                  </w:r>
                </w:p>
              </w:tc>
            </w:tr>
          </w:tbl>
          <w:p w14:paraId="6E2502F3" w14:textId="77777777" w:rsidR="004A4F48" w:rsidRPr="00474D79" w:rsidRDefault="004A4F48" w:rsidP="00FD3EF9">
            <w:pPr>
              <w:spacing w:after="0" w:line="240" w:lineRule="auto"/>
              <w:jc w:val="both"/>
              <w:rPr>
                <w:rFonts w:ascii="Garamond" w:eastAsia="Times New Roman" w:hAnsi="Garamond" w:cs="Times New Roman"/>
                <w:sz w:val="20"/>
                <w:szCs w:val="20"/>
              </w:rPr>
            </w:pPr>
          </w:p>
        </w:tc>
      </w:tr>
      <w:tr w:rsidR="00EF09E3" w:rsidRPr="00474D79" w14:paraId="6E2502F9"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2F5" w14:textId="77777777" w:rsidR="00EF09E3" w:rsidRPr="00474D79" w:rsidDel="00E7335C" w:rsidRDefault="00EF09E3" w:rsidP="00FD3EF9">
            <w:pPr>
              <w:spacing w:after="0" w:line="240" w:lineRule="auto"/>
              <w:jc w:val="center"/>
              <w:rPr>
                <w:rFonts w:ascii="Garamond" w:eastAsia="Times New Roman" w:hAnsi="Garamond" w:cs="Times New Roman"/>
                <w:sz w:val="20"/>
                <w:szCs w:val="20"/>
              </w:rPr>
            </w:pPr>
            <w:r w:rsidRPr="00474D79">
              <w:rPr>
                <w:rFonts w:ascii="Garamond" w:hAnsi="Garamond"/>
                <w:sz w:val="20"/>
                <w:szCs w:val="20"/>
              </w:rPr>
              <w:t>11</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2F6" w14:textId="77777777" w:rsidR="00EF09E3" w:rsidRPr="00474D79" w:rsidRDefault="00EF09E3"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Disponueshmëria e ATM-ve (</w:t>
            </w:r>
            <w:r w:rsidRPr="00474D79">
              <w:rPr>
                <w:rFonts w:ascii="Garamond" w:eastAsia="Times New Roman" w:hAnsi="Garamond" w:cs="Times New Roman"/>
                <w:i/>
                <w:sz w:val="20"/>
                <w:szCs w:val="20"/>
                <w:lang w:eastAsia="en-GB"/>
              </w:rPr>
              <w:t>uptime ratio</w:t>
            </w:r>
            <w:r w:rsidRPr="00474D79">
              <w:rPr>
                <w:rFonts w:ascii="Garamond" w:eastAsia="Times New Roman" w:hAnsi="Garamond" w:cs="Times New Roman"/>
                <w:sz w:val="20"/>
                <w:szCs w:val="20"/>
                <w:lang w:eastAsia="en-GB"/>
              </w:rPr>
              <w:t>)</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2F7"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Përqindje (%)</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2F8"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EF09E3" w:rsidRPr="00474D79" w14:paraId="6E2502FE"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2FA" w14:textId="77777777" w:rsidR="00EF09E3" w:rsidRPr="00474D79" w:rsidRDefault="00EF09E3" w:rsidP="00FD3EF9">
            <w:pPr>
              <w:spacing w:after="0" w:line="240" w:lineRule="auto"/>
              <w:jc w:val="center"/>
              <w:rPr>
                <w:rFonts w:ascii="Garamond" w:hAnsi="Garamond"/>
                <w:sz w:val="20"/>
                <w:szCs w:val="20"/>
              </w:rPr>
            </w:pPr>
            <w:r w:rsidRPr="00474D79">
              <w:rPr>
                <w:rFonts w:ascii="Garamond" w:hAnsi="Garamond"/>
                <w:sz w:val="20"/>
                <w:szCs w:val="20"/>
              </w:rPr>
              <w:t>12</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2FB" w14:textId="77777777" w:rsidR="00EF09E3" w:rsidRPr="00474D79" w:rsidRDefault="00EF09E3"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Karta nën investigim</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2FC"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Numër</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2FD"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EF09E3" w:rsidRPr="00474D79" w14:paraId="6E250303"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2FF" w14:textId="77777777" w:rsidR="00EF09E3" w:rsidRPr="00474D79" w:rsidRDefault="00EF09E3" w:rsidP="00FD3EF9">
            <w:pPr>
              <w:spacing w:after="0" w:line="240" w:lineRule="auto"/>
              <w:jc w:val="center"/>
              <w:rPr>
                <w:rFonts w:ascii="Garamond" w:hAnsi="Garamond"/>
                <w:sz w:val="20"/>
                <w:szCs w:val="20"/>
              </w:rPr>
            </w:pPr>
            <w:r w:rsidRPr="00474D79">
              <w:rPr>
                <w:rFonts w:ascii="Garamond" w:hAnsi="Garamond"/>
                <w:sz w:val="20"/>
                <w:szCs w:val="20"/>
              </w:rPr>
              <w:t>13</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300" w14:textId="77777777" w:rsidR="00EF09E3" w:rsidRPr="00474D79" w:rsidRDefault="00EF09E3"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Rekomandimet e kontrollit të brendshëm të pa përmbushura brenda afatit</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301"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Numër</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302"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EF09E3" w:rsidRPr="00474D79" w14:paraId="6E250308"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304" w14:textId="77777777" w:rsidR="00EF09E3" w:rsidRPr="00474D79" w:rsidRDefault="00EF09E3" w:rsidP="00FD3EF9">
            <w:pPr>
              <w:spacing w:after="0" w:line="240" w:lineRule="auto"/>
              <w:jc w:val="center"/>
              <w:rPr>
                <w:rFonts w:ascii="Garamond" w:hAnsi="Garamond"/>
                <w:sz w:val="20"/>
                <w:szCs w:val="20"/>
              </w:rPr>
            </w:pPr>
            <w:r w:rsidRPr="00474D79">
              <w:rPr>
                <w:rFonts w:ascii="Garamond" w:hAnsi="Garamond"/>
                <w:sz w:val="20"/>
                <w:szCs w:val="20"/>
              </w:rPr>
              <w:t>14</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305" w14:textId="77777777" w:rsidR="00EF09E3" w:rsidRPr="00474D79" w:rsidRDefault="00EF09E3" w:rsidP="00FD3EF9">
            <w:pPr>
              <w:spacing w:after="0" w:line="240" w:lineRule="auto"/>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Procedura, politika dhe rregullore të papërdit</w:t>
            </w:r>
            <w:r w:rsidR="00790857" w:rsidRPr="00474D79">
              <w:rPr>
                <w:rFonts w:ascii="Garamond" w:eastAsia="Times New Roman" w:hAnsi="Garamond" w:cs="Times New Roman"/>
                <w:sz w:val="20"/>
                <w:szCs w:val="20"/>
                <w:lang w:eastAsia="en-GB"/>
              </w:rPr>
              <w:t>ë</w:t>
            </w:r>
            <w:r w:rsidRPr="00474D79">
              <w:rPr>
                <w:rFonts w:ascii="Garamond" w:eastAsia="Times New Roman" w:hAnsi="Garamond" w:cs="Times New Roman"/>
                <w:sz w:val="20"/>
                <w:szCs w:val="20"/>
                <w:lang w:eastAsia="en-GB"/>
              </w:rPr>
              <w:t>suara</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306"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 xml:space="preserve"> Përqindje (%)</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307"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EF09E3" w:rsidRPr="00474D79" w14:paraId="6E25030D"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309" w14:textId="77777777" w:rsidR="00EF09E3" w:rsidRPr="00474D79" w:rsidRDefault="00EF09E3" w:rsidP="00FD3EF9">
            <w:pPr>
              <w:spacing w:after="0" w:line="240" w:lineRule="auto"/>
              <w:jc w:val="center"/>
              <w:rPr>
                <w:rFonts w:ascii="Garamond" w:hAnsi="Garamond"/>
                <w:sz w:val="20"/>
                <w:szCs w:val="20"/>
              </w:rPr>
            </w:pPr>
            <w:r w:rsidRPr="00474D79">
              <w:rPr>
                <w:rFonts w:ascii="Garamond" w:hAnsi="Garamond"/>
                <w:sz w:val="20"/>
                <w:szCs w:val="20"/>
              </w:rPr>
              <w:t>15</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30A" w14:textId="77777777" w:rsidR="00EF09E3" w:rsidRPr="00474D79" w:rsidRDefault="00EF09E3"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 xml:space="preserve">Projekte që nuk janë mbyllur brenda afatit të përcaktuar nga subjekti </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30B"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Përqindje (%)</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30C"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EF09E3" w:rsidRPr="00474D79" w14:paraId="6E250312"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30E" w14:textId="77777777" w:rsidR="00EF09E3" w:rsidRPr="00474D79" w:rsidRDefault="00EF09E3" w:rsidP="00FD3EF9">
            <w:pPr>
              <w:spacing w:after="0" w:line="240" w:lineRule="auto"/>
              <w:jc w:val="center"/>
              <w:rPr>
                <w:rFonts w:ascii="Garamond" w:hAnsi="Garamond"/>
                <w:sz w:val="20"/>
                <w:szCs w:val="20"/>
              </w:rPr>
            </w:pPr>
            <w:r w:rsidRPr="00474D79">
              <w:rPr>
                <w:rStyle w:val="CommentReference"/>
                <w:rFonts w:ascii="Garamond" w:eastAsia="Times New Roman" w:hAnsi="Garamond" w:cs="Times New Roman"/>
                <w:sz w:val="20"/>
                <w:szCs w:val="20"/>
              </w:rPr>
              <w:t>16</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30F" w14:textId="77777777" w:rsidR="00EF09E3" w:rsidRPr="00474D79" w:rsidRDefault="00EF09E3"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Numri i rasteve të identifikuara si mashtrim</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310"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Numër</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311"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EF09E3" w:rsidRPr="00474D79" w14:paraId="6E250317"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313" w14:textId="77777777" w:rsidR="00EF09E3" w:rsidRPr="00474D79" w:rsidRDefault="00EF09E3" w:rsidP="00FD3EF9">
            <w:pPr>
              <w:spacing w:after="0" w:line="240" w:lineRule="auto"/>
              <w:jc w:val="center"/>
              <w:rPr>
                <w:rStyle w:val="CommentReference"/>
                <w:rFonts w:ascii="Garamond" w:eastAsia="Times New Roman" w:hAnsi="Garamond" w:cs="Times New Roman"/>
                <w:sz w:val="20"/>
                <w:szCs w:val="20"/>
              </w:rPr>
            </w:pPr>
            <w:r w:rsidRPr="00474D79">
              <w:rPr>
                <w:rStyle w:val="CommentReference"/>
                <w:rFonts w:ascii="Garamond" w:eastAsia="Times New Roman" w:hAnsi="Garamond" w:cs="Times New Roman"/>
                <w:sz w:val="20"/>
                <w:szCs w:val="20"/>
              </w:rPr>
              <w:t>17</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314" w14:textId="77777777" w:rsidR="00EF09E3" w:rsidRPr="00474D79" w:rsidRDefault="00EF09E3"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 xml:space="preserve">Thyerja e limiteve të brendshme të mbajtjes së </w:t>
            </w:r>
            <w:r w:rsidRPr="00474D79">
              <w:rPr>
                <w:rFonts w:ascii="Garamond" w:eastAsia="Times New Roman" w:hAnsi="Garamond" w:cs="Times New Roman"/>
                <w:i/>
                <w:sz w:val="20"/>
                <w:szCs w:val="20"/>
                <w:lang w:eastAsia="en-GB"/>
              </w:rPr>
              <w:t>cash</w:t>
            </w:r>
            <w:r w:rsidR="00324CC0" w:rsidRPr="00474D79">
              <w:rPr>
                <w:rFonts w:ascii="Garamond" w:eastAsia="Times New Roman" w:hAnsi="Garamond" w:cs="Times New Roman"/>
                <w:sz w:val="20"/>
                <w:szCs w:val="20"/>
                <w:lang w:eastAsia="en-GB"/>
              </w:rPr>
              <w:t>-it në degë</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315"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Numër</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316"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EF09E3" w:rsidRPr="00474D79" w14:paraId="6E25031C"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318" w14:textId="77777777" w:rsidR="00EF09E3" w:rsidRPr="00474D79" w:rsidRDefault="00EF09E3" w:rsidP="00FD3EF9">
            <w:pPr>
              <w:spacing w:after="0" w:line="240" w:lineRule="auto"/>
              <w:jc w:val="center"/>
              <w:rPr>
                <w:rStyle w:val="CommentReference"/>
                <w:rFonts w:ascii="Garamond" w:eastAsia="Times New Roman" w:hAnsi="Garamond" w:cs="Times New Roman"/>
                <w:sz w:val="20"/>
                <w:szCs w:val="20"/>
              </w:rPr>
            </w:pPr>
            <w:r w:rsidRPr="00474D79">
              <w:rPr>
                <w:rStyle w:val="CommentReference"/>
                <w:rFonts w:ascii="Garamond" w:eastAsia="Times New Roman" w:hAnsi="Garamond" w:cs="Times New Roman"/>
                <w:sz w:val="20"/>
                <w:szCs w:val="20"/>
              </w:rPr>
              <w:t>18</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319" w14:textId="77777777" w:rsidR="00EF09E3" w:rsidRPr="00474D79" w:rsidRDefault="00EF09E3"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Numri i transfertave të gabuara në nisje (</w:t>
            </w:r>
            <w:r w:rsidRPr="00474D79">
              <w:rPr>
                <w:rFonts w:ascii="Garamond" w:eastAsia="Times New Roman" w:hAnsi="Garamond" w:cs="Times New Roman"/>
                <w:i/>
                <w:sz w:val="20"/>
                <w:szCs w:val="20"/>
                <w:lang w:eastAsia="en-GB"/>
              </w:rPr>
              <w:t>outgoing</w:t>
            </w:r>
            <w:r w:rsidRPr="00474D79">
              <w:rPr>
                <w:rFonts w:ascii="Garamond" w:eastAsia="Times New Roman" w:hAnsi="Garamond" w:cs="Times New Roman"/>
                <w:sz w:val="20"/>
                <w:szCs w:val="20"/>
                <w:lang w:eastAsia="en-GB"/>
              </w:rPr>
              <w:t>)</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31A"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Numër</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31B"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EF09E3" w:rsidRPr="00474D79" w14:paraId="6E250321"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31D" w14:textId="77777777" w:rsidR="00EF09E3" w:rsidRPr="00474D79" w:rsidRDefault="00EF09E3" w:rsidP="00FD3EF9">
            <w:pPr>
              <w:spacing w:after="0" w:line="240" w:lineRule="auto"/>
              <w:jc w:val="center"/>
              <w:rPr>
                <w:rStyle w:val="CommentReference"/>
                <w:rFonts w:ascii="Garamond" w:eastAsia="Times New Roman" w:hAnsi="Garamond" w:cs="Times New Roman"/>
                <w:sz w:val="20"/>
                <w:szCs w:val="20"/>
              </w:rPr>
            </w:pPr>
            <w:r w:rsidRPr="00474D79">
              <w:rPr>
                <w:rStyle w:val="CommentReference"/>
                <w:rFonts w:ascii="Garamond" w:eastAsia="Times New Roman" w:hAnsi="Garamond" w:cs="Times New Roman"/>
                <w:sz w:val="20"/>
                <w:szCs w:val="20"/>
              </w:rPr>
              <w:lastRenderedPageBreak/>
              <w:t>19</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31E" w14:textId="77777777" w:rsidR="00EF09E3" w:rsidRPr="00474D79" w:rsidRDefault="00EF09E3"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Numri i kolateraleve hipotek</w:t>
            </w:r>
            <w:r w:rsidR="00354B69" w:rsidRPr="00474D79">
              <w:rPr>
                <w:rFonts w:ascii="Garamond" w:eastAsia="Times New Roman" w:hAnsi="Garamond" w:cs="Times New Roman"/>
                <w:sz w:val="20"/>
                <w:szCs w:val="20"/>
                <w:lang w:eastAsia="en-GB"/>
              </w:rPr>
              <w:t>a</w:t>
            </w:r>
            <w:r w:rsidRPr="00474D79">
              <w:rPr>
                <w:rFonts w:ascii="Garamond" w:eastAsia="Times New Roman" w:hAnsi="Garamond" w:cs="Times New Roman"/>
                <w:sz w:val="20"/>
                <w:szCs w:val="20"/>
                <w:lang w:eastAsia="en-GB"/>
              </w:rPr>
              <w:t xml:space="preserve">re të regjistruar të cilëve </w:t>
            </w:r>
            <w:r w:rsidR="00DC3D98" w:rsidRPr="00474D79">
              <w:rPr>
                <w:rFonts w:ascii="Garamond" w:eastAsia="Times New Roman" w:hAnsi="Garamond" w:cs="Times New Roman"/>
                <w:sz w:val="20"/>
                <w:szCs w:val="20"/>
                <w:lang w:eastAsia="en-GB"/>
              </w:rPr>
              <w:t>iu ka mbaruar afati i sigurimit</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31F"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Numër</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320"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EF09E3" w:rsidRPr="00474D79" w14:paraId="6E250326"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322" w14:textId="77777777" w:rsidR="00EF09E3" w:rsidRPr="00474D79" w:rsidRDefault="00EF09E3" w:rsidP="00FD3EF9">
            <w:pPr>
              <w:spacing w:after="0" w:line="240" w:lineRule="auto"/>
              <w:jc w:val="center"/>
              <w:rPr>
                <w:rStyle w:val="CommentReference"/>
                <w:rFonts w:ascii="Garamond" w:eastAsia="Times New Roman" w:hAnsi="Garamond" w:cs="Times New Roman"/>
                <w:sz w:val="20"/>
                <w:szCs w:val="20"/>
              </w:rPr>
            </w:pPr>
            <w:r w:rsidRPr="00474D79">
              <w:rPr>
                <w:rStyle w:val="CommentReference"/>
                <w:rFonts w:ascii="Garamond" w:eastAsia="Times New Roman" w:hAnsi="Garamond" w:cs="Times New Roman"/>
                <w:sz w:val="20"/>
                <w:szCs w:val="20"/>
              </w:rPr>
              <w:t>20</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323" w14:textId="77777777" w:rsidR="00EF09E3" w:rsidRPr="00474D79" w:rsidRDefault="00324CC0"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Kredi të reja me probleme</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324"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Përqindje (%)</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325"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EF09E3" w:rsidRPr="00474D79" w14:paraId="6E25032B"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327" w14:textId="77777777" w:rsidR="00EF09E3" w:rsidRPr="00474D79" w:rsidRDefault="00EF09E3" w:rsidP="00FD3EF9">
            <w:pPr>
              <w:spacing w:after="0" w:line="240" w:lineRule="auto"/>
              <w:jc w:val="center"/>
              <w:rPr>
                <w:rStyle w:val="CommentReference"/>
                <w:rFonts w:ascii="Garamond" w:eastAsia="Times New Roman" w:hAnsi="Garamond" w:cs="Times New Roman"/>
                <w:sz w:val="20"/>
                <w:szCs w:val="20"/>
              </w:rPr>
            </w:pPr>
            <w:r w:rsidRPr="00474D79">
              <w:rPr>
                <w:rStyle w:val="CommentReference"/>
                <w:rFonts w:ascii="Garamond" w:eastAsia="Times New Roman" w:hAnsi="Garamond" w:cs="Times New Roman"/>
                <w:sz w:val="20"/>
                <w:szCs w:val="20"/>
              </w:rPr>
              <w:t>21</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328" w14:textId="77777777" w:rsidR="00EF09E3" w:rsidRPr="00474D79" w:rsidRDefault="00EF09E3"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i/>
                <w:sz w:val="20"/>
                <w:szCs w:val="20"/>
                <w:lang w:eastAsia="en-GB"/>
              </w:rPr>
              <w:t>Outsourcing</w:t>
            </w:r>
            <w:r w:rsidRPr="00474D79">
              <w:rPr>
                <w:rFonts w:ascii="Garamond" w:eastAsia="Times New Roman" w:hAnsi="Garamond" w:cs="Times New Roman"/>
                <w:sz w:val="20"/>
                <w:szCs w:val="20"/>
                <w:lang w:eastAsia="en-GB"/>
              </w:rPr>
              <w:t xml:space="preserve"> kritik pa kryer vlerësim vjetor të rrezikut t</w:t>
            </w:r>
            <w:r w:rsidR="00077144" w:rsidRPr="00474D79">
              <w:rPr>
                <w:rFonts w:ascii="Garamond" w:eastAsia="Times New Roman" w:hAnsi="Garamond" w:cs="Times New Roman"/>
                <w:sz w:val="20"/>
                <w:szCs w:val="20"/>
                <w:lang w:eastAsia="en-GB"/>
              </w:rPr>
              <w:t>ë</w:t>
            </w:r>
            <w:r w:rsidRPr="00474D79">
              <w:rPr>
                <w:rFonts w:ascii="Garamond" w:eastAsia="Times New Roman" w:hAnsi="Garamond" w:cs="Times New Roman"/>
                <w:sz w:val="20"/>
                <w:szCs w:val="20"/>
                <w:lang w:eastAsia="en-GB"/>
              </w:rPr>
              <w:t xml:space="preserve"> sigurisë së informacionit dhe vazhdimësisë s</w:t>
            </w:r>
            <w:r w:rsidR="00077144" w:rsidRPr="00474D79">
              <w:rPr>
                <w:rFonts w:ascii="Garamond" w:eastAsia="Times New Roman" w:hAnsi="Garamond" w:cs="Times New Roman"/>
                <w:sz w:val="20"/>
                <w:szCs w:val="20"/>
                <w:lang w:eastAsia="en-GB"/>
              </w:rPr>
              <w:t>ë</w:t>
            </w:r>
            <w:r w:rsidRPr="00474D79">
              <w:rPr>
                <w:rFonts w:ascii="Garamond" w:eastAsia="Times New Roman" w:hAnsi="Garamond" w:cs="Times New Roman"/>
                <w:sz w:val="20"/>
                <w:szCs w:val="20"/>
                <w:lang w:eastAsia="en-GB"/>
              </w:rPr>
              <w:t xml:space="preserve"> biznesit</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329"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Numër</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32A"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EF09E3" w:rsidRPr="00474D79" w14:paraId="6E250330"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32C" w14:textId="77777777" w:rsidR="00EF09E3" w:rsidRPr="00474D79" w:rsidRDefault="00EF09E3" w:rsidP="00FD3EF9">
            <w:pPr>
              <w:spacing w:after="0" w:line="240" w:lineRule="auto"/>
              <w:jc w:val="center"/>
              <w:rPr>
                <w:rStyle w:val="CommentReference"/>
                <w:rFonts w:ascii="Garamond" w:eastAsia="Times New Roman" w:hAnsi="Garamond" w:cs="Times New Roman"/>
                <w:sz w:val="20"/>
                <w:szCs w:val="20"/>
              </w:rPr>
            </w:pPr>
            <w:r w:rsidRPr="00474D79">
              <w:rPr>
                <w:rStyle w:val="CommentReference"/>
                <w:rFonts w:ascii="Garamond" w:eastAsia="Times New Roman" w:hAnsi="Garamond" w:cs="Times New Roman"/>
                <w:sz w:val="20"/>
                <w:szCs w:val="20"/>
              </w:rPr>
              <w:t>22</w:t>
            </w: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32D" w14:textId="77777777" w:rsidR="00EF09E3" w:rsidRPr="00474D79" w:rsidRDefault="00EF09E3"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 xml:space="preserve">Numri i ngjarjeve kur mbulimi i fondeve të </w:t>
            </w:r>
            <w:r w:rsidR="00324CC0" w:rsidRPr="00474D79">
              <w:rPr>
                <w:rFonts w:ascii="Garamond" w:eastAsia="Times New Roman" w:hAnsi="Garamond" w:cs="Times New Roman"/>
                <w:sz w:val="20"/>
                <w:szCs w:val="20"/>
                <w:lang w:eastAsia="en-GB"/>
              </w:rPr>
              <w:t>klientëve bie nën nivelin 100%*</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32E"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Numër</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32F"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r w:rsidR="00EF09E3" w:rsidRPr="00474D79" w14:paraId="6E250336" w14:textId="77777777" w:rsidTr="00D20524">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E250331" w14:textId="77777777" w:rsidR="00EF09E3" w:rsidRPr="00474D79" w:rsidRDefault="00EF09E3" w:rsidP="00FD3EF9">
            <w:pPr>
              <w:spacing w:after="0" w:line="240" w:lineRule="auto"/>
              <w:jc w:val="center"/>
              <w:rPr>
                <w:rStyle w:val="CommentReference"/>
                <w:rFonts w:ascii="Garamond" w:eastAsia="Times New Roman" w:hAnsi="Garamond" w:cs="Times New Roman"/>
                <w:sz w:val="20"/>
                <w:szCs w:val="20"/>
              </w:rPr>
            </w:pPr>
            <w:r w:rsidRPr="00474D79">
              <w:rPr>
                <w:rStyle w:val="CommentReference"/>
                <w:rFonts w:ascii="Garamond" w:eastAsia="Times New Roman" w:hAnsi="Garamond" w:cs="Times New Roman"/>
                <w:sz w:val="20"/>
                <w:szCs w:val="20"/>
              </w:rPr>
              <w:t>23</w:t>
            </w:r>
          </w:p>
          <w:p w14:paraId="6E250332" w14:textId="77777777" w:rsidR="00EF09E3" w:rsidRPr="00474D79" w:rsidRDefault="00EF09E3" w:rsidP="00FD3EF9">
            <w:pPr>
              <w:spacing w:after="0" w:line="240" w:lineRule="auto"/>
              <w:jc w:val="center"/>
              <w:rPr>
                <w:rStyle w:val="CommentReference"/>
                <w:rFonts w:ascii="Garamond" w:eastAsia="Times New Roman" w:hAnsi="Garamond" w:cs="Times New Roman"/>
                <w:sz w:val="20"/>
                <w:szCs w:val="20"/>
              </w:rPr>
            </w:pPr>
          </w:p>
        </w:tc>
        <w:tc>
          <w:tcPr>
            <w:tcW w:w="2485" w:type="pct"/>
            <w:tcBorders>
              <w:top w:val="single" w:sz="4" w:space="0" w:color="auto"/>
              <w:left w:val="single" w:sz="4" w:space="0" w:color="auto"/>
              <w:bottom w:val="single" w:sz="4" w:space="0" w:color="auto"/>
              <w:right w:val="single" w:sz="4" w:space="0" w:color="auto"/>
            </w:tcBorders>
            <w:shd w:val="clear" w:color="auto" w:fill="auto"/>
            <w:vAlign w:val="center"/>
          </w:tcPr>
          <w:p w14:paraId="6E250333" w14:textId="77777777" w:rsidR="00EF09E3" w:rsidRPr="00474D79" w:rsidRDefault="00EF09E3" w:rsidP="00FD3EF9">
            <w:pPr>
              <w:spacing w:after="0" w:line="240" w:lineRule="auto"/>
              <w:jc w:val="both"/>
              <w:rPr>
                <w:rFonts w:ascii="Garamond" w:eastAsia="Times New Roman" w:hAnsi="Garamond" w:cs="Times New Roman"/>
                <w:sz w:val="20"/>
                <w:szCs w:val="20"/>
                <w:lang w:eastAsia="en-GB"/>
              </w:rPr>
            </w:pPr>
            <w:r w:rsidRPr="00474D79">
              <w:rPr>
                <w:rFonts w:ascii="Garamond" w:eastAsia="Times New Roman" w:hAnsi="Garamond" w:cs="Times New Roman"/>
                <w:sz w:val="20"/>
                <w:szCs w:val="20"/>
                <w:lang w:eastAsia="en-GB"/>
              </w:rPr>
              <w:t>Vlera maksimale e shumës së fondeve të klientëve, e pambrojtur (</w:t>
            </w:r>
            <w:r w:rsidRPr="00474D79">
              <w:rPr>
                <w:rFonts w:ascii="Garamond" w:eastAsia="Times New Roman" w:hAnsi="Garamond" w:cs="Times New Roman"/>
                <w:i/>
                <w:sz w:val="20"/>
                <w:szCs w:val="20"/>
                <w:lang w:eastAsia="en-GB"/>
              </w:rPr>
              <w:t>safeguarding</w:t>
            </w:r>
            <w:r w:rsidRPr="00474D79">
              <w:rPr>
                <w:rFonts w:ascii="Garamond" w:eastAsia="Times New Roman" w:hAnsi="Garamond" w:cs="Times New Roman"/>
                <w:sz w:val="20"/>
                <w:szCs w:val="20"/>
                <w:lang w:eastAsia="en-GB"/>
              </w:rPr>
              <w:t xml:space="preserve">) sipas kërkesave </w:t>
            </w:r>
            <w:r w:rsidR="00324CC0" w:rsidRPr="00474D79">
              <w:rPr>
                <w:rFonts w:ascii="Garamond" w:eastAsia="Times New Roman" w:hAnsi="Garamond" w:cs="Times New Roman"/>
                <w:sz w:val="20"/>
                <w:szCs w:val="20"/>
                <w:lang w:eastAsia="en-GB"/>
              </w:rPr>
              <w:t>ligjore e rregullative*</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E250334" w14:textId="77777777" w:rsidR="00EF09E3" w:rsidRPr="00474D79" w:rsidRDefault="00EF09E3" w:rsidP="00FD3EF9">
            <w:pPr>
              <w:spacing w:after="0" w:line="240" w:lineRule="auto"/>
              <w:jc w:val="center"/>
              <w:rPr>
                <w:rFonts w:ascii="Garamond" w:eastAsia="Times New Roman" w:hAnsi="Garamond" w:cs="Times New Roman"/>
                <w:i/>
                <w:sz w:val="20"/>
                <w:szCs w:val="20"/>
              </w:rPr>
            </w:pPr>
            <w:r w:rsidRPr="00474D79">
              <w:rPr>
                <w:rFonts w:ascii="Garamond" w:eastAsia="Times New Roman" w:hAnsi="Garamond" w:cs="Times New Roman"/>
                <w:i/>
                <w:sz w:val="20"/>
                <w:szCs w:val="20"/>
              </w:rPr>
              <w:t>Vlerë (ALL)</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E250335" w14:textId="77777777" w:rsidR="00EF09E3" w:rsidRPr="00474D79" w:rsidRDefault="00EF09E3" w:rsidP="00FD3EF9">
            <w:pPr>
              <w:spacing w:after="0" w:line="240" w:lineRule="auto"/>
              <w:jc w:val="both"/>
              <w:rPr>
                <w:rFonts w:ascii="Garamond" w:eastAsia="Times New Roman" w:hAnsi="Garamond" w:cs="Times New Roman"/>
                <w:sz w:val="20"/>
                <w:szCs w:val="20"/>
              </w:rPr>
            </w:pPr>
          </w:p>
        </w:tc>
      </w:tr>
    </w:tbl>
    <w:p w14:paraId="6E250337" w14:textId="77777777" w:rsidR="00D72904" w:rsidRPr="00474D79" w:rsidRDefault="00D72904" w:rsidP="00FD3EF9">
      <w:pPr>
        <w:spacing w:after="0" w:line="240" w:lineRule="auto"/>
        <w:jc w:val="both"/>
        <w:rPr>
          <w:rFonts w:ascii="Garamond" w:hAnsi="Garamond" w:cs="Times New Roman"/>
          <w:i/>
        </w:rPr>
      </w:pPr>
    </w:p>
    <w:p w14:paraId="6E250338" w14:textId="77777777" w:rsidR="00EF09E3" w:rsidRPr="00474D79" w:rsidRDefault="00324CC0" w:rsidP="00FD3EF9">
      <w:pPr>
        <w:spacing w:after="0" w:line="240" w:lineRule="auto"/>
        <w:jc w:val="both"/>
        <w:rPr>
          <w:rFonts w:ascii="Garamond" w:hAnsi="Garamond" w:cs="Times New Roman"/>
          <w:i/>
        </w:rPr>
      </w:pPr>
      <w:r w:rsidRPr="00474D79">
        <w:rPr>
          <w:rFonts w:ascii="Garamond" w:hAnsi="Garamond" w:cs="Times New Roman"/>
          <w:i/>
        </w:rPr>
        <w:t>*</w:t>
      </w:r>
      <w:r w:rsidR="00EF09E3" w:rsidRPr="00474D79">
        <w:rPr>
          <w:rFonts w:ascii="Garamond" w:hAnsi="Garamond" w:cs="Times New Roman"/>
          <w:i/>
        </w:rPr>
        <w:t xml:space="preserve"> Kërkesë e aplikueshme vetëm për institucionet e pagesave dhe institucionet e parasë elektronike.</w:t>
      </w:r>
    </w:p>
    <w:p w14:paraId="6E250339" w14:textId="77777777" w:rsidR="00EF09E3" w:rsidRPr="00474D79" w:rsidRDefault="00EF09E3" w:rsidP="00FD3EF9">
      <w:pPr>
        <w:spacing w:after="0" w:line="240" w:lineRule="auto"/>
        <w:jc w:val="both"/>
        <w:rPr>
          <w:rFonts w:ascii="Garamond" w:hAnsi="Garamond" w:cs="Times New Roman"/>
          <w:b/>
          <w:sz w:val="24"/>
          <w:szCs w:val="24"/>
        </w:rPr>
      </w:pPr>
    </w:p>
    <w:p w14:paraId="6E25033A" w14:textId="093093E5" w:rsidR="00EF09E3" w:rsidRPr="00C37A4A" w:rsidRDefault="00C37A4A" w:rsidP="00C37A4A">
      <w:pPr>
        <w:spacing w:after="0" w:line="240" w:lineRule="auto"/>
        <w:jc w:val="center"/>
        <w:rPr>
          <w:rFonts w:ascii="Garamond" w:hAnsi="Garamond" w:cs="Times New Roman"/>
          <w:sz w:val="24"/>
          <w:szCs w:val="24"/>
        </w:rPr>
      </w:pPr>
      <w:r w:rsidRPr="00C37A4A">
        <w:rPr>
          <w:rFonts w:ascii="Garamond" w:hAnsi="Garamond" w:cs="Times New Roman"/>
          <w:sz w:val="24"/>
          <w:szCs w:val="24"/>
        </w:rPr>
        <w:t>ANEKS NR.2</w:t>
      </w:r>
    </w:p>
    <w:p w14:paraId="6E25033B" w14:textId="4829DDD8" w:rsidR="00EF09E3" w:rsidRPr="00C37A4A" w:rsidRDefault="00C37A4A" w:rsidP="00C37A4A">
      <w:pPr>
        <w:spacing w:after="0" w:line="240" w:lineRule="auto"/>
        <w:jc w:val="center"/>
        <w:rPr>
          <w:rFonts w:ascii="Garamond" w:hAnsi="Garamond" w:cs="Times New Roman"/>
          <w:sz w:val="24"/>
          <w:szCs w:val="24"/>
        </w:rPr>
      </w:pPr>
      <w:r w:rsidRPr="00C37A4A">
        <w:rPr>
          <w:rFonts w:ascii="Garamond" w:hAnsi="Garamond" w:cs="Times New Roman"/>
          <w:sz w:val="24"/>
          <w:szCs w:val="24"/>
        </w:rPr>
        <w:t>UDHËZIME PËR PLOTËSIMIN E TREGUESVE TË PARALAJMËRIMIT TË HERSHËM</w:t>
      </w:r>
    </w:p>
    <w:tbl>
      <w:tblPr>
        <w:tblW w:w="5421" w:type="pct"/>
        <w:tblLayout w:type="fixed"/>
        <w:tblLook w:val="04A0" w:firstRow="1" w:lastRow="0" w:firstColumn="1" w:lastColumn="0" w:noHBand="0" w:noVBand="1"/>
      </w:tblPr>
      <w:tblGrid>
        <w:gridCol w:w="563"/>
        <w:gridCol w:w="1842"/>
        <w:gridCol w:w="6946"/>
      </w:tblGrid>
      <w:tr w:rsidR="00EF09E3" w:rsidRPr="00474D79" w14:paraId="6E25033F" w14:textId="77777777" w:rsidTr="00D20524">
        <w:trPr>
          <w:trHeight w:val="255"/>
        </w:trPr>
        <w:tc>
          <w:tcPr>
            <w:tcW w:w="301" w:type="pct"/>
            <w:tcBorders>
              <w:top w:val="single" w:sz="8" w:space="0" w:color="auto"/>
              <w:left w:val="single" w:sz="4" w:space="0" w:color="auto"/>
              <w:bottom w:val="nil"/>
              <w:right w:val="single" w:sz="4" w:space="0" w:color="auto"/>
            </w:tcBorders>
            <w:shd w:val="clear" w:color="000000" w:fill="969696"/>
            <w:noWrap/>
            <w:vAlign w:val="center"/>
            <w:hideMark/>
          </w:tcPr>
          <w:p w14:paraId="6E25033C" w14:textId="77777777" w:rsidR="00EF09E3" w:rsidRPr="00474D79" w:rsidRDefault="00EF09E3" w:rsidP="00FD3EF9">
            <w:pPr>
              <w:spacing w:after="0" w:line="240" w:lineRule="auto"/>
              <w:jc w:val="center"/>
              <w:rPr>
                <w:rFonts w:ascii="Garamond" w:eastAsia="Times New Roman" w:hAnsi="Garamond" w:cs="Times New Roman"/>
                <w:b/>
                <w:bCs/>
                <w:color w:val="000000"/>
                <w:sz w:val="16"/>
                <w:lang w:eastAsia="en-GB"/>
              </w:rPr>
            </w:pPr>
            <w:r w:rsidRPr="00474D79">
              <w:rPr>
                <w:rFonts w:ascii="Garamond" w:eastAsia="Times New Roman" w:hAnsi="Garamond" w:cs="Times New Roman"/>
                <w:b/>
                <w:bCs/>
                <w:color w:val="000000"/>
                <w:sz w:val="16"/>
                <w:lang w:eastAsia="en-GB"/>
              </w:rPr>
              <w:t>Nr.</w:t>
            </w:r>
          </w:p>
        </w:tc>
        <w:tc>
          <w:tcPr>
            <w:tcW w:w="985" w:type="pct"/>
            <w:tcBorders>
              <w:top w:val="single" w:sz="8" w:space="0" w:color="auto"/>
              <w:left w:val="nil"/>
              <w:bottom w:val="nil"/>
              <w:right w:val="single" w:sz="4" w:space="0" w:color="auto"/>
            </w:tcBorders>
            <w:shd w:val="clear" w:color="000000" w:fill="969696"/>
            <w:noWrap/>
            <w:vAlign w:val="center"/>
            <w:hideMark/>
          </w:tcPr>
          <w:p w14:paraId="6E25033D" w14:textId="77777777" w:rsidR="00EF09E3" w:rsidRPr="00474D79" w:rsidRDefault="00EF09E3" w:rsidP="00FD3EF9">
            <w:pPr>
              <w:spacing w:after="0" w:line="240" w:lineRule="auto"/>
              <w:jc w:val="center"/>
              <w:rPr>
                <w:rFonts w:ascii="Garamond" w:eastAsia="Times New Roman" w:hAnsi="Garamond" w:cs="Times New Roman"/>
                <w:b/>
                <w:bCs/>
                <w:color w:val="000000"/>
                <w:sz w:val="16"/>
                <w:lang w:eastAsia="en-GB"/>
              </w:rPr>
            </w:pPr>
            <w:r w:rsidRPr="00474D79">
              <w:rPr>
                <w:rFonts w:ascii="Garamond" w:eastAsia="Times New Roman" w:hAnsi="Garamond" w:cs="Times New Roman"/>
                <w:b/>
                <w:bCs/>
                <w:color w:val="000000"/>
                <w:sz w:val="16"/>
                <w:lang w:eastAsia="en-GB"/>
              </w:rPr>
              <w:t>Treguesi</w:t>
            </w:r>
          </w:p>
        </w:tc>
        <w:tc>
          <w:tcPr>
            <w:tcW w:w="3714" w:type="pct"/>
            <w:tcBorders>
              <w:top w:val="single" w:sz="8" w:space="0" w:color="auto"/>
              <w:left w:val="nil"/>
              <w:bottom w:val="nil"/>
              <w:right w:val="single" w:sz="8" w:space="0" w:color="auto"/>
            </w:tcBorders>
            <w:shd w:val="clear" w:color="000000" w:fill="969696"/>
            <w:noWrap/>
            <w:vAlign w:val="center"/>
            <w:hideMark/>
          </w:tcPr>
          <w:p w14:paraId="6E25033E" w14:textId="77777777" w:rsidR="00EF09E3" w:rsidRPr="00474D79" w:rsidRDefault="00EF09E3" w:rsidP="00FD3EF9">
            <w:pPr>
              <w:spacing w:after="0" w:line="240" w:lineRule="auto"/>
              <w:jc w:val="center"/>
              <w:rPr>
                <w:rFonts w:ascii="Garamond" w:eastAsia="Times New Roman" w:hAnsi="Garamond" w:cs="Times New Roman"/>
                <w:b/>
                <w:bCs/>
                <w:color w:val="000000"/>
                <w:sz w:val="16"/>
                <w:lang w:eastAsia="en-GB"/>
              </w:rPr>
            </w:pPr>
            <w:r w:rsidRPr="00474D79">
              <w:rPr>
                <w:rFonts w:ascii="Garamond" w:eastAsia="Times New Roman" w:hAnsi="Garamond" w:cs="Times New Roman"/>
                <w:b/>
                <w:bCs/>
                <w:color w:val="000000"/>
                <w:sz w:val="16"/>
                <w:lang w:eastAsia="en-GB"/>
              </w:rPr>
              <w:t>Përshkrimi</w:t>
            </w:r>
          </w:p>
        </w:tc>
      </w:tr>
      <w:tr w:rsidR="00EF09E3" w:rsidRPr="00474D79" w14:paraId="6E250343" w14:textId="77777777" w:rsidTr="00D20524">
        <w:trPr>
          <w:trHeight w:val="1061"/>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50340"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1</w:t>
            </w:r>
          </w:p>
        </w:tc>
        <w:tc>
          <w:tcPr>
            <w:tcW w:w="985" w:type="pct"/>
            <w:tcBorders>
              <w:top w:val="single" w:sz="4" w:space="0" w:color="auto"/>
              <w:left w:val="nil"/>
              <w:bottom w:val="single" w:sz="4" w:space="0" w:color="auto"/>
              <w:right w:val="single" w:sz="4" w:space="0" w:color="auto"/>
            </w:tcBorders>
            <w:shd w:val="clear" w:color="auto" w:fill="auto"/>
            <w:noWrap/>
            <w:vAlign w:val="center"/>
            <w:hideMark/>
          </w:tcPr>
          <w:p w14:paraId="6E250341"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Numri i çështjeve të reja ligjore</w:t>
            </w:r>
          </w:p>
        </w:tc>
        <w:tc>
          <w:tcPr>
            <w:tcW w:w="3714" w:type="pct"/>
            <w:tcBorders>
              <w:top w:val="single" w:sz="4" w:space="0" w:color="auto"/>
              <w:left w:val="nil"/>
              <w:bottom w:val="single" w:sz="4" w:space="0" w:color="auto"/>
              <w:right w:val="single" w:sz="4" w:space="0" w:color="auto"/>
            </w:tcBorders>
            <w:shd w:val="clear" w:color="auto" w:fill="auto"/>
            <w:vAlign w:val="center"/>
            <w:hideMark/>
          </w:tcPr>
          <w:p w14:paraId="6E250342" w14:textId="4227B225"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Numri i çështjeve të reja ligjore të hapura gjatë periudhës raportuese, në të cilat përfshihet subjekti dhe të cilat përmbajnë element</w:t>
            </w:r>
            <w:r w:rsidR="00EA61B0">
              <w:rPr>
                <w:rFonts w:ascii="Garamond" w:eastAsia="Times New Roman" w:hAnsi="Garamond" w:cs="Times New Roman"/>
                <w:sz w:val="16"/>
                <w:lang w:eastAsia="en-GB"/>
              </w:rPr>
              <w:t>e</w:t>
            </w:r>
            <w:r w:rsidRPr="00474D79">
              <w:rPr>
                <w:rFonts w:ascii="Garamond" w:eastAsia="Times New Roman" w:hAnsi="Garamond" w:cs="Times New Roman"/>
                <w:sz w:val="16"/>
                <w:lang w:eastAsia="en-GB"/>
              </w:rPr>
              <w:t xml:space="preserve"> të rrezikut operacional. Përjashtohen çështjet e tjera ligjore, të cilat nuk përmbajnë element</w:t>
            </w:r>
            <w:r w:rsidR="00EA61B0">
              <w:rPr>
                <w:rFonts w:ascii="Garamond" w:eastAsia="Times New Roman" w:hAnsi="Garamond" w:cs="Times New Roman"/>
                <w:sz w:val="16"/>
                <w:lang w:eastAsia="en-GB"/>
              </w:rPr>
              <w:t>e</w:t>
            </w:r>
            <w:r w:rsidRPr="00474D79">
              <w:rPr>
                <w:rFonts w:ascii="Garamond" w:eastAsia="Times New Roman" w:hAnsi="Garamond" w:cs="Times New Roman"/>
                <w:sz w:val="16"/>
                <w:lang w:eastAsia="en-GB"/>
              </w:rPr>
              <w:t xml:space="preserve"> të rrezikut operacional.</w:t>
            </w:r>
          </w:p>
        </w:tc>
      </w:tr>
      <w:tr w:rsidR="00EF09E3" w:rsidRPr="00474D79" w14:paraId="6E250347" w14:textId="77777777" w:rsidTr="00D20524">
        <w:trPr>
          <w:trHeight w:val="102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E250344"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2</w:t>
            </w:r>
          </w:p>
        </w:tc>
        <w:tc>
          <w:tcPr>
            <w:tcW w:w="985" w:type="pct"/>
            <w:tcBorders>
              <w:top w:val="nil"/>
              <w:left w:val="nil"/>
              <w:bottom w:val="single" w:sz="4" w:space="0" w:color="auto"/>
              <w:right w:val="single" w:sz="4" w:space="0" w:color="auto"/>
            </w:tcBorders>
            <w:shd w:val="clear" w:color="auto" w:fill="auto"/>
            <w:noWrap/>
            <w:vAlign w:val="center"/>
            <w:hideMark/>
          </w:tcPr>
          <w:p w14:paraId="6E250345"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Kostoja e çështjeve ligjore</w:t>
            </w:r>
          </w:p>
        </w:tc>
        <w:tc>
          <w:tcPr>
            <w:tcW w:w="3714" w:type="pct"/>
            <w:tcBorders>
              <w:top w:val="nil"/>
              <w:left w:val="nil"/>
              <w:bottom w:val="single" w:sz="4" w:space="0" w:color="auto"/>
              <w:right w:val="single" w:sz="4" w:space="0" w:color="auto"/>
            </w:tcBorders>
            <w:shd w:val="clear" w:color="auto" w:fill="auto"/>
            <w:vAlign w:val="center"/>
            <w:hideMark/>
          </w:tcPr>
          <w:p w14:paraId="6E250346" w14:textId="37F49EDE" w:rsidR="00EF09E3" w:rsidRPr="00474D79" w:rsidRDefault="00EF09E3" w:rsidP="00FD3EF9">
            <w:pPr>
              <w:spacing w:after="0" w:line="240" w:lineRule="auto"/>
              <w:jc w:val="both"/>
              <w:rPr>
                <w:rFonts w:ascii="Garamond" w:eastAsia="Times New Roman" w:hAnsi="Garamond" w:cs="Times New Roman"/>
                <w:sz w:val="16"/>
                <w:highlight w:val="yellow"/>
                <w:lang w:eastAsia="en-GB"/>
              </w:rPr>
            </w:pPr>
            <w:r w:rsidRPr="00474D79">
              <w:rPr>
                <w:rFonts w:ascii="Garamond" w:eastAsia="Times New Roman" w:hAnsi="Garamond" w:cs="Times New Roman"/>
                <w:sz w:val="16"/>
                <w:lang w:eastAsia="en-GB"/>
              </w:rPr>
              <w:t>Vlera e humbjes së pritshme e vlerësuar nga vetë subjekti në lidhje me çështjet ligjore të treguesit nr. 1. Përjashtohen kostot e çështjeve të tjera ligjore, të cilat nuk përmbajnë element</w:t>
            </w:r>
            <w:r w:rsidR="00EA61B0">
              <w:rPr>
                <w:rFonts w:ascii="Garamond" w:eastAsia="Times New Roman" w:hAnsi="Garamond" w:cs="Times New Roman"/>
                <w:sz w:val="16"/>
                <w:lang w:eastAsia="en-GB"/>
              </w:rPr>
              <w:t>e</w:t>
            </w:r>
            <w:r w:rsidRPr="00474D79">
              <w:rPr>
                <w:rFonts w:ascii="Garamond" w:eastAsia="Times New Roman" w:hAnsi="Garamond" w:cs="Times New Roman"/>
                <w:sz w:val="16"/>
                <w:lang w:eastAsia="en-GB"/>
              </w:rPr>
              <w:t xml:space="preserve"> të rrezikut operacional.</w:t>
            </w:r>
          </w:p>
        </w:tc>
      </w:tr>
      <w:tr w:rsidR="00EF09E3" w:rsidRPr="00474D79" w14:paraId="6E25034B" w14:textId="77777777" w:rsidTr="00D20524">
        <w:trPr>
          <w:trHeight w:val="127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E250348"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3</w:t>
            </w:r>
          </w:p>
        </w:tc>
        <w:tc>
          <w:tcPr>
            <w:tcW w:w="985" w:type="pct"/>
            <w:tcBorders>
              <w:top w:val="nil"/>
              <w:left w:val="nil"/>
              <w:bottom w:val="single" w:sz="4" w:space="0" w:color="auto"/>
              <w:right w:val="single" w:sz="4" w:space="0" w:color="auto"/>
            </w:tcBorders>
            <w:shd w:val="clear" w:color="auto" w:fill="auto"/>
            <w:noWrap/>
            <w:vAlign w:val="center"/>
            <w:hideMark/>
          </w:tcPr>
          <w:p w14:paraId="6E250349"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Ankesat e reja të klientëve</w:t>
            </w:r>
          </w:p>
        </w:tc>
        <w:tc>
          <w:tcPr>
            <w:tcW w:w="3714" w:type="pct"/>
            <w:tcBorders>
              <w:top w:val="nil"/>
              <w:left w:val="nil"/>
              <w:bottom w:val="single" w:sz="4" w:space="0" w:color="auto"/>
              <w:right w:val="single" w:sz="4" w:space="0" w:color="auto"/>
            </w:tcBorders>
            <w:shd w:val="clear" w:color="auto" w:fill="auto"/>
            <w:vAlign w:val="center"/>
            <w:hideMark/>
          </w:tcPr>
          <w:p w14:paraId="6E25034A"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 xml:space="preserve">Numri i ankesave të ngritura kundër subjektit nga klientët apo palë të treta gjatë tremujorit, të marra nëpërmjet të gjitha kanaleve të komunikimit të vëna në dispozicion nga subjekti (shkresë formale, </w:t>
            </w:r>
            <w:r w:rsidRPr="00474D79">
              <w:rPr>
                <w:rFonts w:ascii="Garamond" w:eastAsia="Times New Roman" w:hAnsi="Garamond" w:cs="Times New Roman"/>
                <w:i/>
                <w:sz w:val="16"/>
                <w:lang w:eastAsia="en-GB"/>
              </w:rPr>
              <w:t>email</w:t>
            </w:r>
            <w:r w:rsidRPr="00474D79">
              <w:rPr>
                <w:rFonts w:ascii="Garamond" w:eastAsia="Times New Roman" w:hAnsi="Garamond" w:cs="Times New Roman"/>
                <w:sz w:val="16"/>
                <w:lang w:eastAsia="en-GB"/>
              </w:rPr>
              <w:t>, rrjete sociale etj</w:t>
            </w:r>
            <w:r w:rsidR="00354B69" w:rsidRPr="00474D79">
              <w:rPr>
                <w:rFonts w:ascii="Garamond" w:eastAsia="Times New Roman" w:hAnsi="Garamond" w:cs="Times New Roman"/>
                <w:sz w:val="16"/>
                <w:lang w:eastAsia="en-GB"/>
              </w:rPr>
              <w:t>.</w:t>
            </w:r>
            <w:r w:rsidRPr="00474D79">
              <w:rPr>
                <w:rFonts w:ascii="Garamond" w:eastAsia="Times New Roman" w:hAnsi="Garamond" w:cs="Times New Roman"/>
                <w:sz w:val="16"/>
                <w:lang w:eastAsia="en-GB"/>
              </w:rPr>
              <w:t>). Përfshihen të gjitha ankesat e marra gjatë tremujorit, qofshin ato të mbyllura, të refuzuara apo të hapura në fund të periudhës raportuese</w:t>
            </w:r>
            <w:r w:rsidRPr="00474D79" w:rsidDel="004A0A55">
              <w:rPr>
                <w:rFonts w:ascii="Garamond" w:eastAsia="Times New Roman" w:hAnsi="Garamond" w:cs="Times New Roman"/>
                <w:sz w:val="16"/>
                <w:lang w:eastAsia="en-GB"/>
              </w:rPr>
              <w:t xml:space="preserve"> </w:t>
            </w:r>
            <w:r w:rsidRPr="00474D79">
              <w:rPr>
                <w:rFonts w:ascii="Garamond" w:eastAsia="Times New Roman" w:hAnsi="Garamond" w:cs="Times New Roman"/>
                <w:sz w:val="16"/>
                <w:lang w:eastAsia="en-GB"/>
              </w:rPr>
              <w:t xml:space="preserve">(tremujorit). </w:t>
            </w:r>
          </w:p>
        </w:tc>
      </w:tr>
      <w:tr w:rsidR="00EF09E3" w:rsidRPr="00474D79" w14:paraId="6E25034F" w14:textId="77777777" w:rsidTr="00D20524">
        <w:trPr>
          <w:trHeight w:val="76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E25034C"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4</w:t>
            </w:r>
          </w:p>
        </w:tc>
        <w:tc>
          <w:tcPr>
            <w:tcW w:w="985" w:type="pct"/>
            <w:tcBorders>
              <w:top w:val="nil"/>
              <w:left w:val="nil"/>
              <w:bottom w:val="single" w:sz="4" w:space="0" w:color="auto"/>
              <w:right w:val="single" w:sz="4" w:space="0" w:color="auto"/>
            </w:tcBorders>
            <w:shd w:val="clear" w:color="auto" w:fill="auto"/>
            <w:noWrap/>
            <w:vAlign w:val="center"/>
            <w:hideMark/>
          </w:tcPr>
          <w:p w14:paraId="6E25034D"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 xml:space="preserve">Ankesat e hapura të klientëve </w:t>
            </w:r>
          </w:p>
        </w:tc>
        <w:tc>
          <w:tcPr>
            <w:tcW w:w="3714" w:type="pct"/>
            <w:tcBorders>
              <w:top w:val="nil"/>
              <w:left w:val="nil"/>
              <w:bottom w:val="single" w:sz="4" w:space="0" w:color="auto"/>
              <w:right w:val="single" w:sz="4" w:space="0" w:color="auto"/>
            </w:tcBorders>
            <w:shd w:val="clear" w:color="auto" w:fill="auto"/>
            <w:vAlign w:val="center"/>
            <w:hideMark/>
          </w:tcPr>
          <w:p w14:paraId="6E25034E"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Numri i ankesave të ngritura kundër subjektit nga klientët, grupet e klientëve apo publiku, që rezultojnë ende të hapura në fund të periudhës raportuese</w:t>
            </w:r>
            <w:r w:rsidRPr="00474D79" w:rsidDel="004A0A55">
              <w:rPr>
                <w:rFonts w:ascii="Garamond" w:eastAsia="Times New Roman" w:hAnsi="Garamond" w:cs="Times New Roman"/>
                <w:sz w:val="16"/>
                <w:lang w:eastAsia="en-GB"/>
              </w:rPr>
              <w:t xml:space="preserve"> </w:t>
            </w:r>
            <w:r w:rsidRPr="00474D79">
              <w:rPr>
                <w:rFonts w:ascii="Garamond" w:eastAsia="Times New Roman" w:hAnsi="Garamond" w:cs="Times New Roman"/>
                <w:sz w:val="16"/>
                <w:lang w:eastAsia="en-GB"/>
              </w:rPr>
              <w:t xml:space="preserve">(tremujorit). </w:t>
            </w:r>
          </w:p>
        </w:tc>
      </w:tr>
      <w:tr w:rsidR="00EF09E3" w:rsidRPr="00474D79" w14:paraId="6E250353" w14:textId="77777777" w:rsidTr="00D20524">
        <w:trPr>
          <w:trHeight w:val="836"/>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E250350"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5</w:t>
            </w:r>
          </w:p>
        </w:tc>
        <w:tc>
          <w:tcPr>
            <w:tcW w:w="985" w:type="pct"/>
            <w:tcBorders>
              <w:top w:val="nil"/>
              <w:left w:val="nil"/>
              <w:bottom w:val="single" w:sz="4" w:space="0" w:color="auto"/>
              <w:right w:val="single" w:sz="4" w:space="0" w:color="auto"/>
            </w:tcBorders>
            <w:shd w:val="clear" w:color="auto" w:fill="auto"/>
            <w:noWrap/>
            <w:vAlign w:val="center"/>
            <w:hideMark/>
          </w:tcPr>
          <w:p w14:paraId="6E250351"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Numri i gjobave nga autoritetet</w:t>
            </w:r>
          </w:p>
        </w:tc>
        <w:tc>
          <w:tcPr>
            <w:tcW w:w="3714" w:type="pct"/>
            <w:tcBorders>
              <w:top w:val="nil"/>
              <w:left w:val="nil"/>
              <w:bottom w:val="single" w:sz="4" w:space="0" w:color="auto"/>
              <w:right w:val="single" w:sz="4" w:space="0" w:color="auto"/>
            </w:tcBorders>
            <w:shd w:val="clear" w:color="auto" w:fill="auto"/>
            <w:vAlign w:val="center"/>
            <w:hideMark/>
          </w:tcPr>
          <w:p w14:paraId="6E250352"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 xml:space="preserve">Numri i gjobave të vendosura subjektit nga autoritetet e ndryshme gjatë tremujorit, të cilat lidhen me veprimtarinë </w:t>
            </w:r>
            <w:r w:rsidRPr="00474D79">
              <w:rPr>
                <w:rFonts w:ascii="Garamond" w:hAnsi="Garamond" w:cs="Times New Roman"/>
                <w:sz w:val="16"/>
              </w:rPr>
              <w:t>bankare dhe/ose financiare</w:t>
            </w:r>
            <w:r w:rsidRPr="00474D79">
              <w:rPr>
                <w:rFonts w:ascii="Garamond" w:eastAsia="Times New Roman" w:hAnsi="Garamond" w:cs="Times New Roman"/>
                <w:sz w:val="16"/>
                <w:lang w:eastAsia="en-GB"/>
              </w:rPr>
              <w:t xml:space="preserve">. </w:t>
            </w:r>
          </w:p>
        </w:tc>
      </w:tr>
      <w:tr w:rsidR="00EF09E3" w:rsidRPr="00474D79" w14:paraId="6E250357" w14:textId="77777777" w:rsidTr="00D20524">
        <w:trPr>
          <w:trHeight w:val="809"/>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E250354"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6</w:t>
            </w:r>
          </w:p>
        </w:tc>
        <w:tc>
          <w:tcPr>
            <w:tcW w:w="985" w:type="pct"/>
            <w:tcBorders>
              <w:top w:val="nil"/>
              <w:left w:val="nil"/>
              <w:bottom w:val="single" w:sz="4" w:space="0" w:color="auto"/>
              <w:right w:val="single" w:sz="4" w:space="0" w:color="auto"/>
            </w:tcBorders>
            <w:shd w:val="clear" w:color="auto" w:fill="auto"/>
            <w:noWrap/>
            <w:vAlign w:val="center"/>
            <w:hideMark/>
          </w:tcPr>
          <w:p w14:paraId="6E250355"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Vlera e gjobave nga autoritetet</w:t>
            </w:r>
          </w:p>
        </w:tc>
        <w:tc>
          <w:tcPr>
            <w:tcW w:w="3714" w:type="pct"/>
            <w:tcBorders>
              <w:top w:val="nil"/>
              <w:left w:val="nil"/>
              <w:bottom w:val="single" w:sz="4" w:space="0" w:color="auto"/>
              <w:right w:val="single" w:sz="4" w:space="0" w:color="auto"/>
            </w:tcBorders>
            <w:shd w:val="clear" w:color="auto" w:fill="auto"/>
            <w:vAlign w:val="center"/>
            <w:hideMark/>
          </w:tcPr>
          <w:p w14:paraId="6E250356"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Vlera e gjobave të vendosura nga autoritetet e ndryshme gjatë tremujorit, të cilat lidhen me veprimtarinë bankare dhe/ose financiare.</w:t>
            </w:r>
          </w:p>
        </w:tc>
      </w:tr>
      <w:tr w:rsidR="00EF09E3" w:rsidRPr="00474D79" w14:paraId="6E250362" w14:textId="77777777" w:rsidTr="00D20524">
        <w:trPr>
          <w:trHeight w:val="765"/>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50358"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7</w:t>
            </w:r>
          </w:p>
        </w:tc>
        <w:tc>
          <w:tcPr>
            <w:tcW w:w="985" w:type="pct"/>
            <w:tcBorders>
              <w:top w:val="single" w:sz="4" w:space="0" w:color="auto"/>
              <w:left w:val="nil"/>
              <w:bottom w:val="single" w:sz="4" w:space="0" w:color="auto"/>
              <w:right w:val="single" w:sz="4" w:space="0" w:color="auto"/>
            </w:tcBorders>
            <w:shd w:val="clear" w:color="auto" w:fill="auto"/>
            <w:noWrap/>
            <w:vAlign w:val="center"/>
            <w:hideMark/>
          </w:tcPr>
          <w:p w14:paraId="6E250359"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Qarkullimi i punonjësve</w:t>
            </w:r>
          </w:p>
        </w:tc>
        <w:tc>
          <w:tcPr>
            <w:tcW w:w="3714" w:type="pct"/>
            <w:tcBorders>
              <w:top w:val="single" w:sz="4" w:space="0" w:color="auto"/>
              <w:left w:val="nil"/>
              <w:bottom w:val="single" w:sz="4" w:space="0" w:color="auto"/>
              <w:right w:val="single" w:sz="4" w:space="0" w:color="auto"/>
            </w:tcBorders>
            <w:shd w:val="clear" w:color="auto" w:fill="auto"/>
            <w:vAlign w:val="center"/>
            <w:hideMark/>
          </w:tcPr>
          <w:p w14:paraId="6E25035A"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 xml:space="preserve">Përqindja e qarkullimit të punonjësve të të gjitha kategorive gjatë periudhës raportuese. Përfshihen punonjësit me kohë të plotë dhe kohë të pjesshme. </w:t>
            </w:r>
          </w:p>
          <w:p w14:paraId="6E25035B" w14:textId="0B4D11BF"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Q=L/(P)*100,</w:t>
            </w:r>
            <w:r w:rsidR="002F4A24">
              <w:rPr>
                <w:rFonts w:ascii="Garamond" w:eastAsia="Times New Roman" w:hAnsi="Garamond" w:cs="Times New Roman"/>
                <w:sz w:val="16"/>
                <w:lang w:eastAsia="en-GB"/>
              </w:rPr>
              <w:t xml:space="preserve"> </w:t>
            </w:r>
            <w:r w:rsidRPr="00474D79">
              <w:rPr>
                <w:rFonts w:ascii="Garamond" w:eastAsia="Times New Roman" w:hAnsi="Garamond" w:cs="Times New Roman"/>
                <w:sz w:val="16"/>
                <w:lang w:eastAsia="en-GB"/>
              </w:rPr>
              <w:t>(P)=(P</w:t>
            </w:r>
            <w:r w:rsidRPr="00474D79">
              <w:rPr>
                <w:rFonts w:ascii="Garamond" w:eastAsia="Times New Roman" w:hAnsi="Garamond" w:cs="Times New Roman"/>
                <w:sz w:val="16"/>
                <w:vertAlign w:val="subscript"/>
                <w:lang w:eastAsia="en-GB"/>
              </w:rPr>
              <w:t>0</w:t>
            </w:r>
            <w:r w:rsidRPr="00474D79">
              <w:rPr>
                <w:rFonts w:ascii="Garamond" w:eastAsia="Times New Roman" w:hAnsi="Garamond" w:cs="Times New Roman"/>
                <w:sz w:val="16"/>
                <w:lang w:eastAsia="en-GB"/>
              </w:rPr>
              <w:t>+P</w:t>
            </w:r>
            <w:r w:rsidRPr="00474D79">
              <w:rPr>
                <w:rFonts w:ascii="Garamond" w:eastAsia="Times New Roman" w:hAnsi="Garamond" w:cs="Times New Roman"/>
                <w:sz w:val="16"/>
                <w:vertAlign w:val="subscript"/>
                <w:lang w:eastAsia="en-GB"/>
              </w:rPr>
              <w:t>1</w:t>
            </w:r>
            <w:r w:rsidRPr="00474D79">
              <w:rPr>
                <w:rFonts w:ascii="Garamond" w:eastAsia="Times New Roman" w:hAnsi="Garamond" w:cs="Times New Roman"/>
                <w:sz w:val="16"/>
                <w:lang w:eastAsia="en-GB"/>
              </w:rPr>
              <w:t>)/2</w:t>
            </w:r>
            <w:r w:rsidR="002F4A24">
              <w:rPr>
                <w:rFonts w:ascii="Garamond" w:eastAsia="Times New Roman" w:hAnsi="Garamond" w:cs="Times New Roman"/>
                <w:sz w:val="16"/>
                <w:lang w:eastAsia="en-GB"/>
              </w:rPr>
              <w:t xml:space="preserve"> </w:t>
            </w:r>
          </w:p>
          <w:p w14:paraId="6E25035C"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ku:</w:t>
            </w:r>
          </w:p>
          <w:p w14:paraId="6E25035D"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Q – qarkullimi i punonjësve;</w:t>
            </w:r>
          </w:p>
          <w:p w14:paraId="6E25035E"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L – numri i punonjësve të larguar gjatë periudhës së raportimit;</w:t>
            </w:r>
          </w:p>
          <w:p w14:paraId="6E25035F"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(P) – numri mesatar i punonjësve gjatë periudhës së raportimit;</w:t>
            </w:r>
          </w:p>
          <w:p w14:paraId="6E250360"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P</w:t>
            </w:r>
            <w:r w:rsidRPr="00474D79">
              <w:rPr>
                <w:rFonts w:ascii="Garamond" w:eastAsia="Times New Roman" w:hAnsi="Garamond" w:cs="Times New Roman"/>
                <w:sz w:val="16"/>
                <w:vertAlign w:val="subscript"/>
                <w:lang w:eastAsia="en-GB"/>
              </w:rPr>
              <w:t>0</w:t>
            </w:r>
            <w:r w:rsidRPr="00474D79">
              <w:rPr>
                <w:rFonts w:ascii="Garamond" w:eastAsia="Times New Roman" w:hAnsi="Garamond" w:cs="Times New Roman"/>
                <w:sz w:val="16"/>
                <w:lang w:eastAsia="en-GB"/>
              </w:rPr>
              <w:t xml:space="preserve"> – numri i punonjësve në fillim të periudhës së raportimit;</w:t>
            </w:r>
          </w:p>
          <w:p w14:paraId="6E250361"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P</w:t>
            </w:r>
            <w:r w:rsidRPr="00474D79">
              <w:rPr>
                <w:rFonts w:ascii="Garamond" w:eastAsia="Times New Roman" w:hAnsi="Garamond" w:cs="Times New Roman"/>
                <w:sz w:val="16"/>
                <w:vertAlign w:val="subscript"/>
                <w:lang w:eastAsia="en-GB"/>
              </w:rPr>
              <w:t>1</w:t>
            </w:r>
            <w:r w:rsidRPr="00474D79">
              <w:rPr>
                <w:rFonts w:ascii="Garamond" w:eastAsia="Times New Roman" w:hAnsi="Garamond" w:cs="Times New Roman"/>
                <w:sz w:val="16"/>
                <w:lang w:eastAsia="en-GB"/>
              </w:rPr>
              <w:t xml:space="preserve"> – numri i punonjësve në fund të periudhës së raportimit.</w:t>
            </w:r>
          </w:p>
        </w:tc>
      </w:tr>
      <w:tr w:rsidR="00EF09E3" w:rsidRPr="00474D79" w14:paraId="6E250366" w14:textId="77777777" w:rsidTr="00D20524">
        <w:trPr>
          <w:trHeight w:val="510"/>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50363"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8</w:t>
            </w:r>
          </w:p>
        </w:tc>
        <w:tc>
          <w:tcPr>
            <w:tcW w:w="985" w:type="pct"/>
            <w:tcBorders>
              <w:top w:val="single" w:sz="4" w:space="0" w:color="auto"/>
              <w:left w:val="nil"/>
              <w:bottom w:val="single" w:sz="4" w:space="0" w:color="auto"/>
              <w:right w:val="single" w:sz="4" w:space="0" w:color="auto"/>
            </w:tcBorders>
            <w:shd w:val="clear" w:color="auto" w:fill="auto"/>
            <w:vAlign w:val="center"/>
            <w:hideMark/>
          </w:tcPr>
          <w:p w14:paraId="6E250364"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Avari/Ndërprerje të programit bazë (</w:t>
            </w:r>
            <w:r w:rsidRPr="00474D79">
              <w:rPr>
                <w:rFonts w:ascii="Garamond" w:eastAsia="Times New Roman" w:hAnsi="Garamond" w:cs="Times New Roman"/>
                <w:i/>
                <w:sz w:val="16"/>
                <w:lang w:eastAsia="en-GB"/>
              </w:rPr>
              <w:t>core system</w:t>
            </w:r>
            <w:r w:rsidRPr="00474D79">
              <w:rPr>
                <w:rFonts w:ascii="Garamond" w:eastAsia="Times New Roman" w:hAnsi="Garamond" w:cs="Times New Roman"/>
                <w:sz w:val="16"/>
                <w:lang w:eastAsia="en-GB"/>
              </w:rPr>
              <w:t xml:space="preserve">) </w:t>
            </w:r>
          </w:p>
        </w:tc>
        <w:tc>
          <w:tcPr>
            <w:tcW w:w="3714" w:type="pct"/>
            <w:tcBorders>
              <w:top w:val="single" w:sz="4" w:space="0" w:color="auto"/>
              <w:left w:val="nil"/>
              <w:bottom w:val="single" w:sz="4" w:space="0" w:color="auto"/>
              <w:right w:val="single" w:sz="4" w:space="0" w:color="auto"/>
            </w:tcBorders>
            <w:shd w:val="clear" w:color="auto" w:fill="auto"/>
            <w:vAlign w:val="center"/>
            <w:hideMark/>
          </w:tcPr>
          <w:p w14:paraId="6E250365"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 xml:space="preserve">Kohëzgjatja e ndërprerjeve të paplanifikuara të programit bazë të subjektit gjatë tremujorit, e shprehur sipas formatit </w:t>
            </w:r>
            <w:r w:rsidRPr="00474D79">
              <w:rPr>
                <w:rFonts w:ascii="Garamond" w:eastAsia="Times New Roman" w:hAnsi="Garamond" w:cs="Times New Roman"/>
                <w:i/>
                <w:sz w:val="16"/>
                <w:lang w:eastAsia="en-GB"/>
              </w:rPr>
              <w:t>(orë:minuta:sekonda)</w:t>
            </w:r>
            <w:r w:rsidRPr="00474D79">
              <w:rPr>
                <w:rFonts w:ascii="Garamond" w:eastAsia="Times New Roman" w:hAnsi="Garamond" w:cs="Times New Roman"/>
                <w:sz w:val="16"/>
                <w:lang w:eastAsia="en-GB"/>
              </w:rPr>
              <w:t xml:space="preserve">. </w:t>
            </w:r>
          </w:p>
        </w:tc>
      </w:tr>
      <w:tr w:rsidR="00EF09E3" w:rsidRPr="00474D79" w14:paraId="6E2503BB" w14:textId="77777777" w:rsidTr="00D20524">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E250367"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9</w:t>
            </w:r>
          </w:p>
        </w:tc>
        <w:tc>
          <w:tcPr>
            <w:tcW w:w="4699" w:type="pct"/>
            <w:gridSpan w:val="2"/>
            <w:tcBorders>
              <w:top w:val="nil"/>
              <w:left w:val="nil"/>
              <w:bottom w:val="single" w:sz="4" w:space="0" w:color="auto"/>
              <w:right w:val="single" w:sz="4" w:space="0" w:color="auto"/>
            </w:tcBorders>
            <w:shd w:val="clear" w:color="auto" w:fill="auto"/>
            <w:vAlign w:val="center"/>
          </w:tcPr>
          <w:p w14:paraId="6E250368" w14:textId="77777777" w:rsidR="00EF09E3" w:rsidRPr="00474D79" w:rsidRDefault="00EF09E3" w:rsidP="00FD3EF9">
            <w:pPr>
              <w:spacing w:after="0" w:line="240" w:lineRule="auto"/>
              <w:jc w:val="center"/>
              <w:rPr>
                <w:rFonts w:ascii="Garamond" w:eastAsia="Times New Roman" w:hAnsi="Garamond" w:cs="Times New Roman"/>
                <w:b/>
                <w:sz w:val="16"/>
                <w:lang w:eastAsia="en-GB"/>
              </w:rPr>
            </w:pPr>
            <w:r w:rsidRPr="00474D79">
              <w:rPr>
                <w:rFonts w:ascii="Garamond" w:eastAsia="Times New Roman" w:hAnsi="Garamond" w:cs="Times New Roman"/>
                <w:b/>
                <w:sz w:val="16"/>
                <w:lang w:eastAsia="en-GB"/>
              </w:rPr>
              <w:t xml:space="preserve">Numri i tentativave për </w:t>
            </w:r>
            <w:r w:rsidRPr="00474D79">
              <w:rPr>
                <w:rFonts w:ascii="Garamond" w:eastAsia="Times New Roman" w:hAnsi="Garamond" w:cs="Times New Roman"/>
                <w:b/>
                <w:i/>
                <w:sz w:val="16"/>
                <w:lang w:eastAsia="en-GB"/>
              </w:rPr>
              <w:t>hacking</w:t>
            </w:r>
            <w:r w:rsidRPr="00474D79">
              <w:rPr>
                <w:rFonts w:ascii="Garamond" w:eastAsia="Times New Roman" w:hAnsi="Garamond" w:cs="Times New Roman"/>
                <w:b/>
                <w:sz w:val="16"/>
                <w:lang w:eastAsia="en-GB"/>
              </w:rPr>
              <w:t>/ incidenteve kibernetike</w:t>
            </w:r>
          </w:p>
          <w:tbl>
            <w:tblPr>
              <w:tblW w:w="8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6026"/>
            </w:tblGrid>
            <w:tr w:rsidR="00EF09E3" w:rsidRPr="00474D79" w14:paraId="6E25036B" w14:textId="77777777" w:rsidTr="00D20524">
              <w:trPr>
                <w:trHeight w:val="470"/>
              </w:trPr>
              <w:tc>
                <w:tcPr>
                  <w:tcW w:w="2970" w:type="dxa"/>
                  <w:shd w:val="clear" w:color="000000" w:fill="F2F2F2"/>
                  <w:vAlign w:val="center"/>
                  <w:hideMark/>
                </w:tcPr>
                <w:p w14:paraId="6E250369" w14:textId="77777777" w:rsidR="00EF09E3" w:rsidRPr="00474D79" w:rsidRDefault="00EF09E3" w:rsidP="00FD3EF9">
                  <w:pPr>
                    <w:spacing w:after="0" w:line="240" w:lineRule="auto"/>
                    <w:jc w:val="both"/>
                    <w:rPr>
                      <w:rFonts w:ascii="Garamond" w:eastAsia="Times New Roman" w:hAnsi="Garamond" w:cs="Times New Roman"/>
                      <w:b/>
                      <w:bCs/>
                      <w:color w:val="000000"/>
                      <w:sz w:val="16"/>
                      <w:szCs w:val="20"/>
                      <w:lang w:eastAsia="sq-AL"/>
                    </w:rPr>
                  </w:pPr>
                  <w:r w:rsidRPr="00474D79">
                    <w:rPr>
                      <w:rFonts w:ascii="Garamond" w:eastAsia="Times New Roman" w:hAnsi="Garamond" w:cs="Times New Roman"/>
                      <w:b/>
                      <w:bCs/>
                      <w:color w:val="000000"/>
                      <w:sz w:val="16"/>
                      <w:szCs w:val="20"/>
                      <w:lang w:eastAsia="sq-AL"/>
                    </w:rPr>
                    <w:t>Niveli 2 i detajimit</w:t>
                  </w:r>
                </w:p>
              </w:tc>
              <w:tc>
                <w:tcPr>
                  <w:tcW w:w="6026" w:type="dxa"/>
                  <w:shd w:val="clear" w:color="000000" w:fill="F2F2F2"/>
                  <w:vAlign w:val="center"/>
                  <w:hideMark/>
                </w:tcPr>
                <w:p w14:paraId="6E25036A" w14:textId="77777777" w:rsidR="00EF09E3" w:rsidRPr="00474D79" w:rsidRDefault="00EF09E3" w:rsidP="00FD3EF9">
                  <w:pPr>
                    <w:spacing w:after="0" w:line="240" w:lineRule="auto"/>
                    <w:jc w:val="both"/>
                    <w:rPr>
                      <w:rFonts w:ascii="Garamond" w:eastAsia="Times New Roman" w:hAnsi="Garamond" w:cs="Times New Roman"/>
                      <w:b/>
                      <w:bCs/>
                      <w:color w:val="000000"/>
                      <w:sz w:val="16"/>
                      <w:szCs w:val="20"/>
                      <w:lang w:eastAsia="sq-AL"/>
                    </w:rPr>
                  </w:pPr>
                  <w:r w:rsidRPr="00474D79">
                    <w:rPr>
                      <w:rFonts w:ascii="Garamond" w:eastAsia="Times New Roman" w:hAnsi="Garamond" w:cs="Times New Roman"/>
                      <w:b/>
                      <w:bCs/>
                      <w:color w:val="000000"/>
                      <w:sz w:val="16"/>
                      <w:szCs w:val="20"/>
                      <w:lang w:eastAsia="sq-AL"/>
                    </w:rPr>
                    <w:t>Përshkrimi</w:t>
                  </w:r>
                </w:p>
              </w:tc>
            </w:tr>
            <w:tr w:rsidR="00EF09E3" w:rsidRPr="00474D79" w14:paraId="6E25036E" w14:textId="77777777" w:rsidTr="00D20524">
              <w:trPr>
                <w:trHeight w:val="322"/>
              </w:trPr>
              <w:tc>
                <w:tcPr>
                  <w:tcW w:w="2970" w:type="dxa"/>
                  <w:shd w:val="clear" w:color="auto" w:fill="auto"/>
                  <w:vAlign w:val="center"/>
                  <w:hideMark/>
                </w:tcPr>
                <w:p w14:paraId="6E25036C"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lastRenderedPageBreak/>
                    <w:t>Ransomware</w:t>
                  </w:r>
                </w:p>
              </w:tc>
              <w:tc>
                <w:tcPr>
                  <w:tcW w:w="6026" w:type="dxa"/>
                  <w:shd w:val="clear" w:color="auto" w:fill="auto"/>
                  <w:vAlign w:val="center"/>
                  <w:hideMark/>
                </w:tcPr>
                <w:p w14:paraId="6E25036D"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 xml:space="preserve">Lloj </w:t>
                  </w:r>
                  <w:r w:rsidRPr="00474D79">
                    <w:rPr>
                      <w:rFonts w:ascii="Garamond" w:hAnsi="Garamond" w:cs="Times New Roman"/>
                      <w:i/>
                      <w:color w:val="000000"/>
                      <w:sz w:val="16"/>
                      <w:szCs w:val="20"/>
                    </w:rPr>
                    <w:t>malware</w:t>
                  </w:r>
                  <w:r w:rsidRPr="00474D79">
                    <w:rPr>
                      <w:rFonts w:ascii="Garamond" w:hAnsi="Garamond" w:cs="Times New Roman"/>
                      <w:color w:val="000000"/>
                      <w:sz w:val="16"/>
                      <w:szCs w:val="20"/>
                    </w:rPr>
                    <w:t xml:space="preserve"> që kufizon aksesin në pajisjen e infektuar dhe kërkon shpërblim për të hequr kufizimin</w:t>
                  </w:r>
                  <w:r w:rsidR="00790857" w:rsidRPr="00474D79">
                    <w:rPr>
                      <w:rFonts w:ascii="Garamond" w:hAnsi="Garamond" w:cs="Times New Roman"/>
                      <w:color w:val="000000"/>
                      <w:sz w:val="16"/>
                      <w:szCs w:val="20"/>
                    </w:rPr>
                    <w:t>.</w:t>
                  </w:r>
                </w:p>
              </w:tc>
            </w:tr>
            <w:tr w:rsidR="00EF09E3" w:rsidRPr="00474D79" w14:paraId="6E250371" w14:textId="77777777" w:rsidTr="00D20524">
              <w:trPr>
                <w:trHeight w:val="250"/>
              </w:trPr>
              <w:tc>
                <w:tcPr>
                  <w:tcW w:w="2970" w:type="dxa"/>
                  <w:shd w:val="clear" w:color="auto" w:fill="auto"/>
                  <w:vAlign w:val="center"/>
                  <w:hideMark/>
                </w:tcPr>
                <w:p w14:paraId="6E25036F"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Trojan horse</w:t>
                  </w:r>
                  <w:r w:rsidRPr="00474D79">
                    <w:rPr>
                      <w:rFonts w:ascii="Garamond" w:eastAsia="Times New Roman" w:hAnsi="Garamond" w:cs="Times New Roman"/>
                      <w:i/>
                      <w:color w:val="1F497D"/>
                      <w:sz w:val="16"/>
                      <w:szCs w:val="20"/>
                      <w:lang w:eastAsia="sq-AL"/>
                    </w:rPr>
                    <w:t xml:space="preserve"> </w:t>
                  </w:r>
                </w:p>
              </w:tc>
              <w:tc>
                <w:tcPr>
                  <w:tcW w:w="6026" w:type="dxa"/>
                  <w:shd w:val="clear" w:color="auto" w:fill="auto"/>
                  <w:vAlign w:val="center"/>
                  <w:hideMark/>
                </w:tcPr>
                <w:p w14:paraId="6E250370"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 xml:space="preserve">Lloj </w:t>
                  </w:r>
                  <w:r w:rsidRPr="00474D79">
                    <w:rPr>
                      <w:rFonts w:ascii="Garamond" w:hAnsi="Garamond" w:cs="Times New Roman"/>
                      <w:i/>
                      <w:color w:val="000000"/>
                      <w:sz w:val="16"/>
                      <w:szCs w:val="20"/>
                    </w:rPr>
                    <w:t>malware</w:t>
                  </w:r>
                  <w:r w:rsidRPr="00474D79">
                    <w:rPr>
                      <w:rFonts w:ascii="Garamond" w:hAnsi="Garamond" w:cs="Times New Roman"/>
                      <w:color w:val="000000"/>
                      <w:sz w:val="16"/>
                      <w:szCs w:val="20"/>
                    </w:rPr>
                    <w:t xml:space="preserve"> që funksionimin e tij e fsheh brenda një programi tjetër</w:t>
                  </w:r>
                  <w:r w:rsidR="00741D9C" w:rsidRPr="00474D79">
                    <w:rPr>
                      <w:rFonts w:ascii="Garamond" w:hAnsi="Garamond" w:cs="Times New Roman"/>
                      <w:color w:val="000000"/>
                      <w:sz w:val="16"/>
                      <w:szCs w:val="20"/>
                    </w:rPr>
                    <w:t>,</w:t>
                  </w:r>
                  <w:r w:rsidRPr="00474D79">
                    <w:rPr>
                      <w:rFonts w:ascii="Garamond" w:hAnsi="Garamond" w:cs="Times New Roman"/>
                      <w:color w:val="000000"/>
                      <w:sz w:val="16"/>
                      <w:szCs w:val="20"/>
                    </w:rPr>
                    <w:t xml:space="preserve"> n</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dukje i dobishëm dhe i padëmshëm</w:t>
                  </w:r>
                  <w:r w:rsidR="00790857" w:rsidRPr="00474D79">
                    <w:rPr>
                      <w:rFonts w:ascii="Garamond" w:hAnsi="Garamond" w:cs="Times New Roman"/>
                      <w:color w:val="000000"/>
                      <w:sz w:val="16"/>
                      <w:szCs w:val="20"/>
                    </w:rPr>
                    <w:t>.</w:t>
                  </w:r>
                </w:p>
              </w:tc>
            </w:tr>
            <w:tr w:rsidR="00EF09E3" w:rsidRPr="00474D79" w14:paraId="6E250374" w14:textId="77777777" w:rsidTr="00D20524">
              <w:trPr>
                <w:trHeight w:val="250"/>
              </w:trPr>
              <w:tc>
                <w:tcPr>
                  <w:tcW w:w="2970" w:type="dxa"/>
                  <w:shd w:val="clear" w:color="auto" w:fill="auto"/>
                  <w:vAlign w:val="center"/>
                  <w:hideMark/>
                </w:tcPr>
                <w:p w14:paraId="6E250372"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Virus</w:t>
                  </w:r>
                </w:p>
              </w:tc>
              <w:tc>
                <w:tcPr>
                  <w:tcW w:w="6026" w:type="dxa"/>
                  <w:shd w:val="clear" w:color="auto" w:fill="auto"/>
                  <w:vAlign w:val="center"/>
                  <w:hideMark/>
                </w:tcPr>
                <w:p w14:paraId="6E250373"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 xml:space="preserve">Lloj </w:t>
                  </w:r>
                  <w:r w:rsidRPr="00474D79">
                    <w:rPr>
                      <w:rFonts w:ascii="Garamond" w:hAnsi="Garamond" w:cs="Times New Roman"/>
                      <w:i/>
                      <w:color w:val="000000"/>
                      <w:sz w:val="16"/>
                      <w:szCs w:val="20"/>
                    </w:rPr>
                    <w:t>malware</w:t>
                  </w:r>
                  <w:r w:rsidRPr="00474D79">
                    <w:rPr>
                      <w:rFonts w:ascii="Garamond" w:hAnsi="Garamond" w:cs="Times New Roman"/>
                      <w:color w:val="000000"/>
                      <w:sz w:val="16"/>
                      <w:szCs w:val="20"/>
                    </w:rPr>
                    <w:t xml:space="preserve"> që është në gjendje të kopjojë veten e vet dhe të përhapet në kompjuterë të tjerë. Viruset mund të përdoren për të vjedhur informacione, për të dëmtuar kompjuterët, për të vjedhur para, për të dhënë m</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shum</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reklama etj.</w:t>
                  </w:r>
                </w:p>
              </w:tc>
            </w:tr>
            <w:tr w:rsidR="00EF09E3" w:rsidRPr="00474D79" w14:paraId="6E250377" w14:textId="77777777" w:rsidTr="00D20524">
              <w:trPr>
                <w:trHeight w:val="300"/>
              </w:trPr>
              <w:tc>
                <w:tcPr>
                  <w:tcW w:w="2970" w:type="dxa"/>
                  <w:shd w:val="clear" w:color="auto" w:fill="auto"/>
                  <w:vAlign w:val="center"/>
                  <w:hideMark/>
                </w:tcPr>
                <w:p w14:paraId="6E250375"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Worm</w:t>
                  </w:r>
                </w:p>
              </w:tc>
              <w:tc>
                <w:tcPr>
                  <w:tcW w:w="6026" w:type="dxa"/>
                  <w:shd w:val="clear" w:color="auto" w:fill="auto"/>
                  <w:vAlign w:val="center"/>
                  <w:hideMark/>
                </w:tcPr>
                <w:p w14:paraId="6E250376" w14:textId="14FB5CF3"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Një program që përsëritet dhe shkatërron të dhënat dhe skedarët në kompjuter. N</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ndryshim nga virusi, ai nuk ka nevojë të lidhet me programe të tjera të ekzekutueshme për </w:t>
                  </w:r>
                  <w:r w:rsidR="002F4A24">
                    <w:rPr>
                      <w:rFonts w:ascii="Garamond" w:hAnsi="Garamond" w:cs="Times New Roman"/>
                      <w:color w:val="000000"/>
                      <w:sz w:val="16"/>
                      <w:szCs w:val="20"/>
                    </w:rPr>
                    <w:t xml:space="preserve">t’u </w:t>
                  </w:r>
                  <w:r w:rsidRPr="00474D79">
                    <w:rPr>
                      <w:rFonts w:ascii="Garamond" w:hAnsi="Garamond" w:cs="Times New Roman"/>
                      <w:color w:val="000000"/>
                      <w:sz w:val="16"/>
                      <w:szCs w:val="20"/>
                    </w:rPr>
                    <w:t>përhapur</w:t>
                  </w:r>
                  <w:r w:rsidR="00790857" w:rsidRPr="00474D79">
                    <w:rPr>
                      <w:rFonts w:ascii="Garamond" w:hAnsi="Garamond" w:cs="Times New Roman"/>
                      <w:color w:val="000000"/>
                      <w:sz w:val="16"/>
                      <w:szCs w:val="20"/>
                    </w:rPr>
                    <w:t>.</w:t>
                  </w:r>
                </w:p>
              </w:tc>
            </w:tr>
            <w:tr w:rsidR="00EF09E3" w:rsidRPr="00474D79" w14:paraId="6E25037A" w14:textId="77777777" w:rsidTr="00D20524">
              <w:trPr>
                <w:trHeight w:val="358"/>
              </w:trPr>
              <w:tc>
                <w:tcPr>
                  <w:tcW w:w="2970" w:type="dxa"/>
                  <w:shd w:val="clear" w:color="auto" w:fill="auto"/>
                  <w:vAlign w:val="center"/>
                  <w:hideMark/>
                </w:tcPr>
                <w:p w14:paraId="6E250378"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Spyware/Adware</w:t>
                  </w:r>
                </w:p>
              </w:tc>
              <w:tc>
                <w:tcPr>
                  <w:tcW w:w="6026" w:type="dxa"/>
                  <w:shd w:val="clear" w:color="auto" w:fill="auto"/>
                  <w:vAlign w:val="center"/>
                  <w:hideMark/>
                </w:tcPr>
                <w:p w14:paraId="6E250379"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 xml:space="preserve">Është një lloj </w:t>
                  </w:r>
                  <w:r w:rsidRPr="00474D79">
                    <w:rPr>
                      <w:rFonts w:ascii="Garamond" w:hAnsi="Garamond" w:cs="Times New Roman"/>
                      <w:i/>
                      <w:color w:val="000000"/>
                      <w:sz w:val="16"/>
                      <w:szCs w:val="20"/>
                    </w:rPr>
                    <w:t>malware</w:t>
                  </w:r>
                  <w:r w:rsidRPr="00474D79">
                    <w:rPr>
                      <w:rFonts w:ascii="Garamond" w:hAnsi="Garamond" w:cs="Times New Roman"/>
                      <w:color w:val="000000"/>
                      <w:sz w:val="16"/>
                      <w:szCs w:val="20"/>
                    </w:rPr>
                    <w:t xml:space="preserve"> që gjeneron reklama automatikisht. </w:t>
                  </w:r>
                  <w:r w:rsidRPr="00474D79">
                    <w:rPr>
                      <w:rFonts w:ascii="Garamond" w:hAnsi="Garamond" w:cs="Times New Roman"/>
                      <w:i/>
                      <w:color w:val="000000"/>
                      <w:sz w:val="16"/>
                      <w:szCs w:val="20"/>
                    </w:rPr>
                    <w:t>Adware</w:t>
                  </w:r>
                  <w:r w:rsidRPr="00474D79">
                    <w:rPr>
                      <w:rFonts w:ascii="Garamond" w:hAnsi="Garamond" w:cs="Times New Roman"/>
                      <w:color w:val="000000"/>
                      <w:sz w:val="16"/>
                      <w:szCs w:val="20"/>
                    </w:rPr>
                    <w:t xml:space="preserve"> mund të lidhet me </w:t>
                  </w:r>
                  <w:r w:rsidRPr="00474D79">
                    <w:rPr>
                      <w:rFonts w:ascii="Garamond" w:hAnsi="Garamond" w:cs="Times New Roman"/>
                      <w:i/>
                      <w:color w:val="000000"/>
                      <w:sz w:val="16"/>
                      <w:szCs w:val="20"/>
                    </w:rPr>
                    <w:t>spyware</w:t>
                  </w:r>
                  <w:r w:rsidRPr="00474D79">
                    <w:rPr>
                      <w:rFonts w:ascii="Garamond" w:hAnsi="Garamond" w:cs="Times New Roman"/>
                      <w:color w:val="000000"/>
                      <w:sz w:val="16"/>
                      <w:szCs w:val="20"/>
                    </w:rPr>
                    <w:t xml:space="preserve"> dhe të gjurmojnë aktivitetin e përdoruesit dhe të vjedhin informacion</w:t>
                  </w:r>
                  <w:r w:rsidR="00790857" w:rsidRPr="00474D79">
                    <w:rPr>
                      <w:rFonts w:ascii="Garamond" w:hAnsi="Garamond" w:cs="Times New Roman"/>
                      <w:color w:val="000000"/>
                      <w:sz w:val="16"/>
                      <w:szCs w:val="20"/>
                    </w:rPr>
                    <w:t>.</w:t>
                  </w:r>
                </w:p>
              </w:tc>
            </w:tr>
            <w:tr w:rsidR="00EF09E3" w:rsidRPr="00474D79" w14:paraId="6E25037D" w14:textId="77777777" w:rsidTr="00D20524">
              <w:trPr>
                <w:trHeight w:val="340"/>
              </w:trPr>
              <w:tc>
                <w:tcPr>
                  <w:tcW w:w="2970" w:type="dxa"/>
                  <w:shd w:val="clear" w:color="auto" w:fill="auto"/>
                  <w:vAlign w:val="center"/>
                  <w:hideMark/>
                </w:tcPr>
                <w:p w14:paraId="6E25037B"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Mobile malware</w:t>
                  </w:r>
                </w:p>
              </w:tc>
              <w:tc>
                <w:tcPr>
                  <w:tcW w:w="6026" w:type="dxa"/>
                  <w:shd w:val="clear" w:color="auto" w:fill="auto"/>
                  <w:vAlign w:val="center"/>
                  <w:hideMark/>
                </w:tcPr>
                <w:p w14:paraId="6E25037C"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i/>
                      <w:color w:val="000000"/>
                      <w:sz w:val="16"/>
                      <w:szCs w:val="20"/>
                    </w:rPr>
                    <w:t>Soft</w:t>
                  </w:r>
                  <w:r w:rsidR="00741D9C" w:rsidRPr="00474D79">
                    <w:rPr>
                      <w:rFonts w:ascii="Garamond" w:hAnsi="Garamond" w:cs="Times New Roman"/>
                      <w:i/>
                      <w:color w:val="000000"/>
                      <w:sz w:val="16"/>
                      <w:szCs w:val="20"/>
                    </w:rPr>
                    <w:t>ware</w:t>
                  </w:r>
                  <w:r w:rsidRPr="00474D79">
                    <w:rPr>
                      <w:rFonts w:ascii="Garamond" w:hAnsi="Garamond" w:cs="Times New Roman"/>
                      <w:color w:val="000000"/>
                      <w:sz w:val="16"/>
                      <w:szCs w:val="20"/>
                    </w:rPr>
                    <w:t xml:space="preserve"> keqdashës që sulmon pajisjet celulare ose mundëson teknologjinë me valë (</w:t>
                  </w:r>
                  <w:r w:rsidRPr="00474D79">
                    <w:rPr>
                      <w:rFonts w:ascii="Garamond" w:hAnsi="Garamond" w:cs="Times New Roman"/>
                      <w:i/>
                      <w:color w:val="000000"/>
                      <w:sz w:val="16"/>
                      <w:szCs w:val="20"/>
                    </w:rPr>
                    <w:t>wireless</w:t>
                  </w:r>
                  <w:r w:rsidRPr="00474D79">
                    <w:rPr>
                      <w:rFonts w:ascii="Garamond" w:hAnsi="Garamond" w:cs="Times New Roman"/>
                      <w:color w:val="000000"/>
                      <w:sz w:val="16"/>
                      <w:szCs w:val="20"/>
                    </w:rPr>
                    <w:t>), duke shkaktuar bllokim të pajisjes, humbje të të dhënave ose vjedhje të informacionit</w:t>
                  </w:r>
                  <w:r w:rsidR="00790857" w:rsidRPr="00474D79">
                    <w:rPr>
                      <w:rFonts w:ascii="Garamond" w:hAnsi="Garamond" w:cs="Times New Roman"/>
                      <w:color w:val="000000"/>
                      <w:sz w:val="16"/>
                      <w:szCs w:val="20"/>
                    </w:rPr>
                    <w:t>.</w:t>
                  </w:r>
                </w:p>
              </w:tc>
            </w:tr>
            <w:tr w:rsidR="00EF09E3" w:rsidRPr="00474D79" w14:paraId="6E250380" w14:textId="77777777" w:rsidTr="00D20524">
              <w:trPr>
                <w:trHeight w:val="250"/>
              </w:trPr>
              <w:tc>
                <w:tcPr>
                  <w:tcW w:w="2970" w:type="dxa"/>
                  <w:shd w:val="clear" w:color="auto" w:fill="auto"/>
                  <w:vAlign w:val="center"/>
                  <w:hideMark/>
                </w:tcPr>
                <w:p w14:paraId="6E25037E"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Phishing</w:t>
                  </w:r>
                </w:p>
              </w:tc>
              <w:tc>
                <w:tcPr>
                  <w:tcW w:w="6026" w:type="dxa"/>
                  <w:shd w:val="clear" w:color="auto" w:fill="auto"/>
                  <w:vAlign w:val="bottom"/>
                  <w:hideMark/>
                </w:tcPr>
                <w:p w14:paraId="6E25037F" w14:textId="13FC7FF1"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 xml:space="preserve">Përpjekja për të marrë informacione të ndjeshme si emrat e përdoruesve, fjalëkalimet dhe informacionet e kartës së kreditit, duke pretenduar se </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sht</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subjekt i besueshëm në një komunikim elektronik (p.sh. përmes një </w:t>
                  </w:r>
                  <w:r w:rsidRPr="00474D79">
                    <w:rPr>
                      <w:rFonts w:ascii="Garamond" w:hAnsi="Garamond" w:cs="Times New Roman"/>
                      <w:i/>
                      <w:color w:val="000000"/>
                      <w:sz w:val="16"/>
                      <w:szCs w:val="20"/>
                    </w:rPr>
                    <w:t>email</w:t>
                  </w:r>
                  <w:r w:rsidRPr="00474D79">
                    <w:rPr>
                      <w:rFonts w:ascii="Garamond" w:hAnsi="Garamond" w:cs="Times New Roman"/>
                      <w:color w:val="000000"/>
                      <w:sz w:val="16"/>
                      <w:szCs w:val="20"/>
                    </w:rPr>
                    <w:t>)</w:t>
                  </w:r>
                  <w:r w:rsidR="00790857" w:rsidRPr="00474D79">
                    <w:rPr>
                      <w:rFonts w:ascii="Garamond" w:hAnsi="Garamond" w:cs="Times New Roman"/>
                      <w:color w:val="000000"/>
                      <w:sz w:val="16"/>
                      <w:szCs w:val="20"/>
                    </w:rPr>
                    <w:t>.</w:t>
                  </w:r>
                </w:p>
              </w:tc>
            </w:tr>
            <w:tr w:rsidR="00EF09E3" w:rsidRPr="00474D79" w14:paraId="6E250383" w14:textId="77777777" w:rsidTr="00D20524">
              <w:trPr>
                <w:trHeight w:val="241"/>
              </w:trPr>
              <w:tc>
                <w:tcPr>
                  <w:tcW w:w="2970" w:type="dxa"/>
                  <w:shd w:val="clear" w:color="auto" w:fill="auto"/>
                  <w:vAlign w:val="center"/>
                  <w:hideMark/>
                </w:tcPr>
                <w:p w14:paraId="6E250381"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Spear Phishing</w:t>
                  </w:r>
                </w:p>
              </w:tc>
              <w:tc>
                <w:tcPr>
                  <w:tcW w:w="6026" w:type="dxa"/>
                  <w:shd w:val="clear" w:color="auto" w:fill="auto"/>
                  <w:vAlign w:val="bottom"/>
                  <w:hideMark/>
                </w:tcPr>
                <w:p w14:paraId="6E250382"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Përpjekje/Sulme të drejtp</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rdrejta për t</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mashtruar individë ose kompani specifike</w:t>
                  </w:r>
                  <w:r w:rsidR="00790857" w:rsidRPr="00474D79">
                    <w:rPr>
                      <w:rFonts w:ascii="Garamond" w:hAnsi="Garamond" w:cs="Times New Roman"/>
                      <w:color w:val="000000"/>
                      <w:sz w:val="16"/>
                      <w:szCs w:val="20"/>
                    </w:rPr>
                    <w:t>.</w:t>
                  </w:r>
                </w:p>
              </w:tc>
            </w:tr>
            <w:tr w:rsidR="00EF09E3" w:rsidRPr="00474D79" w14:paraId="6E250386" w14:textId="77777777" w:rsidTr="00D20524">
              <w:trPr>
                <w:trHeight w:val="300"/>
              </w:trPr>
              <w:tc>
                <w:tcPr>
                  <w:tcW w:w="2970" w:type="dxa"/>
                  <w:shd w:val="clear" w:color="auto" w:fill="auto"/>
                  <w:vAlign w:val="center"/>
                  <w:hideMark/>
                </w:tcPr>
                <w:p w14:paraId="6E250384"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 xml:space="preserve">Pretexting </w:t>
                  </w:r>
                </w:p>
              </w:tc>
              <w:tc>
                <w:tcPr>
                  <w:tcW w:w="6026" w:type="dxa"/>
                  <w:shd w:val="clear" w:color="auto" w:fill="auto"/>
                  <w:vAlign w:val="bottom"/>
                  <w:hideMark/>
                </w:tcPr>
                <w:p w14:paraId="6E250385"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Krijimi dhe përdorimi i një skenari të shpikur (preteksti) për të përfshirë një përdorues të caktuar</w:t>
                  </w:r>
                  <w:r w:rsidR="00790857" w:rsidRPr="00474D79">
                    <w:rPr>
                      <w:rFonts w:ascii="Garamond" w:hAnsi="Garamond" w:cs="Times New Roman"/>
                      <w:color w:val="000000"/>
                      <w:sz w:val="16"/>
                      <w:szCs w:val="20"/>
                    </w:rPr>
                    <w:t>,</w:t>
                  </w:r>
                  <w:r w:rsidRPr="00474D79">
                    <w:rPr>
                      <w:rFonts w:ascii="Garamond" w:hAnsi="Garamond" w:cs="Times New Roman"/>
                      <w:color w:val="000000"/>
                      <w:sz w:val="16"/>
                      <w:szCs w:val="20"/>
                    </w:rPr>
                    <w:t xml:space="preserve"> në mënyrë të tillë që të rrisë shanset për të zbuluar informacionin ose për të vepruar në mënyra të pamundura në rrethana normale</w:t>
                  </w:r>
                  <w:r w:rsidR="00790857" w:rsidRPr="00474D79">
                    <w:rPr>
                      <w:rFonts w:ascii="Garamond" w:hAnsi="Garamond" w:cs="Times New Roman"/>
                      <w:color w:val="000000"/>
                      <w:sz w:val="16"/>
                      <w:szCs w:val="20"/>
                    </w:rPr>
                    <w:t>.</w:t>
                  </w:r>
                </w:p>
              </w:tc>
            </w:tr>
            <w:tr w:rsidR="00EF09E3" w:rsidRPr="00474D79" w14:paraId="6E250389" w14:textId="77777777" w:rsidTr="00D20524">
              <w:trPr>
                <w:trHeight w:val="470"/>
              </w:trPr>
              <w:tc>
                <w:tcPr>
                  <w:tcW w:w="2970" w:type="dxa"/>
                  <w:shd w:val="clear" w:color="auto" w:fill="auto"/>
                  <w:vAlign w:val="center"/>
                  <w:hideMark/>
                </w:tcPr>
                <w:p w14:paraId="6E250387"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Cyber squatting</w:t>
                  </w:r>
                </w:p>
              </w:tc>
              <w:tc>
                <w:tcPr>
                  <w:tcW w:w="6026" w:type="dxa"/>
                  <w:shd w:val="clear" w:color="auto" w:fill="auto"/>
                  <w:vAlign w:val="bottom"/>
                  <w:hideMark/>
                </w:tcPr>
                <w:p w14:paraId="6E250388"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Një regjistrim spekulativ i një domeni interneti që korrespondon me emrin e markës, shërbimit ose produktit të dikujt tjetër</w:t>
                  </w:r>
                  <w:r w:rsidR="00790857" w:rsidRPr="00474D79">
                    <w:rPr>
                      <w:rFonts w:ascii="Garamond" w:hAnsi="Garamond" w:cs="Times New Roman"/>
                      <w:color w:val="000000"/>
                      <w:sz w:val="16"/>
                      <w:szCs w:val="20"/>
                    </w:rPr>
                    <w:t>.</w:t>
                  </w:r>
                </w:p>
              </w:tc>
            </w:tr>
            <w:tr w:rsidR="00EF09E3" w:rsidRPr="00474D79" w14:paraId="6E25038C" w14:textId="77777777" w:rsidTr="00D20524">
              <w:trPr>
                <w:trHeight w:val="277"/>
              </w:trPr>
              <w:tc>
                <w:tcPr>
                  <w:tcW w:w="2970" w:type="dxa"/>
                  <w:shd w:val="clear" w:color="auto" w:fill="auto"/>
                  <w:vAlign w:val="center"/>
                  <w:hideMark/>
                </w:tcPr>
                <w:p w14:paraId="6E25038A"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Accidental misuse of access rights</w:t>
                  </w:r>
                </w:p>
              </w:tc>
              <w:tc>
                <w:tcPr>
                  <w:tcW w:w="6026" w:type="dxa"/>
                  <w:shd w:val="clear" w:color="auto" w:fill="auto"/>
                  <w:vAlign w:val="bottom"/>
                  <w:hideMark/>
                </w:tcPr>
                <w:p w14:paraId="6E25038B"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Shkelje aksidentale/e paq</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llimshme e të drejtave të aksesit në sistem me mund</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si rrjedhjeje të mundshme të të dhënave dhe/ose korrupsion të të dhënave</w:t>
                  </w:r>
                  <w:r w:rsidR="00790857" w:rsidRPr="00474D79">
                    <w:rPr>
                      <w:rFonts w:ascii="Garamond" w:hAnsi="Garamond" w:cs="Times New Roman"/>
                      <w:color w:val="000000"/>
                      <w:sz w:val="16"/>
                      <w:szCs w:val="20"/>
                    </w:rPr>
                    <w:t>.</w:t>
                  </w:r>
                </w:p>
              </w:tc>
            </w:tr>
            <w:tr w:rsidR="00EF09E3" w:rsidRPr="00474D79" w14:paraId="6E25038F" w14:textId="77777777" w:rsidTr="00D20524">
              <w:trPr>
                <w:trHeight w:val="331"/>
              </w:trPr>
              <w:tc>
                <w:tcPr>
                  <w:tcW w:w="2970" w:type="dxa"/>
                  <w:shd w:val="clear" w:color="auto" w:fill="auto"/>
                  <w:vAlign w:val="center"/>
                  <w:hideMark/>
                </w:tcPr>
                <w:p w14:paraId="6E25038D"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Intentional misuse of access rights by service provider</w:t>
                  </w:r>
                </w:p>
              </w:tc>
              <w:tc>
                <w:tcPr>
                  <w:tcW w:w="6026" w:type="dxa"/>
                  <w:shd w:val="clear" w:color="auto" w:fill="auto"/>
                  <w:vAlign w:val="bottom"/>
                  <w:hideMark/>
                </w:tcPr>
                <w:p w14:paraId="6E25038E"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Keqpërdorim i qëllimshëm i të drejtave të aksesit nga ofruesi i shërbimit</w:t>
                  </w:r>
                  <w:r w:rsidR="00790857" w:rsidRPr="00474D79">
                    <w:rPr>
                      <w:rFonts w:ascii="Garamond" w:hAnsi="Garamond" w:cs="Times New Roman"/>
                      <w:color w:val="000000"/>
                      <w:sz w:val="16"/>
                      <w:szCs w:val="20"/>
                    </w:rPr>
                    <w:t>.</w:t>
                  </w:r>
                </w:p>
              </w:tc>
            </w:tr>
            <w:tr w:rsidR="00EF09E3" w:rsidRPr="00474D79" w14:paraId="6E250392" w14:textId="77777777" w:rsidTr="00D20524">
              <w:trPr>
                <w:trHeight w:val="40"/>
              </w:trPr>
              <w:tc>
                <w:tcPr>
                  <w:tcW w:w="2970" w:type="dxa"/>
                  <w:shd w:val="clear" w:color="auto" w:fill="auto"/>
                  <w:vAlign w:val="center"/>
                  <w:hideMark/>
                </w:tcPr>
                <w:p w14:paraId="6E250390"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Intentional misuse of access rights by insider</w:t>
                  </w:r>
                </w:p>
              </w:tc>
              <w:tc>
                <w:tcPr>
                  <w:tcW w:w="6026" w:type="dxa"/>
                  <w:shd w:val="clear" w:color="auto" w:fill="auto"/>
                  <w:vAlign w:val="bottom"/>
                  <w:hideMark/>
                </w:tcPr>
                <w:p w14:paraId="6E250391"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br/>
                    <w:t>Keqpërdorim i qëllimshëm i të drejtave të aksesit nga personat e brendshëm</w:t>
                  </w:r>
                  <w:r w:rsidR="00790857" w:rsidRPr="00474D79">
                    <w:rPr>
                      <w:rFonts w:ascii="Garamond" w:hAnsi="Garamond" w:cs="Times New Roman"/>
                      <w:color w:val="000000"/>
                      <w:sz w:val="16"/>
                      <w:szCs w:val="20"/>
                    </w:rPr>
                    <w:t>.</w:t>
                  </w:r>
                </w:p>
              </w:tc>
            </w:tr>
            <w:tr w:rsidR="00EF09E3" w:rsidRPr="00474D79" w14:paraId="6E250395" w14:textId="77777777" w:rsidTr="00D20524">
              <w:trPr>
                <w:trHeight w:val="241"/>
              </w:trPr>
              <w:tc>
                <w:tcPr>
                  <w:tcW w:w="2970" w:type="dxa"/>
                  <w:shd w:val="clear" w:color="auto" w:fill="auto"/>
                  <w:vAlign w:val="center"/>
                  <w:hideMark/>
                </w:tcPr>
                <w:p w14:paraId="6E250393"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Policy violation (Insider/ TPP)</w:t>
                  </w:r>
                </w:p>
              </w:tc>
              <w:tc>
                <w:tcPr>
                  <w:tcW w:w="6026" w:type="dxa"/>
                  <w:shd w:val="clear" w:color="auto" w:fill="auto"/>
                  <w:vAlign w:val="bottom"/>
                  <w:hideMark/>
                </w:tcPr>
                <w:p w14:paraId="6E250394"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sz w:val="16"/>
                      <w:szCs w:val="20"/>
                    </w:rPr>
                    <w:t>Shkelje e politikës (personat e brendshëm/ofrues nga palë të treta)</w:t>
                  </w:r>
                  <w:r w:rsidR="00790857" w:rsidRPr="00474D79">
                    <w:rPr>
                      <w:rFonts w:ascii="Garamond" w:hAnsi="Garamond" w:cs="Times New Roman"/>
                      <w:sz w:val="16"/>
                      <w:szCs w:val="20"/>
                    </w:rPr>
                    <w:t>.</w:t>
                  </w:r>
                </w:p>
              </w:tc>
            </w:tr>
            <w:tr w:rsidR="00EF09E3" w:rsidRPr="00474D79" w14:paraId="6E250398" w14:textId="77777777" w:rsidTr="00D20524">
              <w:trPr>
                <w:trHeight w:val="268"/>
              </w:trPr>
              <w:tc>
                <w:tcPr>
                  <w:tcW w:w="2970" w:type="dxa"/>
                  <w:shd w:val="clear" w:color="auto" w:fill="auto"/>
                  <w:vAlign w:val="center"/>
                  <w:hideMark/>
                </w:tcPr>
                <w:p w14:paraId="6E250396"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Brute force attack</w:t>
                  </w:r>
                </w:p>
              </w:tc>
              <w:tc>
                <w:tcPr>
                  <w:tcW w:w="6026" w:type="dxa"/>
                  <w:shd w:val="clear" w:color="auto" w:fill="auto"/>
                  <w:vAlign w:val="bottom"/>
                  <w:hideMark/>
                </w:tcPr>
                <w:p w14:paraId="6E250397"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Sulm i sforcuar</w:t>
                  </w:r>
                  <w:r w:rsidR="00790857" w:rsidRPr="00474D79">
                    <w:rPr>
                      <w:rFonts w:ascii="Garamond" w:hAnsi="Garamond" w:cs="Times New Roman"/>
                      <w:color w:val="000000"/>
                      <w:sz w:val="16"/>
                      <w:szCs w:val="20"/>
                    </w:rPr>
                    <w:t>.</w:t>
                  </w:r>
                </w:p>
              </w:tc>
            </w:tr>
            <w:tr w:rsidR="00EF09E3" w:rsidRPr="00474D79" w14:paraId="6E25039B" w14:textId="77777777" w:rsidTr="00D20524">
              <w:trPr>
                <w:trHeight w:val="430"/>
              </w:trPr>
              <w:tc>
                <w:tcPr>
                  <w:tcW w:w="2970" w:type="dxa"/>
                  <w:shd w:val="clear" w:color="auto" w:fill="auto"/>
                  <w:vAlign w:val="center"/>
                  <w:hideMark/>
                </w:tcPr>
                <w:p w14:paraId="6E250399"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Malicious script injection and/or OS commanding</w:t>
                  </w:r>
                </w:p>
              </w:tc>
              <w:tc>
                <w:tcPr>
                  <w:tcW w:w="6026" w:type="dxa"/>
                  <w:shd w:val="clear" w:color="auto" w:fill="auto"/>
                  <w:vAlign w:val="bottom"/>
                  <w:hideMark/>
                </w:tcPr>
                <w:p w14:paraId="6E25039A"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Futja e nj</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skripti me qëllim të d</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msh</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m dhe/ose komandimi i OS</w:t>
                  </w:r>
                  <w:r w:rsidR="00790857" w:rsidRPr="00474D79">
                    <w:rPr>
                      <w:rFonts w:ascii="Garamond" w:hAnsi="Garamond" w:cs="Times New Roman"/>
                      <w:color w:val="000000"/>
                      <w:sz w:val="16"/>
                      <w:szCs w:val="20"/>
                    </w:rPr>
                    <w:t>.</w:t>
                  </w:r>
                </w:p>
              </w:tc>
            </w:tr>
            <w:tr w:rsidR="00EF09E3" w:rsidRPr="00474D79" w14:paraId="6E25039E" w14:textId="77777777" w:rsidTr="00D20524">
              <w:trPr>
                <w:trHeight w:val="250"/>
              </w:trPr>
              <w:tc>
                <w:tcPr>
                  <w:tcW w:w="2970" w:type="dxa"/>
                  <w:shd w:val="clear" w:color="auto" w:fill="auto"/>
                  <w:vAlign w:val="center"/>
                  <w:hideMark/>
                </w:tcPr>
                <w:p w14:paraId="6E25039C"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SQL Injection</w:t>
                  </w:r>
                </w:p>
              </w:tc>
              <w:tc>
                <w:tcPr>
                  <w:tcW w:w="6026" w:type="dxa"/>
                  <w:shd w:val="clear" w:color="auto" w:fill="auto"/>
                  <w:vAlign w:val="bottom"/>
                  <w:hideMark/>
                </w:tcPr>
                <w:p w14:paraId="6E25039D"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Injeksioni SQL</w:t>
                  </w:r>
                  <w:r w:rsidR="00790857" w:rsidRPr="00474D79">
                    <w:rPr>
                      <w:rFonts w:ascii="Garamond" w:hAnsi="Garamond" w:cs="Times New Roman"/>
                      <w:color w:val="000000"/>
                      <w:sz w:val="16"/>
                      <w:szCs w:val="20"/>
                    </w:rPr>
                    <w:t>.</w:t>
                  </w:r>
                </w:p>
              </w:tc>
            </w:tr>
            <w:tr w:rsidR="00EF09E3" w:rsidRPr="00474D79" w14:paraId="6E2503A1" w14:textId="77777777" w:rsidTr="00D20524">
              <w:trPr>
                <w:trHeight w:val="340"/>
              </w:trPr>
              <w:tc>
                <w:tcPr>
                  <w:tcW w:w="2970" w:type="dxa"/>
                  <w:shd w:val="clear" w:color="auto" w:fill="auto"/>
                  <w:vAlign w:val="center"/>
                  <w:hideMark/>
                </w:tcPr>
                <w:p w14:paraId="6E25039F"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Other exploited vulnerability</w:t>
                  </w:r>
                </w:p>
              </w:tc>
              <w:tc>
                <w:tcPr>
                  <w:tcW w:w="6026" w:type="dxa"/>
                  <w:shd w:val="clear" w:color="auto" w:fill="auto"/>
                  <w:vAlign w:val="bottom"/>
                  <w:hideMark/>
                </w:tcPr>
                <w:p w14:paraId="6E2503A0"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Dob</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si e ekspozuar e </w:t>
                  </w:r>
                  <w:r w:rsidRPr="00474D79">
                    <w:rPr>
                      <w:rFonts w:ascii="Garamond" w:hAnsi="Garamond" w:cs="Times New Roman"/>
                      <w:i/>
                      <w:color w:val="000000"/>
                      <w:sz w:val="16"/>
                      <w:szCs w:val="20"/>
                    </w:rPr>
                    <w:t>soft</w:t>
                  </w:r>
                  <w:r w:rsidR="00E33C49" w:rsidRPr="00474D79">
                    <w:rPr>
                      <w:rFonts w:ascii="Garamond" w:hAnsi="Garamond" w:cs="Times New Roman"/>
                      <w:i/>
                      <w:color w:val="000000"/>
                      <w:sz w:val="16"/>
                      <w:szCs w:val="20"/>
                    </w:rPr>
                    <w:t>ware</w:t>
                  </w:r>
                  <w:r w:rsidRPr="00474D79">
                    <w:rPr>
                      <w:rFonts w:ascii="Garamond" w:hAnsi="Garamond" w:cs="Times New Roman"/>
                      <w:color w:val="000000"/>
                      <w:sz w:val="16"/>
                      <w:szCs w:val="20"/>
                    </w:rPr>
                    <w:t xml:space="preserve"> p</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r t</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marr</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akses t</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paautorizuar n</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sistemet e informacionit</w:t>
                  </w:r>
                  <w:r w:rsidR="00790857" w:rsidRPr="00474D79">
                    <w:rPr>
                      <w:rFonts w:ascii="Garamond" w:hAnsi="Garamond" w:cs="Times New Roman"/>
                      <w:color w:val="000000"/>
                      <w:sz w:val="16"/>
                      <w:szCs w:val="20"/>
                    </w:rPr>
                    <w:t>.</w:t>
                  </w:r>
                </w:p>
              </w:tc>
            </w:tr>
            <w:tr w:rsidR="00EF09E3" w:rsidRPr="00474D79" w14:paraId="6E2503A4" w14:textId="77777777" w:rsidTr="00D20524">
              <w:trPr>
                <w:trHeight w:val="340"/>
              </w:trPr>
              <w:tc>
                <w:tcPr>
                  <w:tcW w:w="2970" w:type="dxa"/>
                  <w:shd w:val="clear" w:color="auto" w:fill="auto"/>
                  <w:vAlign w:val="center"/>
                  <w:hideMark/>
                </w:tcPr>
                <w:p w14:paraId="6E2503A2"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Information exposure</w:t>
                  </w:r>
                </w:p>
              </w:tc>
              <w:tc>
                <w:tcPr>
                  <w:tcW w:w="6026" w:type="dxa"/>
                  <w:shd w:val="clear" w:color="auto" w:fill="auto"/>
                  <w:vAlign w:val="bottom"/>
                  <w:hideMark/>
                </w:tcPr>
                <w:p w14:paraId="6E2503A3"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Ekspozimi i informacionit</w:t>
                  </w:r>
                  <w:r w:rsidR="00790857" w:rsidRPr="00474D79">
                    <w:rPr>
                      <w:rFonts w:ascii="Garamond" w:hAnsi="Garamond" w:cs="Times New Roman"/>
                      <w:color w:val="000000"/>
                      <w:sz w:val="16"/>
                      <w:szCs w:val="20"/>
                    </w:rPr>
                    <w:t>.</w:t>
                  </w:r>
                </w:p>
              </w:tc>
            </w:tr>
            <w:tr w:rsidR="00EF09E3" w:rsidRPr="00474D79" w14:paraId="6E2503A7" w14:textId="77777777" w:rsidTr="00D20524">
              <w:trPr>
                <w:trHeight w:val="250"/>
              </w:trPr>
              <w:tc>
                <w:tcPr>
                  <w:tcW w:w="2970" w:type="dxa"/>
                  <w:vMerge w:val="restart"/>
                  <w:shd w:val="clear" w:color="auto" w:fill="auto"/>
                  <w:vAlign w:val="center"/>
                </w:tcPr>
                <w:p w14:paraId="6E2503A5" w14:textId="77777777" w:rsidR="00EF09E3" w:rsidRPr="00474D79" w:rsidRDefault="00EF09E3" w:rsidP="00FD3EF9">
                  <w:pPr>
                    <w:spacing w:after="0" w:line="240" w:lineRule="auto"/>
                    <w:rPr>
                      <w:rFonts w:ascii="Garamond" w:hAnsi="Garamond" w:cs="Times New Roman"/>
                      <w:i/>
                      <w:sz w:val="16"/>
                      <w:szCs w:val="20"/>
                    </w:rPr>
                  </w:pPr>
                  <w:r w:rsidRPr="00474D79">
                    <w:rPr>
                      <w:rFonts w:ascii="Garamond" w:hAnsi="Garamond" w:cs="Times New Roman"/>
                      <w:i/>
                      <w:sz w:val="16"/>
                      <w:szCs w:val="20"/>
                    </w:rPr>
                    <w:t>DoS attack</w:t>
                  </w:r>
                </w:p>
              </w:tc>
              <w:tc>
                <w:tcPr>
                  <w:tcW w:w="6026" w:type="dxa"/>
                  <w:vMerge w:val="restart"/>
                  <w:shd w:val="clear" w:color="auto" w:fill="auto"/>
                  <w:vAlign w:val="bottom"/>
                  <w:hideMark/>
                </w:tcPr>
                <w:p w14:paraId="6E2503A6" w14:textId="0DE5248C"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Sulm i krijuar për pamund</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si p</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rdorimi, </w:t>
                  </w:r>
                  <w:r w:rsidR="00741D9C" w:rsidRPr="00474D79">
                    <w:rPr>
                      <w:rFonts w:ascii="Garamond" w:hAnsi="Garamond" w:cs="Times New Roman"/>
                      <w:color w:val="000000"/>
                      <w:sz w:val="16"/>
                      <w:szCs w:val="20"/>
                    </w:rPr>
                    <w:t xml:space="preserve">për </w:t>
                  </w:r>
                  <w:r w:rsidRPr="00474D79">
                    <w:rPr>
                      <w:rFonts w:ascii="Garamond" w:hAnsi="Garamond" w:cs="Times New Roman"/>
                      <w:color w:val="000000"/>
                      <w:sz w:val="16"/>
                      <w:szCs w:val="20"/>
                    </w:rPr>
                    <w:t>t</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mbyllur ose ndërprerë një rrjet, </w:t>
                  </w:r>
                  <w:r w:rsidRPr="00474D79">
                    <w:rPr>
                      <w:rFonts w:ascii="Garamond" w:hAnsi="Garamond" w:cs="Times New Roman"/>
                      <w:i/>
                      <w:color w:val="000000"/>
                      <w:sz w:val="16"/>
                      <w:szCs w:val="20"/>
                    </w:rPr>
                    <w:t>website</w:t>
                  </w:r>
                  <w:r w:rsidRPr="00474D79">
                    <w:rPr>
                      <w:rFonts w:ascii="Garamond" w:hAnsi="Garamond" w:cs="Times New Roman"/>
                      <w:color w:val="000000"/>
                      <w:sz w:val="16"/>
                      <w:szCs w:val="20"/>
                    </w:rPr>
                    <w:t xml:space="preserve"> ose shërbim.</w:t>
                  </w:r>
                  <w:r w:rsidR="002F4A24">
                    <w:rPr>
                      <w:rFonts w:ascii="Garamond" w:hAnsi="Garamond" w:cs="Times New Roman"/>
                      <w:color w:val="000000"/>
                      <w:sz w:val="16"/>
                      <w:szCs w:val="20"/>
                    </w:rPr>
                    <w:t xml:space="preserve"> </w:t>
                  </w:r>
                </w:p>
              </w:tc>
            </w:tr>
            <w:tr w:rsidR="00EF09E3" w:rsidRPr="00474D79" w14:paraId="6E2503AA" w14:textId="77777777" w:rsidTr="00D20524">
              <w:trPr>
                <w:trHeight w:val="450"/>
              </w:trPr>
              <w:tc>
                <w:tcPr>
                  <w:tcW w:w="2970" w:type="dxa"/>
                  <w:vMerge/>
                  <w:vAlign w:val="center"/>
                  <w:hideMark/>
                </w:tcPr>
                <w:p w14:paraId="6E2503A8" w14:textId="77777777" w:rsidR="00EF09E3" w:rsidRPr="00474D79" w:rsidRDefault="00EF09E3" w:rsidP="00FD3EF9">
                  <w:pPr>
                    <w:spacing w:after="0" w:line="240" w:lineRule="auto"/>
                    <w:rPr>
                      <w:rFonts w:ascii="Garamond" w:eastAsia="Times New Roman" w:hAnsi="Garamond" w:cs="Times New Roman"/>
                      <w:i/>
                      <w:color w:val="000000"/>
                      <w:sz w:val="16"/>
                      <w:szCs w:val="20"/>
                      <w:lang w:eastAsia="sq-AL"/>
                    </w:rPr>
                  </w:pPr>
                </w:p>
              </w:tc>
              <w:tc>
                <w:tcPr>
                  <w:tcW w:w="6026" w:type="dxa"/>
                  <w:vMerge/>
                  <w:shd w:val="clear" w:color="auto" w:fill="auto"/>
                  <w:vAlign w:val="bottom"/>
                  <w:hideMark/>
                </w:tcPr>
                <w:p w14:paraId="6E2503A9" w14:textId="77777777" w:rsidR="00EF09E3" w:rsidRPr="00474D79" w:rsidRDefault="00EF09E3" w:rsidP="00FD3EF9">
                  <w:pPr>
                    <w:spacing w:after="0" w:line="240" w:lineRule="auto"/>
                    <w:rPr>
                      <w:rFonts w:ascii="Garamond" w:eastAsia="Times New Roman" w:hAnsi="Garamond" w:cs="Times New Roman"/>
                      <w:color w:val="000000"/>
                      <w:sz w:val="16"/>
                      <w:szCs w:val="20"/>
                      <w:lang w:eastAsia="sq-AL"/>
                    </w:rPr>
                  </w:pPr>
                </w:p>
              </w:tc>
            </w:tr>
            <w:tr w:rsidR="00EF09E3" w:rsidRPr="00474D79" w14:paraId="6E2503AD" w14:textId="77777777" w:rsidTr="00D20524">
              <w:trPr>
                <w:trHeight w:val="304"/>
              </w:trPr>
              <w:tc>
                <w:tcPr>
                  <w:tcW w:w="2970" w:type="dxa"/>
                  <w:shd w:val="clear" w:color="auto" w:fill="auto"/>
                  <w:vAlign w:val="center"/>
                  <w:hideMark/>
                </w:tcPr>
                <w:p w14:paraId="6E2503AB"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DDoS attack</w:t>
                  </w:r>
                </w:p>
              </w:tc>
              <w:tc>
                <w:tcPr>
                  <w:tcW w:w="6026" w:type="dxa"/>
                  <w:shd w:val="clear" w:color="auto" w:fill="auto"/>
                  <w:vAlign w:val="bottom"/>
                </w:tcPr>
                <w:p w14:paraId="6E2503AC" w14:textId="77777777" w:rsidR="00EF09E3" w:rsidRPr="00474D79" w:rsidRDefault="00EF09E3" w:rsidP="00FD3EF9">
                  <w:pPr>
                    <w:spacing w:after="0" w:line="240" w:lineRule="auto"/>
                    <w:jc w:val="both"/>
                    <w:rPr>
                      <w:rFonts w:ascii="Garamond" w:hAnsi="Garamond" w:cs="Times New Roman"/>
                      <w:color w:val="000000"/>
                      <w:sz w:val="16"/>
                      <w:szCs w:val="20"/>
                    </w:rPr>
                  </w:pPr>
                  <w:r w:rsidRPr="00474D79">
                    <w:rPr>
                      <w:rFonts w:ascii="Garamond" w:hAnsi="Garamond" w:cs="Times New Roman"/>
                      <w:color w:val="000000"/>
                      <w:sz w:val="16"/>
                      <w:szCs w:val="20"/>
                    </w:rPr>
                    <w:t>Sulmi DoS në të cilin burimi i sulmit përbëhet nga adresa të shumta IP</w:t>
                  </w:r>
                  <w:r w:rsidR="00790857" w:rsidRPr="00474D79">
                    <w:rPr>
                      <w:rFonts w:ascii="Garamond" w:hAnsi="Garamond" w:cs="Times New Roman"/>
                      <w:color w:val="000000"/>
                      <w:sz w:val="16"/>
                      <w:szCs w:val="20"/>
                    </w:rPr>
                    <w:t>.</w:t>
                  </w:r>
                </w:p>
              </w:tc>
            </w:tr>
            <w:tr w:rsidR="00EF09E3" w:rsidRPr="00474D79" w14:paraId="6E2503B0" w14:textId="77777777" w:rsidTr="00D20524">
              <w:trPr>
                <w:trHeight w:val="331"/>
              </w:trPr>
              <w:tc>
                <w:tcPr>
                  <w:tcW w:w="2970" w:type="dxa"/>
                  <w:shd w:val="clear" w:color="auto" w:fill="auto"/>
                  <w:vAlign w:val="center"/>
                  <w:hideMark/>
                </w:tcPr>
                <w:p w14:paraId="6E2503AE"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Defacement</w:t>
                  </w:r>
                </w:p>
              </w:tc>
              <w:tc>
                <w:tcPr>
                  <w:tcW w:w="6026" w:type="dxa"/>
                  <w:shd w:val="clear" w:color="auto" w:fill="auto"/>
                  <w:vAlign w:val="bottom"/>
                </w:tcPr>
                <w:p w14:paraId="6E2503AF" w14:textId="77777777" w:rsidR="00EF09E3" w:rsidRPr="00474D79" w:rsidRDefault="00EF09E3" w:rsidP="00FD3EF9">
                  <w:pPr>
                    <w:spacing w:after="0" w:line="240" w:lineRule="auto"/>
                    <w:jc w:val="both"/>
                    <w:rPr>
                      <w:rFonts w:ascii="Garamond" w:hAnsi="Garamond" w:cs="Times New Roman"/>
                      <w:color w:val="000000"/>
                      <w:sz w:val="16"/>
                      <w:szCs w:val="20"/>
                    </w:rPr>
                  </w:pPr>
                  <w:r w:rsidRPr="00474D79">
                    <w:rPr>
                      <w:rFonts w:ascii="Garamond" w:hAnsi="Garamond" w:cs="Times New Roman"/>
                      <w:color w:val="000000"/>
                      <w:sz w:val="16"/>
                      <w:szCs w:val="20"/>
                    </w:rPr>
                    <w:t>Sulm në një faqe interneti që ndryshon pamjen vizuale të faqe</w:t>
                  </w:r>
                  <w:r w:rsidR="00663E93" w:rsidRPr="00474D79">
                    <w:rPr>
                      <w:rFonts w:ascii="Garamond" w:hAnsi="Garamond" w:cs="Times New Roman"/>
                      <w:color w:val="000000"/>
                      <w:sz w:val="16"/>
                      <w:szCs w:val="20"/>
                    </w:rPr>
                    <w:t>s</w:t>
                  </w:r>
                  <w:r w:rsidRPr="00474D79">
                    <w:rPr>
                      <w:rFonts w:ascii="Garamond" w:hAnsi="Garamond" w:cs="Times New Roman"/>
                      <w:color w:val="000000"/>
                      <w:sz w:val="16"/>
                      <w:szCs w:val="20"/>
                    </w:rPr>
                    <w:t xml:space="preserve"> </w:t>
                  </w:r>
                  <w:r w:rsidR="00663E93" w:rsidRPr="00474D79">
                    <w:rPr>
                      <w:rFonts w:ascii="Garamond" w:hAnsi="Garamond" w:cs="Times New Roman"/>
                      <w:color w:val="000000"/>
                      <w:sz w:val="16"/>
                      <w:szCs w:val="20"/>
                    </w:rPr>
                    <w:t>s</w:t>
                  </w:r>
                  <w:r w:rsidR="004D7626"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internetit</w:t>
                  </w:r>
                  <w:r w:rsidR="004D7626" w:rsidRPr="00474D79">
                    <w:rPr>
                      <w:rFonts w:ascii="Garamond" w:hAnsi="Garamond" w:cs="Times New Roman"/>
                      <w:color w:val="000000"/>
                      <w:sz w:val="16"/>
                      <w:szCs w:val="20"/>
                    </w:rPr>
                    <w:t>.</w:t>
                  </w:r>
                </w:p>
              </w:tc>
            </w:tr>
            <w:tr w:rsidR="00EF09E3" w:rsidRPr="00474D79" w14:paraId="6E2503B3" w14:textId="77777777" w:rsidTr="00D20524">
              <w:trPr>
                <w:trHeight w:val="457"/>
              </w:trPr>
              <w:tc>
                <w:tcPr>
                  <w:tcW w:w="2970" w:type="dxa"/>
                  <w:shd w:val="clear" w:color="auto" w:fill="auto"/>
                  <w:vAlign w:val="center"/>
                  <w:hideMark/>
                </w:tcPr>
                <w:p w14:paraId="6E2503B1"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Brand Abuse on Mass and Social Media</w:t>
                  </w:r>
                </w:p>
              </w:tc>
              <w:tc>
                <w:tcPr>
                  <w:tcW w:w="6026" w:type="dxa"/>
                  <w:shd w:val="clear" w:color="auto" w:fill="auto"/>
                  <w:vAlign w:val="bottom"/>
                </w:tcPr>
                <w:p w14:paraId="6E2503B2"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 xml:space="preserve">Një lloj ngjarjeje ku sulmuesit regjistrojnë profile të rreme në mediat sociale me emrin e </w:t>
                  </w:r>
                  <w:r w:rsidR="00316ED5" w:rsidRPr="00474D79">
                    <w:rPr>
                      <w:rFonts w:ascii="Garamond" w:hAnsi="Garamond" w:cs="Times New Roman"/>
                      <w:color w:val="000000"/>
                      <w:sz w:val="16"/>
                      <w:szCs w:val="20"/>
                    </w:rPr>
                    <w:t>k</w:t>
                  </w:r>
                  <w:r w:rsidRPr="00474D79">
                    <w:rPr>
                      <w:rFonts w:ascii="Garamond" w:hAnsi="Garamond" w:cs="Times New Roman"/>
                      <w:color w:val="000000"/>
                      <w:sz w:val="16"/>
                      <w:szCs w:val="20"/>
                    </w:rPr>
                    <w:t>ompanisë dhe/ose të drejtuesve</w:t>
                  </w:r>
                  <w:r w:rsidR="00790857" w:rsidRPr="00474D79">
                    <w:rPr>
                      <w:rFonts w:ascii="Garamond" w:hAnsi="Garamond" w:cs="Times New Roman"/>
                      <w:color w:val="000000"/>
                      <w:sz w:val="16"/>
                      <w:szCs w:val="20"/>
                    </w:rPr>
                    <w:t>.</w:t>
                  </w:r>
                </w:p>
              </w:tc>
            </w:tr>
            <w:tr w:rsidR="00EF09E3" w:rsidRPr="00474D79" w14:paraId="6E2503B6" w14:textId="77777777" w:rsidTr="00D20524">
              <w:trPr>
                <w:trHeight w:val="412"/>
              </w:trPr>
              <w:tc>
                <w:tcPr>
                  <w:tcW w:w="2970" w:type="dxa"/>
                  <w:shd w:val="clear" w:color="auto" w:fill="auto"/>
                  <w:vAlign w:val="center"/>
                  <w:hideMark/>
                </w:tcPr>
                <w:p w14:paraId="6E2503B4"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Libel of persons on Mass and Social Media</w:t>
                  </w:r>
                </w:p>
              </w:tc>
              <w:tc>
                <w:tcPr>
                  <w:tcW w:w="6026" w:type="dxa"/>
                  <w:shd w:val="clear" w:color="auto" w:fill="auto"/>
                  <w:vAlign w:val="bottom"/>
                </w:tcPr>
                <w:p w14:paraId="6E2503B5"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Lloji i ngjarjes në të cilën sulmuesit përhapin informacion t</w:t>
                  </w:r>
                  <w:r w:rsidR="00741D9C" w:rsidRPr="00474D79">
                    <w:rPr>
                      <w:rFonts w:ascii="Garamond" w:hAnsi="Garamond" w:cs="Times New Roman"/>
                      <w:color w:val="000000"/>
                      <w:sz w:val="16"/>
                      <w:szCs w:val="20"/>
                    </w:rPr>
                    <w:t>ë</w:t>
                  </w:r>
                  <w:r w:rsidRPr="00474D79">
                    <w:rPr>
                      <w:rFonts w:ascii="Garamond" w:hAnsi="Garamond" w:cs="Times New Roman"/>
                      <w:color w:val="000000"/>
                      <w:sz w:val="16"/>
                      <w:szCs w:val="20"/>
                    </w:rPr>
                    <w:t xml:space="preserve"> rremë/shpifës në mediat sociale me qëllim dëmtimi</w:t>
                  </w:r>
                  <w:r w:rsidR="00C941F5" w:rsidRPr="00474D79">
                    <w:rPr>
                      <w:rFonts w:ascii="Garamond" w:hAnsi="Garamond" w:cs="Times New Roman"/>
                      <w:color w:val="000000"/>
                      <w:sz w:val="16"/>
                      <w:szCs w:val="20"/>
                    </w:rPr>
                    <w:t>n</w:t>
                  </w:r>
                  <w:r w:rsidRPr="00474D79">
                    <w:rPr>
                      <w:rFonts w:ascii="Garamond" w:hAnsi="Garamond" w:cs="Times New Roman"/>
                      <w:color w:val="000000"/>
                      <w:sz w:val="16"/>
                      <w:szCs w:val="20"/>
                    </w:rPr>
                    <w:t xml:space="preserve"> e imazhit dhe reputacionit të individit (p.sh. drejtuesve) dhe të kompanisë.</w:t>
                  </w:r>
                </w:p>
              </w:tc>
            </w:tr>
            <w:tr w:rsidR="00EF09E3" w:rsidRPr="00474D79" w14:paraId="6E2503B9" w14:textId="77777777" w:rsidTr="00D20524">
              <w:trPr>
                <w:trHeight w:val="340"/>
              </w:trPr>
              <w:tc>
                <w:tcPr>
                  <w:tcW w:w="2970" w:type="dxa"/>
                  <w:shd w:val="clear" w:color="auto" w:fill="auto"/>
                  <w:vAlign w:val="center"/>
                  <w:hideMark/>
                </w:tcPr>
                <w:p w14:paraId="6E2503B7" w14:textId="77777777" w:rsidR="00EF09E3" w:rsidRPr="00474D79" w:rsidRDefault="00EF09E3" w:rsidP="00FD3EF9">
                  <w:pPr>
                    <w:spacing w:after="0" w:line="240" w:lineRule="auto"/>
                    <w:jc w:val="both"/>
                    <w:rPr>
                      <w:rFonts w:ascii="Garamond" w:eastAsia="Times New Roman" w:hAnsi="Garamond" w:cs="Times New Roman"/>
                      <w:i/>
                      <w:color w:val="000000"/>
                      <w:sz w:val="16"/>
                      <w:szCs w:val="20"/>
                      <w:lang w:eastAsia="sq-AL"/>
                    </w:rPr>
                  </w:pPr>
                  <w:r w:rsidRPr="00474D79">
                    <w:rPr>
                      <w:rFonts w:ascii="Garamond" w:eastAsia="Times New Roman" w:hAnsi="Garamond" w:cs="Times New Roman"/>
                      <w:i/>
                      <w:color w:val="000000"/>
                      <w:sz w:val="16"/>
                      <w:szCs w:val="20"/>
                      <w:lang w:eastAsia="sq-AL"/>
                    </w:rPr>
                    <w:t>Vulnerability Scan</w:t>
                  </w:r>
                </w:p>
              </w:tc>
              <w:tc>
                <w:tcPr>
                  <w:tcW w:w="6026" w:type="dxa"/>
                  <w:shd w:val="clear" w:color="auto" w:fill="auto"/>
                  <w:vAlign w:val="bottom"/>
                </w:tcPr>
                <w:p w14:paraId="6E2503B8" w14:textId="77777777" w:rsidR="00EF09E3" w:rsidRPr="00474D79" w:rsidRDefault="00EF09E3" w:rsidP="00FD3EF9">
                  <w:pPr>
                    <w:spacing w:after="0" w:line="240" w:lineRule="auto"/>
                    <w:jc w:val="both"/>
                    <w:rPr>
                      <w:rFonts w:ascii="Garamond" w:eastAsia="Times New Roman" w:hAnsi="Garamond" w:cs="Times New Roman"/>
                      <w:color w:val="000000"/>
                      <w:sz w:val="16"/>
                      <w:szCs w:val="20"/>
                      <w:lang w:eastAsia="sq-AL"/>
                    </w:rPr>
                  </w:pPr>
                  <w:r w:rsidRPr="00474D79">
                    <w:rPr>
                      <w:rFonts w:ascii="Garamond" w:hAnsi="Garamond" w:cs="Times New Roman"/>
                      <w:color w:val="000000"/>
                      <w:sz w:val="16"/>
                      <w:szCs w:val="20"/>
                    </w:rPr>
                    <w:t>Teknikë e përdorur për të identifikuar dobësitë e sigurisë në një sistem kompjuterik (nganjëherë c</w:t>
                  </w:r>
                  <w:r w:rsidR="00423B40" w:rsidRPr="00474D79">
                    <w:rPr>
                      <w:rFonts w:ascii="Garamond" w:hAnsi="Garamond" w:cs="Times New Roman"/>
                      <w:color w:val="000000"/>
                      <w:sz w:val="16"/>
                      <w:szCs w:val="20"/>
                    </w:rPr>
                    <w:t>ë</w:t>
                  </w:r>
                  <w:r w:rsidRPr="00474D79">
                    <w:rPr>
                      <w:rFonts w:ascii="Garamond" w:hAnsi="Garamond" w:cs="Times New Roman"/>
                      <w:color w:val="000000"/>
                      <w:sz w:val="16"/>
                      <w:szCs w:val="20"/>
                    </w:rPr>
                    <w:t>nueshm</w:t>
                  </w:r>
                  <w:r w:rsidR="00423B40" w:rsidRPr="00474D79">
                    <w:rPr>
                      <w:rFonts w:ascii="Garamond" w:hAnsi="Garamond" w:cs="Times New Roman"/>
                      <w:color w:val="000000"/>
                      <w:sz w:val="16"/>
                      <w:szCs w:val="20"/>
                    </w:rPr>
                    <w:t>ë</w:t>
                  </w:r>
                  <w:r w:rsidRPr="00474D79">
                    <w:rPr>
                      <w:rFonts w:ascii="Garamond" w:hAnsi="Garamond" w:cs="Times New Roman"/>
                      <w:color w:val="000000"/>
                      <w:sz w:val="16"/>
                      <w:szCs w:val="20"/>
                    </w:rPr>
                    <w:t>ria e aktiviteteve të skanimit mund të çojë në një shërbim ose një mosfunksionim/kohë të mosfunksionimit të procesit)</w:t>
                  </w:r>
                  <w:r w:rsidR="00790857" w:rsidRPr="00474D79">
                    <w:rPr>
                      <w:rFonts w:ascii="Garamond" w:hAnsi="Garamond" w:cs="Times New Roman"/>
                      <w:color w:val="000000"/>
                      <w:sz w:val="16"/>
                      <w:szCs w:val="20"/>
                    </w:rPr>
                    <w:t>.</w:t>
                  </w:r>
                </w:p>
              </w:tc>
            </w:tr>
          </w:tbl>
          <w:p w14:paraId="6E2503BA" w14:textId="77777777" w:rsidR="00EF09E3" w:rsidRPr="00474D79" w:rsidRDefault="00EF09E3" w:rsidP="00FD3EF9">
            <w:pPr>
              <w:spacing w:after="0" w:line="240" w:lineRule="auto"/>
              <w:jc w:val="both"/>
              <w:rPr>
                <w:rFonts w:ascii="Garamond" w:eastAsia="Times New Roman" w:hAnsi="Garamond" w:cs="Times New Roman"/>
                <w:sz w:val="16"/>
                <w:highlight w:val="yellow"/>
                <w:lang w:eastAsia="en-GB"/>
              </w:rPr>
            </w:pPr>
          </w:p>
        </w:tc>
      </w:tr>
      <w:tr w:rsidR="00EF09E3" w:rsidRPr="00474D79" w14:paraId="6E2503C0" w14:textId="77777777" w:rsidTr="00D20524">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tcPr>
          <w:p w14:paraId="6E2503BC" w14:textId="77777777" w:rsidR="00EF09E3" w:rsidRPr="00474D79" w:rsidDel="00052F15"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lastRenderedPageBreak/>
              <w:t>10</w:t>
            </w:r>
          </w:p>
        </w:tc>
        <w:tc>
          <w:tcPr>
            <w:tcW w:w="985" w:type="pct"/>
            <w:tcBorders>
              <w:top w:val="nil"/>
              <w:left w:val="nil"/>
              <w:bottom w:val="single" w:sz="4" w:space="0" w:color="auto"/>
              <w:right w:val="single" w:sz="4" w:space="0" w:color="auto"/>
            </w:tcBorders>
            <w:shd w:val="clear" w:color="auto" w:fill="auto"/>
            <w:vAlign w:val="center"/>
          </w:tcPr>
          <w:p w14:paraId="6E2503BD"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Numri i tentativave të suksesshme p</w:t>
            </w:r>
            <w:r w:rsidR="00077144"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r incidente me natyr</w:t>
            </w:r>
            <w:r w:rsidR="00077144"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kibernetike të </w:t>
            </w:r>
            <w:r w:rsidRPr="00474D79">
              <w:rPr>
                <w:rFonts w:ascii="Garamond" w:eastAsia="Times New Roman" w:hAnsi="Garamond" w:cs="Times New Roman"/>
                <w:i/>
                <w:sz w:val="16"/>
                <w:lang w:eastAsia="en-GB"/>
              </w:rPr>
              <w:t>hacking</w:t>
            </w:r>
            <w:r w:rsidRPr="00474D79">
              <w:rPr>
                <w:rFonts w:ascii="Garamond" w:eastAsia="Times New Roman" w:hAnsi="Garamond" w:cs="Times New Roman"/>
                <w:sz w:val="16"/>
                <w:lang w:eastAsia="en-GB"/>
              </w:rPr>
              <w:t>/incidenteve kibernetike</w:t>
            </w:r>
          </w:p>
        </w:tc>
        <w:tc>
          <w:tcPr>
            <w:tcW w:w="3714" w:type="pct"/>
            <w:tcBorders>
              <w:top w:val="nil"/>
              <w:left w:val="nil"/>
              <w:bottom w:val="single" w:sz="4" w:space="0" w:color="auto"/>
              <w:right w:val="single" w:sz="4" w:space="0" w:color="auto"/>
            </w:tcBorders>
            <w:shd w:val="clear" w:color="auto" w:fill="auto"/>
            <w:noWrap/>
            <w:vAlign w:val="center"/>
          </w:tcPr>
          <w:p w14:paraId="6E2503BE"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Sipas shpjegimit t</w:t>
            </w:r>
            <w:r w:rsidR="00741D9C"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dh</w:t>
            </w:r>
            <w:r w:rsidR="00741D9C"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n</w:t>
            </w:r>
            <w:r w:rsidR="00741D9C"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n</w:t>
            </w:r>
            <w:r w:rsidR="00741D9C"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w:t>
            </w:r>
            <w:r w:rsidR="00077144" w:rsidRPr="00474D79">
              <w:rPr>
                <w:rFonts w:ascii="Garamond" w:eastAsia="Times New Roman" w:hAnsi="Garamond" w:cs="Times New Roman"/>
                <w:sz w:val="16"/>
                <w:lang w:eastAsia="en-GB"/>
              </w:rPr>
              <w:t xml:space="preserve">treguesin </w:t>
            </w:r>
            <w:r w:rsidRPr="00474D79">
              <w:rPr>
                <w:rFonts w:ascii="Garamond" w:eastAsia="Times New Roman" w:hAnsi="Garamond" w:cs="Times New Roman"/>
                <w:sz w:val="16"/>
                <w:lang w:eastAsia="en-GB"/>
              </w:rPr>
              <w:t xml:space="preserve">nr.9. </w:t>
            </w:r>
          </w:p>
          <w:p w14:paraId="6E2503BF" w14:textId="77777777" w:rsidR="00EF09E3" w:rsidRPr="00474D79" w:rsidRDefault="00EF09E3" w:rsidP="00FD3EF9">
            <w:pPr>
              <w:spacing w:after="0" w:line="240" w:lineRule="auto"/>
              <w:jc w:val="both"/>
              <w:rPr>
                <w:rFonts w:ascii="Garamond" w:eastAsia="Times New Roman" w:hAnsi="Garamond" w:cs="Times New Roman"/>
                <w:sz w:val="16"/>
                <w:lang w:eastAsia="en-GB"/>
              </w:rPr>
            </w:pPr>
          </w:p>
        </w:tc>
      </w:tr>
      <w:tr w:rsidR="00EF09E3" w:rsidRPr="00474D79" w14:paraId="6E2503C5" w14:textId="77777777" w:rsidTr="00D20524">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tcPr>
          <w:p w14:paraId="6E2503C1"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11</w:t>
            </w:r>
          </w:p>
        </w:tc>
        <w:tc>
          <w:tcPr>
            <w:tcW w:w="985" w:type="pct"/>
            <w:tcBorders>
              <w:top w:val="nil"/>
              <w:left w:val="nil"/>
              <w:bottom w:val="single" w:sz="4" w:space="0" w:color="auto"/>
              <w:right w:val="single" w:sz="4" w:space="0" w:color="auto"/>
            </w:tcBorders>
            <w:shd w:val="clear" w:color="auto" w:fill="auto"/>
            <w:vAlign w:val="center"/>
          </w:tcPr>
          <w:p w14:paraId="6E2503C2"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Disponueshmëria e ATM-ve (</w:t>
            </w:r>
            <w:r w:rsidRPr="00474D79">
              <w:rPr>
                <w:rFonts w:ascii="Garamond" w:eastAsia="Times New Roman" w:hAnsi="Garamond" w:cs="Times New Roman"/>
                <w:i/>
                <w:sz w:val="16"/>
                <w:lang w:eastAsia="en-GB"/>
              </w:rPr>
              <w:t>uptime ratio</w:t>
            </w:r>
            <w:r w:rsidRPr="00474D79">
              <w:rPr>
                <w:rFonts w:ascii="Garamond" w:eastAsia="Times New Roman" w:hAnsi="Garamond" w:cs="Times New Roman"/>
                <w:sz w:val="16"/>
                <w:lang w:eastAsia="en-GB"/>
              </w:rPr>
              <w:t>)</w:t>
            </w:r>
          </w:p>
        </w:tc>
        <w:tc>
          <w:tcPr>
            <w:tcW w:w="3714" w:type="pct"/>
            <w:tcBorders>
              <w:top w:val="nil"/>
              <w:left w:val="nil"/>
              <w:bottom w:val="single" w:sz="4" w:space="0" w:color="auto"/>
              <w:right w:val="single" w:sz="4" w:space="0" w:color="auto"/>
            </w:tcBorders>
            <w:shd w:val="clear" w:color="auto" w:fill="auto"/>
            <w:noWrap/>
            <w:vAlign w:val="center"/>
          </w:tcPr>
          <w:p w14:paraId="6E2503C3"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Përqindja e ATM-ve funksionale. Kërkohet të raportohet mesatarja e funksionimit/disponueshmërisë në përqindje të ATM-ve gjatë periudhës së raportimit</w:t>
            </w:r>
            <w:r w:rsidR="00C90ACA" w:rsidRPr="00474D79">
              <w:rPr>
                <w:rFonts w:ascii="Garamond" w:eastAsia="Times New Roman" w:hAnsi="Garamond" w:cs="Times New Roman"/>
                <w:sz w:val="16"/>
                <w:lang w:eastAsia="en-GB"/>
              </w:rPr>
              <w:t>,</w:t>
            </w:r>
            <w:r w:rsidRPr="00474D79">
              <w:rPr>
                <w:rFonts w:ascii="Garamond" w:eastAsia="Times New Roman" w:hAnsi="Garamond" w:cs="Times New Roman"/>
                <w:sz w:val="16"/>
                <w:lang w:eastAsia="en-GB"/>
              </w:rPr>
              <w:t xml:space="preserve"> pavarësisht se periodiciteti i matjes mund të jetë i ndryshëm ndërmjet subjekteve. </w:t>
            </w:r>
          </w:p>
          <w:p w14:paraId="6E2503C4"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i/>
                <w:sz w:val="16"/>
                <w:lang w:eastAsia="en-GB"/>
              </w:rPr>
              <w:t>Shembull indikativ</w:t>
            </w:r>
            <w:r w:rsidRPr="00474D79">
              <w:rPr>
                <w:rFonts w:ascii="Garamond" w:eastAsia="Times New Roman" w:hAnsi="Garamond" w:cs="Times New Roman"/>
                <w:sz w:val="16"/>
                <w:lang w:eastAsia="en-GB"/>
              </w:rPr>
              <w:t>: Nëse një ATM është funksionale për 23 orë nga 24 orë në ditë, koeficienti i dis</w:t>
            </w:r>
            <w:r w:rsidR="009E796E" w:rsidRPr="00474D79">
              <w:rPr>
                <w:rFonts w:ascii="Garamond" w:eastAsia="Times New Roman" w:hAnsi="Garamond" w:cs="Times New Roman"/>
                <w:sz w:val="16"/>
                <w:lang w:eastAsia="en-GB"/>
              </w:rPr>
              <w:t>p</w:t>
            </w:r>
            <w:r w:rsidRPr="00474D79">
              <w:rPr>
                <w:rFonts w:ascii="Garamond" w:eastAsia="Times New Roman" w:hAnsi="Garamond" w:cs="Times New Roman"/>
                <w:sz w:val="16"/>
                <w:lang w:eastAsia="en-GB"/>
              </w:rPr>
              <w:t>onueshmërisë do të jetë (23/24)*100=95.83%. E njëjta logjikë ndiqet për raportimin tremujor. P</w:t>
            </w:r>
            <w:r w:rsidR="00741D9C"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r qëllime t</w:t>
            </w:r>
            <w:r w:rsidR="00741D9C"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këtij treguesi do t</w:t>
            </w:r>
            <w:r w:rsidR="001F01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llogaritet disponueshm</w:t>
            </w:r>
            <w:r w:rsidR="001F01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ria e t</w:t>
            </w:r>
            <w:r w:rsidR="001F01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gjitha ATM-ve t</w:t>
            </w:r>
            <w:r w:rsidR="00741D9C"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subjektit p</w:t>
            </w:r>
            <w:r w:rsidR="00741D9C"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r periudhën e raportimit (tremujorin). </w:t>
            </w:r>
          </w:p>
        </w:tc>
      </w:tr>
      <w:tr w:rsidR="00EF09E3" w:rsidRPr="00474D79" w14:paraId="6E2503C9" w14:textId="77777777" w:rsidTr="00D20524">
        <w:trPr>
          <w:trHeight w:val="983"/>
        </w:trPr>
        <w:tc>
          <w:tcPr>
            <w:tcW w:w="301" w:type="pct"/>
            <w:tcBorders>
              <w:top w:val="nil"/>
              <w:left w:val="single" w:sz="4" w:space="0" w:color="auto"/>
              <w:bottom w:val="single" w:sz="4" w:space="0" w:color="auto"/>
              <w:right w:val="single" w:sz="4" w:space="0" w:color="auto"/>
            </w:tcBorders>
            <w:shd w:val="clear" w:color="auto" w:fill="auto"/>
            <w:noWrap/>
            <w:vAlign w:val="center"/>
          </w:tcPr>
          <w:p w14:paraId="6E2503C6"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lastRenderedPageBreak/>
              <w:t>12</w:t>
            </w:r>
          </w:p>
        </w:tc>
        <w:tc>
          <w:tcPr>
            <w:tcW w:w="985" w:type="pct"/>
            <w:tcBorders>
              <w:top w:val="nil"/>
              <w:left w:val="nil"/>
              <w:bottom w:val="single" w:sz="4" w:space="0" w:color="auto"/>
              <w:right w:val="single" w:sz="4" w:space="0" w:color="auto"/>
            </w:tcBorders>
            <w:shd w:val="clear" w:color="auto" w:fill="auto"/>
            <w:noWrap/>
            <w:vAlign w:val="center"/>
            <w:hideMark/>
          </w:tcPr>
          <w:p w14:paraId="6E2503C7"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Karta nën investigim</w:t>
            </w:r>
          </w:p>
        </w:tc>
        <w:tc>
          <w:tcPr>
            <w:tcW w:w="3714" w:type="pct"/>
            <w:tcBorders>
              <w:top w:val="nil"/>
              <w:left w:val="nil"/>
              <w:bottom w:val="single" w:sz="4" w:space="0" w:color="auto"/>
              <w:right w:val="single" w:sz="4" w:space="0" w:color="auto"/>
            </w:tcBorders>
            <w:shd w:val="clear" w:color="auto" w:fill="auto"/>
            <w:vAlign w:val="center"/>
            <w:hideMark/>
          </w:tcPr>
          <w:p w14:paraId="6E2503C8"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 xml:space="preserve">Numri i kartave të raportuara që janë nën një investigim të justifikuar nga subjekti, për shkak të arsyeve të mashtrimit që lidhen me to gjatë tremujorit (të gjitha llojet e kartave). Nuk përfshihen kartat e humbura, të vjedhura apo ato të riprintuara për arsye të tjera (për shembull riprintime për arsye dëmtimi). </w:t>
            </w:r>
          </w:p>
        </w:tc>
      </w:tr>
      <w:tr w:rsidR="00EF09E3" w:rsidRPr="00474D79" w14:paraId="6E2503CD" w14:textId="77777777" w:rsidTr="00D20524">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tcPr>
          <w:p w14:paraId="6E2503CA"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13</w:t>
            </w:r>
          </w:p>
        </w:tc>
        <w:tc>
          <w:tcPr>
            <w:tcW w:w="985" w:type="pct"/>
            <w:tcBorders>
              <w:top w:val="nil"/>
              <w:left w:val="nil"/>
              <w:bottom w:val="single" w:sz="4" w:space="0" w:color="auto"/>
              <w:right w:val="single" w:sz="4" w:space="0" w:color="auto"/>
            </w:tcBorders>
            <w:shd w:val="clear" w:color="auto" w:fill="auto"/>
            <w:vAlign w:val="center"/>
            <w:hideMark/>
          </w:tcPr>
          <w:p w14:paraId="6E2503CB"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Rekomandimet e kontrollit të brendshëm të papërmbushura brenda afatit</w:t>
            </w:r>
          </w:p>
        </w:tc>
        <w:tc>
          <w:tcPr>
            <w:tcW w:w="3714" w:type="pct"/>
            <w:tcBorders>
              <w:top w:val="nil"/>
              <w:left w:val="nil"/>
              <w:bottom w:val="single" w:sz="4" w:space="0" w:color="auto"/>
              <w:right w:val="single" w:sz="4" w:space="0" w:color="auto"/>
            </w:tcBorders>
            <w:shd w:val="clear" w:color="auto" w:fill="auto"/>
            <w:vAlign w:val="center"/>
            <w:hideMark/>
          </w:tcPr>
          <w:p w14:paraId="6E2503CC"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Rekomandime të njësisë së kontrollit të brendshëm, të cilat kanë kaluar afatin përfundimtar të plotësimit/përmbushjes në periudhën e raportimit.</w:t>
            </w:r>
          </w:p>
        </w:tc>
      </w:tr>
      <w:tr w:rsidR="00EF09E3" w:rsidRPr="00474D79" w14:paraId="6E2503D1" w14:textId="77777777" w:rsidTr="00D20524">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tcPr>
          <w:p w14:paraId="6E2503CE"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14</w:t>
            </w:r>
          </w:p>
        </w:tc>
        <w:tc>
          <w:tcPr>
            <w:tcW w:w="985" w:type="pct"/>
            <w:tcBorders>
              <w:top w:val="nil"/>
              <w:left w:val="nil"/>
              <w:bottom w:val="single" w:sz="4" w:space="0" w:color="auto"/>
              <w:right w:val="single" w:sz="4" w:space="0" w:color="auto"/>
            </w:tcBorders>
            <w:shd w:val="clear" w:color="auto" w:fill="auto"/>
            <w:vAlign w:val="center"/>
          </w:tcPr>
          <w:p w14:paraId="6E2503CF"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Procedura, politika dhe rregullore t</w:t>
            </w:r>
            <w:r w:rsidR="005574D0"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pap</w:t>
            </w:r>
            <w:r w:rsidR="005574D0" w:rsidRPr="00474D79">
              <w:rPr>
                <w:rFonts w:ascii="Garamond" w:eastAsia="Times New Roman" w:hAnsi="Garamond" w:cs="Times New Roman"/>
                <w:sz w:val="16"/>
                <w:lang w:eastAsia="en-GB"/>
              </w:rPr>
              <w:t>ë</w:t>
            </w:r>
            <w:r w:rsidR="00CB5B8D" w:rsidRPr="00474D79">
              <w:rPr>
                <w:rFonts w:ascii="Garamond" w:eastAsia="Times New Roman" w:hAnsi="Garamond" w:cs="Times New Roman"/>
                <w:sz w:val="16"/>
                <w:lang w:eastAsia="en-GB"/>
              </w:rPr>
              <w:t>rditë</w:t>
            </w:r>
            <w:r w:rsidRPr="00474D79">
              <w:rPr>
                <w:rFonts w:ascii="Garamond" w:eastAsia="Times New Roman" w:hAnsi="Garamond" w:cs="Times New Roman"/>
                <w:sz w:val="16"/>
                <w:lang w:eastAsia="en-GB"/>
              </w:rPr>
              <w:t>suara</w:t>
            </w:r>
            <w:r w:rsidRPr="00474D79">
              <w:rPr>
                <w:rFonts w:ascii="Garamond" w:hAnsi="Garamond"/>
                <w:sz w:val="16"/>
              </w:rPr>
              <w:t xml:space="preserve"> </w:t>
            </w:r>
          </w:p>
        </w:tc>
        <w:tc>
          <w:tcPr>
            <w:tcW w:w="3714" w:type="pct"/>
            <w:tcBorders>
              <w:top w:val="nil"/>
              <w:left w:val="nil"/>
              <w:bottom w:val="single" w:sz="4" w:space="0" w:color="auto"/>
              <w:right w:val="single" w:sz="4" w:space="0" w:color="auto"/>
            </w:tcBorders>
            <w:shd w:val="clear" w:color="auto" w:fill="auto"/>
            <w:vAlign w:val="center"/>
          </w:tcPr>
          <w:p w14:paraId="6E2503D0"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 xml:space="preserve">Numri i procedurave </w:t>
            </w:r>
            <w:r w:rsidR="005574D0" w:rsidRPr="00474D79">
              <w:rPr>
                <w:rFonts w:ascii="Garamond" w:eastAsia="Times New Roman" w:hAnsi="Garamond" w:cs="Times New Roman"/>
                <w:sz w:val="16"/>
                <w:lang w:eastAsia="en-GB"/>
              </w:rPr>
              <w:t>që</w:t>
            </w:r>
            <w:r w:rsidRPr="00474D79">
              <w:rPr>
                <w:rFonts w:ascii="Garamond" w:eastAsia="Times New Roman" w:hAnsi="Garamond" w:cs="Times New Roman"/>
                <w:sz w:val="16"/>
                <w:lang w:eastAsia="en-GB"/>
              </w:rPr>
              <w:t xml:space="preserve"> </w:t>
            </w:r>
            <w:r w:rsidR="005574D0" w:rsidRPr="00474D79">
              <w:rPr>
                <w:rFonts w:ascii="Garamond" w:eastAsia="Times New Roman" w:hAnsi="Garamond" w:cs="Times New Roman"/>
                <w:sz w:val="16"/>
                <w:lang w:eastAsia="en-GB"/>
              </w:rPr>
              <w:t>i</w:t>
            </w:r>
            <w:r w:rsidRPr="00474D79">
              <w:rPr>
                <w:rFonts w:ascii="Garamond" w:eastAsia="Times New Roman" w:hAnsi="Garamond" w:cs="Times New Roman"/>
                <w:sz w:val="16"/>
                <w:lang w:eastAsia="en-GB"/>
              </w:rPr>
              <w:t>u ka kaluar afati i rishikimit sipas politikave t</w:t>
            </w:r>
            <w:r w:rsidR="005574D0"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brendshme t</w:t>
            </w:r>
            <w:r w:rsidR="005574D0"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bankës ndaj totalit t</w:t>
            </w:r>
            <w:r w:rsidR="005574D0"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procedurave dhe rregulloreve (n</w:t>
            </w:r>
            <w:r w:rsidR="00C90ACA" w:rsidRPr="00474D79">
              <w:rPr>
                <w:rFonts w:ascii="Garamond" w:eastAsia="Times New Roman" w:hAnsi="Garamond" w:cs="Times New Roman"/>
                <w:sz w:val="16"/>
                <w:lang w:eastAsia="en-GB"/>
              </w:rPr>
              <w:t>ë</w:t>
            </w:r>
            <w:r w:rsidR="00D72904" w:rsidRPr="00474D79">
              <w:rPr>
                <w:rFonts w:ascii="Garamond" w:eastAsia="Times New Roman" w:hAnsi="Garamond" w:cs="Times New Roman"/>
                <w:sz w:val="16"/>
                <w:lang w:eastAsia="en-GB"/>
              </w:rPr>
              <w:t xml:space="preserve"> %)</w:t>
            </w:r>
            <w:r w:rsidR="00423B40" w:rsidRPr="00474D79">
              <w:rPr>
                <w:rFonts w:ascii="Garamond" w:eastAsia="Times New Roman" w:hAnsi="Garamond" w:cs="Times New Roman"/>
                <w:sz w:val="16"/>
                <w:lang w:eastAsia="en-GB"/>
              </w:rPr>
              <w:t>.</w:t>
            </w:r>
          </w:p>
        </w:tc>
      </w:tr>
      <w:tr w:rsidR="00EF09E3" w:rsidRPr="00474D79" w14:paraId="6E2503D7" w14:textId="77777777" w:rsidTr="00D20524">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tcPr>
          <w:p w14:paraId="6E2503D2" w14:textId="77777777" w:rsidR="00EF09E3" w:rsidRPr="00474D79" w:rsidDel="00E7335C"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15</w:t>
            </w:r>
          </w:p>
        </w:tc>
        <w:tc>
          <w:tcPr>
            <w:tcW w:w="985" w:type="pct"/>
            <w:tcBorders>
              <w:top w:val="nil"/>
              <w:left w:val="nil"/>
              <w:bottom w:val="single" w:sz="4" w:space="0" w:color="auto"/>
              <w:right w:val="single" w:sz="4" w:space="0" w:color="auto"/>
            </w:tcBorders>
            <w:shd w:val="clear" w:color="auto" w:fill="auto"/>
            <w:vAlign w:val="center"/>
          </w:tcPr>
          <w:p w14:paraId="6E2503D3"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 xml:space="preserve">Projekte </w:t>
            </w:r>
            <w:r w:rsidR="001F01CA" w:rsidRPr="00474D79">
              <w:rPr>
                <w:rFonts w:ascii="Garamond" w:eastAsia="Times New Roman" w:hAnsi="Garamond" w:cs="Times New Roman"/>
                <w:sz w:val="16"/>
                <w:lang w:eastAsia="en-GB"/>
              </w:rPr>
              <w:t>që</w:t>
            </w:r>
            <w:r w:rsidRPr="00474D79">
              <w:rPr>
                <w:rFonts w:ascii="Garamond" w:eastAsia="Times New Roman" w:hAnsi="Garamond" w:cs="Times New Roman"/>
                <w:sz w:val="16"/>
                <w:lang w:eastAsia="en-GB"/>
              </w:rPr>
              <w:t xml:space="preserve"> nuk janë mbyllur brenda afatit t</w:t>
            </w:r>
            <w:r w:rsidR="00C90A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përcaktuar nga subjekti </w:t>
            </w:r>
          </w:p>
        </w:tc>
        <w:tc>
          <w:tcPr>
            <w:tcW w:w="3714" w:type="pct"/>
            <w:tcBorders>
              <w:top w:val="nil"/>
              <w:left w:val="nil"/>
              <w:bottom w:val="single" w:sz="4" w:space="0" w:color="auto"/>
              <w:right w:val="single" w:sz="4" w:space="0" w:color="auto"/>
            </w:tcBorders>
            <w:shd w:val="clear" w:color="auto" w:fill="auto"/>
            <w:vAlign w:val="center"/>
          </w:tcPr>
          <w:p w14:paraId="6E2503D4"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Numri i projekteve t</w:t>
            </w:r>
            <w:r w:rsidR="00C90A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cilave </w:t>
            </w:r>
            <w:r w:rsidR="00C90ACA" w:rsidRPr="00474D79">
              <w:rPr>
                <w:rFonts w:ascii="Garamond" w:eastAsia="Times New Roman" w:hAnsi="Garamond" w:cs="Times New Roman"/>
                <w:sz w:val="16"/>
                <w:lang w:eastAsia="en-GB"/>
              </w:rPr>
              <w:t xml:space="preserve">iu </w:t>
            </w:r>
            <w:r w:rsidRPr="00474D79">
              <w:rPr>
                <w:rFonts w:ascii="Garamond" w:eastAsia="Times New Roman" w:hAnsi="Garamond" w:cs="Times New Roman"/>
                <w:sz w:val="16"/>
                <w:lang w:eastAsia="en-GB"/>
              </w:rPr>
              <w:t>ka kaluar afati</w:t>
            </w:r>
            <w:r w:rsidR="00C90ACA" w:rsidRPr="00474D79">
              <w:rPr>
                <w:rFonts w:ascii="Garamond" w:eastAsia="Times New Roman" w:hAnsi="Garamond" w:cs="Times New Roman"/>
                <w:sz w:val="16"/>
                <w:lang w:eastAsia="en-GB"/>
              </w:rPr>
              <w:t>,</w:t>
            </w:r>
            <w:r w:rsidRPr="00474D79">
              <w:rPr>
                <w:rFonts w:ascii="Garamond" w:eastAsia="Times New Roman" w:hAnsi="Garamond" w:cs="Times New Roman"/>
                <w:sz w:val="16"/>
                <w:lang w:eastAsia="en-GB"/>
              </w:rPr>
              <w:t xml:space="preserve"> ndaj totalit t</w:t>
            </w:r>
            <w:r w:rsidR="00C90A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projekteve n</w:t>
            </w:r>
            <w:r w:rsidR="00C90A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vazhdimësi (n</w:t>
            </w:r>
            <w:r w:rsidR="00C90A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w:t>
            </w:r>
            <w:r w:rsidR="00C90ACA" w:rsidRPr="00474D79">
              <w:rPr>
                <w:rFonts w:ascii="Garamond" w:eastAsia="Times New Roman" w:hAnsi="Garamond" w:cs="Times New Roman"/>
                <w:sz w:val="16"/>
                <w:lang w:eastAsia="en-GB"/>
              </w:rPr>
              <w:t>.</w:t>
            </w:r>
          </w:p>
          <w:p w14:paraId="6E2503D5" w14:textId="42C33FDA"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w:t>
            </w:r>
            <w:r w:rsidR="00C90A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numërues përfshihet numri i projekteve të cilat e kanë kaluar afatin përfundimtar të përmbushjes</w:t>
            </w:r>
            <w:r w:rsidR="00C90ACA" w:rsidRPr="00474D79">
              <w:rPr>
                <w:rFonts w:ascii="Garamond" w:eastAsia="Times New Roman" w:hAnsi="Garamond" w:cs="Times New Roman"/>
                <w:sz w:val="16"/>
                <w:lang w:eastAsia="en-GB"/>
              </w:rPr>
              <w:t>,</w:t>
            </w:r>
            <w:r w:rsidRPr="00474D79">
              <w:rPr>
                <w:rFonts w:ascii="Garamond" w:eastAsia="Times New Roman" w:hAnsi="Garamond" w:cs="Times New Roman"/>
                <w:sz w:val="16"/>
                <w:lang w:eastAsia="en-GB"/>
              </w:rPr>
              <w:t xml:space="preserve"> p</w:t>
            </w:r>
            <w:r w:rsidR="00C90A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r </w:t>
            </w:r>
            <w:r w:rsidR="00C90ACA" w:rsidRPr="00474D79">
              <w:rPr>
                <w:rFonts w:ascii="Garamond" w:eastAsia="Times New Roman" w:hAnsi="Garamond" w:cs="Times New Roman"/>
                <w:sz w:val="16"/>
                <w:lang w:eastAsia="en-GB"/>
              </w:rPr>
              <w:t xml:space="preserve">shkak </w:t>
            </w:r>
            <w:r w:rsidRPr="00474D79">
              <w:rPr>
                <w:rFonts w:ascii="Garamond" w:eastAsia="Times New Roman" w:hAnsi="Garamond" w:cs="Times New Roman"/>
                <w:sz w:val="16"/>
                <w:lang w:eastAsia="en-GB"/>
              </w:rPr>
              <w:t>t</w:t>
            </w:r>
            <w:r w:rsidR="00C90A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vonesave, joefikasitetit apo mosmonitorimit t</w:t>
            </w:r>
            <w:r w:rsidR="00C90A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projekteve</w:t>
            </w:r>
            <w:r w:rsidR="00C90ACA" w:rsidRPr="00474D79">
              <w:rPr>
                <w:rFonts w:ascii="Garamond" w:eastAsia="Times New Roman" w:hAnsi="Garamond" w:cs="Times New Roman"/>
                <w:sz w:val="16"/>
                <w:lang w:eastAsia="en-GB"/>
              </w:rPr>
              <w:t>,</w:t>
            </w:r>
            <w:r w:rsidRPr="00474D79">
              <w:rPr>
                <w:rFonts w:ascii="Garamond" w:eastAsia="Times New Roman" w:hAnsi="Garamond" w:cs="Times New Roman"/>
                <w:sz w:val="16"/>
                <w:lang w:eastAsia="en-GB"/>
              </w:rPr>
              <w:t xml:space="preserve"> etj.</w:t>
            </w:r>
            <w:r w:rsidR="002F4A24">
              <w:rPr>
                <w:rFonts w:ascii="Garamond" w:eastAsia="Times New Roman" w:hAnsi="Garamond" w:cs="Times New Roman"/>
                <w:sz w:val="16"/>
                <w:lang w:eastAsia="en-GB"/>
              </w:rPr>
              <w:t xml:space="preserve"> </w:t>
            </w:r>
            <w:r w:rsidRPr="00474D79">
              <w:rPr>
                <w:rFonts w:ascii="Garamond" w:eastAsia="Times New Roman" w:hAnsi="Garamond" w:cs="Times New Roman"/>
                <w:sz w:val="16"/>
                <w:lang w:eastAsia="en-GB"/>
              </w:rPr>
              <w:t>dhe kostoja aktuale e t</w:t>
            </w:r>
            <w:r w:rsidR="00C90A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cilave tejkalon buxhetin vjetor p</w:t>
            </w:r>
            <w:r w:rsidR="00C90A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r projektet &gt;20%.</w:t>
            </w:r>
          </w:p>
          <w:p w14:paraId="6E2503D6" w14:textId="77777777" w:rsidR="00EF09E3" w:rsidRPr="00474D79" w:rsidRDefault="00C90ACA"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i/>
                <w:sz w:val="16"/>
                <w:u w:val="single"/>
                <w:lang w:eastAsia="en-GB"/>
              </w:rPr>
              <w:t>Shënim</w:t>
            </w:r>
            <w:r w:rsidR="00EF09E3" w:rsidRPr="00474D79">
              <w:rPr>
                <w:rFonts w:ascii="Garamond" w:eastAsia="Times New Roman" w:hAnsi="Garamond" w:cs="Times New Roman"/>
                <w:i/>
                <w:sz w:val="16"/>
                <w:u w:val="single"/>
                <w:lang w:eastAsia="en-GB"/>
              </w:rPr>
              <w:t>:</w:t>
            </w:r>
            <w:r w:rsidR="00EF09E3" w:rsidRPr="00474D79">
              <w:rPr>
                <w:rFonts w:ascii="Garamond" w:eastAsia="Times New Roman" w:hAnsi="Garamond" w:cs="Times New Roman"/>
                <w:sz w:val="16"/>
                <w:lang w:eastAsia="en-GB"/>
              </w:rPr>
              <w:t xml:space="preserve"> </w:t>
            </w:r>
            <w:r w:rsidRPr="00474D79">
              <w:rPr>
                <w:rFonts w:ascii="Garamond" w:eastAsia="Times New Roman" w:hAnsi="Garamond" w:cs="Times New Roman"/>
                <w:sz w:val="16"/>
                <w:lang w:eastAsia="en-GB"/>
              </w:rPr>
              <w:t>Në</w:t>
            </w:r>
            <w:r w:rsidR="00EF09E3" w:rsidRPr="00474D79">
              <w:rPr>
                <w:rFonts w:ascii="Garamond" w:eastAsia="Times New Roman" w:hAnsi="Garamond" w:cs="Times New Roman"/>
                <w:sz w:val="16"/>
                <w:lang w:eastAsia="en-GB"/>
              </w:rPr>
              <w:t xml:space="preserve"> raportim do t</w:t>
            </w:r>
            <w:r w:rsidRPr="00474D79">
              <w:rPr>
                <w:rFonts w:ascii="Garamond" w:eastAsia="Times New Roman" w:hAnsi="Garamond" w:cs="Times New Roman"/>
                <w:sz w:val="16"/>
                <w:lang w:eastAsia="en-GB"/>
              </w:rPr>
              <w:t>ë</w:t>
            </w:r>
            <w:r w:rsidR="00EF09E3" w:rsidRPr="00474D79">
              <w:rPr>
                <w:rFonts w:ascii="Garamond" w:eastAsia="Times New Roman" w:hAnsi="Garamond" w:cs="Times New Roman"/>
                <w:sz w:val="16"/>
                <w:lang w:eastAsia="en-GB"/>
              </w:rPr>
              <w:t xml:space="preserve"> p</w:t>
            </w:r>
            <w:r w:rsidRPr="00474D79">
              <w:rPr>
                <w:rFonts w:ascii="Garamond" w:eastAsia="Times New Roman" w:hAnsi="Garamond" w:cs="Times New Roman"/>
                <w:sz w:val="16"/>
                <w:lang w:eastAsia="en-GB"/>
              </w:rPr>
              <w:t>ë</w:t>
            </w:r>
            <w:r w:rsidR="00EF09E3" w:rsidRPr="00474D79">
              <w:rPr>
                <w:rFonts w:ascii="Garamond" w:eastAsia="Times New Roman" w:hAnsi="Garamond" w:cs="Times New Roman"/>
                <w:sz w:val="16"/>
                <w:lang w:eastAsia="en-GB"/>
              </w:rPr>
              <w:t>rfshihen edhe ato projekte q</w:t>
            </w:r>
            <w:r w:rsidRPr="00474D79">
              <w:rPr>
                <w:rFonts w:ascii="Garamond" w:eastAsia="Times New Roman" w:hAnsi="Garamond" w:cs="Times New Roman"/>
                <w:sz w:val="16"/>
                <w:lang w:eastAsia="en-GB"/>
              </w:rPr>
              <w:t>ë</w:t>
            </w:r>
            <w:r w:rsidR="00EF09E3" w:rsidRPr="00474D79">
              <w:rPr>
                <w:rFonts w:ascii="Garamond" w:eastAsia="Times New Roman" w:hAnsi="Garamond" w:cs="Times New Roman"/>
                <w:sz w:val="16"/>
                <w:lang w:eastAsia="en-GB"/>
              </w:rPr>
              <w:t xml:space="preserve"> </w:t>
            </w:r>
            <w:r w:rsidRPr="00474D79">
              <w:rPr>
                <w:rFonts w:ascii="Garamond" w:eastAsia="Times New Roman" w:hAnsi="Garamond" w:cs="Times New Roman"/>
                <w:sz w:val="16"/>
                <w:lang w:eastAsia="en-GB"/>
              </w:rPr>
              <w:t xml:space="preserve">subjekti </w:t>
            </w:r>
            <w:r w:rsidR="00EF09E3" w:rsidRPr="00474D79">
              <w:rPr>
                <w:rFonts w:ascii="Garamond" w:eastAsia="Times New Roman" w:hAnsi="Garamond" w:cs="Times New Roman"/>
                <w:sz w:val="16"/>
                <w:lang w:eastAsia="en-GB"/>
              </w:rPr>
              <w:t>i konsideron q</w:t>
            </w:r>
            <w:r w:rsidRPr="00474D79">
              <w:rPr>
                <w:rFonts w:ascii="Garamond" w:eastAsia="Times New Roman" w:hAnsi="Garamond" w:cs="Times New Roman"/>
                <w:sz w:val="16"/>
                <w:lang w:eastAsia="en-GB"/>
              </w:rPr>
              <w:t>ë</w:t>
            </w:r>
            <w:r w:rsidR="00EF09E3" w:rsidRPr="00474D79">
              <w:rPr>
                <w:rFonts w:ascii="Garamond" w:eastAsia="Times New Roman" w:hAnsi="Garamond" w:cs="Times New Roman"/>
                <w:sz w:val="16"/>
                <w:lang w:eastAsia="en-GB"/>
              </w:rPr>
              <w:t xml:space="preserve"> kan</w:t>
            </w:r>
            <w:r w:rsidRPr="00474D79">
              <w:rPr>
                <w:rFonts w:ascii="Garamond" w:eastAsia="Times New Roman" w:hAnsi="Garamond" w:cs="Times New Roman"/>
                <w:sz w:val="16"/>
                <w:lang w:eastAsia="en-GB"/>
              </w:rPr>
              <w:t>ë</w:t>
            </w:r>
            <w:r w:rsidR="00EF09E3" w:rsidRPr="00474D79">
              <w:rPr>
                <w:rFonts w:ascii="Garamond" w:eastAsia="Times New Roman" w:hAnsi="Garamond" w:cs="Times New Roman"/>
                <w:sz w:val="16"/>
                <w:lang w:eastAsia="en-GB"/>
              </w:rPr>
              <w:t xml:space="preserve"> impakt direkt n</w:t>
            </w:r>
            <w:r w:rsidRPr="00474D79">
              <w:rPr>
                <w:rFonts w:ascii="Garamond" w:eastAsia="Times New Roman" w:hAnsi="Garamond" w:cs="Times New Roman"/>
                <w:sz w:val="16"/>
                <w:lang w:eastAsia="en-GB"/>
              </w:rPr>
              <w:t>ë</w:t>
            </w:r>
            <w:r w:rsidR="00EF09E3" w:rsidRPr="00474D79">
              <w:rPr>
                <w:rFonts w:ascii="Garamond" w:eastAsia="Times New Roman" w:hAnsi="Garamond" w:cs="Times New Roman"/>
                <w:sz w:val="16"/>
                <w:lang w:eastAsia="en-GB"/>
              </w:rPr>
              <w:t xml:space="preserve"> drejtim t</w:t>
            </w:r>
            <w:r w:rsidRPr="00474D79">
              <w:rPr>
                <w:rFonts w:ascii="Garamond" w:eastAsia="Times New Roman" w:hAnsi="Garamond" w:cs="Times New Roman"/>
                <w:sz w:val="16"/>
                <w:lang w:eastAsia="en-GB"/>
              </w:rPr>
              <w:t>ë</w:t>
            </w:r>
            <w:r w:rsidR="00EF09E3" w:rsidRPr="00474D79">
              <w:rPr>
                <w:rFonts w:ascii="Garamond" w:eastAsia="Times New Roman" w:hAnsi="Garamond" w:cs="Times New Roman"/>
                <w:sz w:val="16"/>
                <w:lang w:eastAsia="en-GB"/>
              </w:rPr>
              <w:t xml:space="preserve"> sistemeve t</w:t>
            </w:r>
            <w:r w:rsidRPr="00474D79">
              <w:rPr>
                <w:rFonts w:ascii="Garamond" w:eastAsia="Times New Roman" w:hAnsi="Garamond" w:cs="Times New Roman"/>
                <w:sz w:val="16"/>
                <w:lang w:eastAsia="en-GB"/>
              </w:rPr>
              <w:t>ë</w:t>
            </w:r>
            <w:r w:rsidR="00EF09E3" w:rsidRPr="00474D79">
              <w:rPr>
                <w:rFonts w:ascii="Garamond" w:eastAsia="Times New Roman" w:hAnsi="Garamond" w:cs="Times New Roman"/>
                <w:sz w:val="16"/>
                <w:lang w:eastAsia="en-GB"/>
              </w:rPr>
              <w:t xml:space="preserve"> kontrollit dhe efektivitetit t</w:t>
            </w:r>
            <w:r w:rsidRPr="00474D79">
              <w:rPr>
                <w:rFonts w:ascii="Garamond" w:eastAsia="Times New Roman" w:hAnsi="Garamond" w:cs="Times New Roman"/>
                <w:sz w:val="16"/>
                <w:lang w:eastAsia="en-GB"/>
              </w:rPr>
              <w:t>ë</w:t>
            </w:r>
            <w:r w:rsidR="00EF09E3" w:rsidRPr="00474D79">
              <w:rPr>
                <w:rFonts w:ascii="Garamond" w:eastAsia="Times New Roman" w:hAnsi="Garamond" w:cs="Times New Roman"/>
                <w:sz w:val="16"/>
                <w:lang w:eastAsia="en-GB"/>
              </w:rPr>
              <w:t xml:space="preserve"> saj</w:t>
            </w:r>
            <w:r w:rsidRPr="00474D79">
              <w:rPr>
                <w:rFonts w:ascii="Garamond" w:eastAsia="Times New Roman" w:hAnsi="Garamond" w:cs="Times New Roman"/>
                <w:sz w:val="16"/>
                <w:lang w:eastAsia="en-GB"/>
              </w:rPr>
              <w:t>,</w:t>
            </w:r>
            <w:r w:rsidR="00EF09E3" w:rsidRPr="00474D79">
              <w:rPr>
                <w:rFonts w:ascii="Garamond" w:eastAsia="Times New Roman" w:hAnsi="Garamond" w:cs="Times New Roman"/>
                <w:sz w:val="16"/>
                <w:lang w:eastAsia="en-GB"/>
              </w:rPr>
              <w:t xml:space="preserve"> edhe pse impakti financiar mund t</w:t>
            </w:r>
            <w:r w:rsidRPr="00474D79">
              <w:rPr>
                <w:rFonts w:ascii="Garamond" w:eastAsia="Times New Roman" w:hAnsi="Garamond" w:cs="Times New Roman"/>
                <w:sz w:val="16"/>
                <w:lang w:eastAsia="en-GB"/>
              </w:rPr>
              <w:t>ë</w:t>
            </w:r>
            <w:r w:rsidR="00EF09E3" w:rsidRPr="00474D79">
              <w:rPr>
                <w:rFonts w:ascii="Garamond" w:eastAsia="Times New Roman" w:hAnsi="Garamond" w:cs="Times New Roman"/>
                <w:sz w:val="16"/>
                <w:lang w:eastAsia="en-GB"/>
              </w:rPr>
              <w:t xml:space="preserve"> jet</w:t>
            </w:r>
            <w:r w:rsidRPr="00474D79">
              <w:rPr>
                <w:rFonts w:ascii="Garamond" w:eastAsia="Times New Roman" w:hAnsi="Garamond" w:cs="Times New Roman"/>
                <w:sz w:val="16"/>
                <w:lang w:eastAsia="en-GB"/>
              </w:rPr>
              <w:t>ë</w:t>
            </w:r>
            <w:r w:rsidR="00EF09E3" w:rsidRPr="00474D79">
              <w:rPr>
                <w:rFonts w:ascii="Garamond" w:eastAsia="Times New Roman" w:hAnsi="Garamond" w:cs="Times New Roman"/>
                <w:sz w:val="16"/>
                <w:lang w:eastAsia="en-GB"/>
              </w:rPr>
              <w:t xml:space="preserve"> &lt; 20%</w:t>
            </w:r>
            <w:r w:rsidR="008542B7" w:rsidRPr="00474D79">
              <w:rPr>
                <w:rFonts w:ascii="Garamond" w:eastAsia="Times New Roman" w:hAnsi="Garamond" w:cs="Times New Roman"/>
                <w:sz w:val="16"/>
                <w:lang w:eastAsia="en-GB"/>
              </w:rPr>
              <w:t>.</w:t>
            </w:r>
          </w:p>
        </w:tc>
      </w:tr>
      <w:tr w:rsidR="00EF09E3" w:rsidRPr="00474D79" w14:paraId="6E2503DB" w14:textId="77777777" w:rsidTr="00D20524">
        <w:trPr>
          <w:trHeight w:val="255"/>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2503D8"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16</w:t>
            </w:r>
          </w:p>
        </w:tc>
        <w:tc>
          <w:tcPr>
            <w:tcW w:w="985" w:type="pct"/>
            <w:tcBorders>
              <w:top w:val="single" w:sz="4" w:space="0" w:color="auto"/>
              <w:left w:val="nil"/>
              <w:bottom w:val="single" w:sz="4" w:space="0" w:color="auto"/>
              <w:right w:val="single" w:sz="4" w:space="0" w:color="auto"/>
            </w:tcBorders>
            <w:shd w:val="clear" w:color="auto" w:fill="auto"/>
            <w:vAlign w:val="center"/>
            <w:hideMark/>
          </w:tcPr>
          <w:p w14:paraId="6E2503D9"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Numri i rasteve të identifikuara si mashtrim</w:t>
            </w:r>
          </w:p>
        </w:tc>
        <w:tc>
          <w:tcPr>
            <w:tcW w:w="3714" w:type="pct"/>
            <w:tcBorders>
              <w:top w:val="single" w:sz="4" w:space="0" w:color="auto"/>
              <w:left w:val="nil"/>
              <w:bottom w:val="single" w:sz="4" w:space="0" w:color="auto"/>
              <w:right w:val="single" w:sz="4" w:space="0" w:color="auto"/>
            </w:tcBorders>
            <w:shd w:val="clear" w:color="auto" w:fill="auto"/>
            <w:noWrap/>
            <w:vAlign w:val="center"/>
            <w:hideMark/>
          </w:tcPr>
          <w:p w14:paraId="6E2503DA"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 xml:space="preserve">Numri i rasteve të identifikuara si mashtrim nga subjekti gjatë periudhës së raportimit. Nga ky </w:t>
            </w:r>
            <w:r w:rsidR="00423B40" w:rsidRPr="00474D79">
              <w:rPr>
                <w:rFonts w:ascii="Garamond" w:eastAsia="Times New Roman" w:hAnsi="Garamond" w:cs="Times New Roman"/>
                <w:sz w:val="16"/>
                <w:lang w:eastAsia="en-GB"/>
              </w:rPr>
              <w:t xml:space="preserve">tregues </w:t>
            </w:r>
            <w:r w:rsidRPr="00474D79">
              <w:rPr>
                <w:rFonts w:ascii="Garamond" w:eastAsia="Times New Roman" w:hAnsi="Garamond" w:cs="Times New Roman"/>
                <w:sz w:val="16"/>
                <w:lang w:eastAsia="en-GB"/>
              </w:rPr>
              <w:t>përjashtohen mashtrimet me kartat.</w:t>
            </w:r>
          </w:p>
        </w:tc>
      </w:tr>
      <w:tr w:rsidR="00EF09E3" w:rsidRPr="00474D79" w14:paraId="6E2503DF" w14:textId="77777777" w:rsidTr="00D20524">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tcPr>
          <w:p w14:paraId="6E2503DC"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17</w:t>
            </w:r>
          </w:p>
        </w:tc>
        <w:tc>
          <w:tcPr>
            <w:tcW w:w="985" w:type="pct"/>
            <w:tcBorders>
              <w:top w:val="nil"/>
              <w:left w:val="nil"/>
              <w:bottom w:val="single" w:sz="4" w:space="0" w:color="auto"/>
              <w:right w:val="single" w:sz="4" w:space="0" w:color="auto"/>
            </w:tcBorders>
            <w:shd w:val="clear" w:color="auto" w:fill="auto"/>
            <w:vAlign w:val="center"/>
            <w:hideMark/>
          </w:tcPr>
          <w:p w14:paraId="6E2503DD"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 xml:space="preserve">Thyerja e limiteve të brendshme të mbajtjes së </w:t>
            </w:r>
            <w:r w:rsidRPr="00474D79">
              <w:rPr>
                <w:rFonts w:ascii="Garamond" w:eastAsia="Times New Roman" w:hAnsi="Garamond" w:cs="Times New Roman"/>
                <w:i/>
                <w:sz w:val="16"/>
                <w:lang w:eastAsia="en-GB"/>
              </w:rPr>
              <w:t>cash</w:t>
            </w:r>
            <w:r w:rsidRPr="00474D79">
              <w:rPr>
                <w:rFonts w:ascii="Garamond" w:eastAsia="Times New Roman" w:hAnsi="Garamond" w:cs="Times New Roman"/>
                <w:sz w:val="16"/>
                <w:lang w:eastAsia="en-GB"/>
              </w:rPr>
              <w:t>-it në degë</w:t>
            </w:r>
          </w:p>
        </w:tc>
        <w:tc>
          <w:tcPr>
            <w:tcW w:w="3714" w:type="pct"/>
            <w:tcBorders>
              <w:top w:val="nil"/>
              <w:left w:val="nil"/>
              <w:bottom w:val="single" w:sz="4" w:space="0" w:color="auto"/>
              <w:right w:val="single" w:sz="4" w:space="0" w:color="auto"/>
            </w:tcBorders>
            <w:shd w:val="clear" w:color="auto" w:fill="auto"/>
            <w:vAlign w:val="center"/>
            <w:hideMark/>
          </w:tcPr>
          <w:p w14:paraId="6E2503DE"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 xml:space="preserve">Numri i rasteve të identifikuara të thyerjes së limiteve në fund të ditës për </w:t>
            </w:r>
            <w:r w:rsidRPr="00474D79">
              <w:rPr>
                <w:rFonts w:ascii="Garamond" w:eastAsia="Times New Roman" w:hAnsi="Garamond" w:cs="Times New Roman"/>
                <w:i/>
                <w:sz w:val="16"/>
                <w:lang w:eastAsia="en-GB"/>
              </w:rPr>
              <w:t>cash</w:t>
            </w:r>
            <w:r w:rsidRPr="00474D79">
              <w:rPr>
                <w:rFonts w:ascii="Garamond" w:eastAsia="Times New Roman" w:hAnsi="Garamond" w:cs="Times New Roman"/>
                <w:sz w:val="16"/>
                <w:lang w:eastAsia="en-GB"/>
              </w:rPr>
              <w:t>-in e mbajtur në degë gjatë periudhës së raportimit.</w:t>
            </w:r>
          </w:p>
        </w:tc>
      </w:tr>
      <w:tr w:rsidR="00EF09E3" w:rsidRPr="00474D79" w14:paraId="6E2503E3" w14:textId="77777777" w:rsidTr="00D20524">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tcPr>
          <w:p w14:paraId="6E2503E0"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18</w:t>
            </w:r>
          </w:p>
        </w:tc>
        <w:tc>
          <w:tcPr>
            <w:tcW w:w="985" w:type="pct"/>
            <w:tcBorders>
              <w:top w:val="nil"/>
              <w:left w:val="nil"/>
              <w:bottom w:val="single" w:sz="4" w:space="0" w:color="auto"/>
              <w:right w:val="single" w:sz="4" w:space="0" w:color="auto"/>
            </w:tcBorders>
            <w:shd w:val="clear" w:color="auto" w:fill="auto"/>
            <w:vAlign w:val="center"/>
            <w:hideMark/>
          </w:tcPr>
          <w:p w14:paraId="6E2503E1"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Numri i transfertave të gabuara në nisje (</w:t>
            </w:r>
            <w:r w:rsidRPr="00474D79">
              <w:rPr>
                <w:rFonts w:ascii="Garamond" w:eastAsia="Times New Roman" w:hAnsi="Garamond" w:cs="Times New Roman"/>
                <w:i/>
                <w:sz w:val="16"/>
                <w:lang w:eastAsia="en-GB"/>
              </w:rPr>
              <w:t>outgoing</w:t>
            </w:r>
            <w:r w:rsidRPr="00474D79">
              <w:rPr>
                <w:rFonts w:ascii="Garamond" w:eastAsia="Times New Roman" w:hAnsi="Garamond" w:cs="Times New Roman"/>
                <w:sz w:val="16"/>
                <w:lang w:eastAsia="en-GB"/>
              </w:rPr>
              <w:t>)</w:t>
            </w:r>
          </w:p>
        </w:tc>
        <w:tc>
          <w:tcPr>
            <w:tcW w:w="3714" w:type="pct"/>
            <w:tcBorders>
              <w:top w:val="nil"/>
              <w:left w:val="nil"/>
              <w:bottom w:val="single" w:sz="4" w:space="0" w:color="auto"/>
              <w:right w:val="single" w:sz="4" w:space="0" w:color="auto"/>
            </w:tcBorders>
            <w:shd w:val="clear" w:color="auto" w:fill="auto"/>
            <w:vAlign w:val="center"/>
            <w:hideMark/>
          </w:tcPr>
          <w:p w14:paraId="6E2503E2"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 xml:space="preserve">Numri total i transfertave (kombëtare dhe ndërkombëtare) në nisje, të kthyera mbrapsht </w:t>
            </w:r>
            <w:r w:rsidR="00B560C6" w:rsidRPr="00474D79">
              <w:rPr>
                <w:rFonts w:ascii="Garamond" w:eastAsia="Times New Roman" w:hAnsi="Garamond" w:cs="Times New Roman"/>
                <w:sz w:val="16"/>
                <w:lang w:eastAsia="en-GB"/>
              </w:rPr>
              <w:t xml:space="preserve">ose të sistemuara, </w:t>
            </w:r>
            <w:r w:rsidRPr="00474D79">
              <w:rPr>
                <w:rFonts w:ascii="Garamond" w:eastAsia="Times New Roman" w:hAnsi="Garamond" w:cs="Times New Roman"/>
                <w:sz w:val="16"/>
                <w:lang w:eastAsia="en-GB"/>
              </w:rPr>
              <w:t>për shkak të gabimeve të realizuara gjatë periudhës raportuese.</w:t>
            </w:r>
            <w:r w:rsidRPr="00474D79">
              <w:rPr>
                <w:rFonts w:ascii="Garamond" w:hAnsi="Garamond"/>
                <w:sz w:val="16"/>
              </w:rPr>
              <w:t xml:space="preserve"> </w:t>
            </w:r>
            <w:r w:rsidRPr="00474D79">
              <w:rPr>
                <w:rFonts w:ascii="Garamond" w:eastAsia="Times New Roman" w:hAnsi="Garamond" w:cs="Times New Roman"/>
                <w:sz w:val="16"/>
                <w:lang w:eastAsia="en-GB"/>
              </w:rPr>
              <w:t>Në raportim do të përfshihen të gjitha rastet e procesuara gabim nga subjekti</w:t>
            </w:r>
            <w:r w:rsidR="008542B7" w:rsidRPr="00474D79">
              <w:rPr>
                <w:rFonts w:ascii="Garamond" w:eastAsia="Times New Roman" w:hAnsi="Garamond" w:cs="Times New Roman"/>
                <w:sz w:val="16"/>
                <w:lang w:eastAsia="en-GB"/>
              </w:rPr>
              <w:t>,</w:t>
            </w:r>
            <w:r w:rsidRPr="00474D79">
              <w:rPr>
                <w:rFonts w:ascii="Garamond" w:eastAsia="Times New Roman" w:hAnsi="Garamond" w:cs="Times New Roman"/>
                <w:sz w:val="16"/>
                <w:lang w:eastAsia="en-GB"/>
              </w:rPr>
              <w:t xml:space="preserve"> përjashtuar raste</w:t>
            </w:r>
            <w:r w:rsidR="004D7626" w:rsidRPr="00474D79">
              <w:rPr>
                <w:rFonts w:ascii="Garamond" w:eastAsia="Times New Roman" w:hAnsi="Garamond" w:cs="Times New Roman"/>
                <w:sz w:val="16"/>
                <w:lang w:eastAsia="en-GB"/>
              </w:rPr>
              <w:t>t</w:t>
            </w:r>
            <w:r w:rsidRPr="00474D79">
              <w:rPr>
                <w:rFonts w:ascii="Garamond" w:eastAsia="Times New Roman" w:hAnsi="Garamond" w:cs="Times New Roman"/>
                <w:sz w:val="16"/>
                <w:lang w:eastAsia="en-GB"/>
              </w:rPr>
              <w:t xml:space="preserve"> kur gabimi vjen nga klienti.</w:t>
            </w:r>
          </w:p>
        </w:tc>
      </w:tr>
      <w:tr w:rsidR="00EF09E3" w:rsidRPr="00474D79" w14:paraId="6E2503E7" w14:textId="77777777" w:rsidTr="00D20524">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tcPr>
          <w:p w14:paraId="6E2503E4"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19</w:t>
            </w:r>
          </w:p>
        </w:tc>
        <w:tc>
          <w:tcPr>
            <w:tcW w:w="985" w:type="pct"/>
            <w:tcBorders>
              <w:top w:val="nil"/>
              <w:left w:val="nil"/>
              <w:bottom w:val="single" w:sz="4" w:space="0" w:color="auto"/>
              <w:right w:val="single" w:sz="4" w:space="0" w:color="auto"/>
            </w:tcBorders>
            <w:shd w:val="clear" w:color="auto" w:fill="auto"/>
            <w:vAlign w:val="center"/>
            <w:hideMark/>
          </w:tcPr>
          <w:p w14:paraId="6E2503E5"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Numri i kolateraleve hipotek</w:t>
            </w:r>
            <w:r w:rsidR="002B3907" w:rsidRPr="00474D79">
              <w:rPr>
                <w:rFonts w:ascii="Garamond" w:eastAsia="Times New Roman" w:hAnsi="Garamond" w:cs="Times New Roman"/>
                <w:sz w:val="16"/>
                <w:lang w:eastAsia="en-GB"/>
              </w:rPr>
              <w:t>a</w:t>
            </w:r>
            <w:r w:rsidRPr="00474D79">
              <w:rPr>
                <w:rFonts w:ascii="Garamond" w:eastAsia="Times New Roman" w:hAnsi="Garamond" w:cs="Times New Roman"/>
                <w:sz w:val="16"/>
                <w:lang w:eastAsia="en-GB"/>
              </w:rPr>
              <w:t>re të regjistruar të cilëve iu ka mbaruar afati i sigurimit</w:t>
            </w:r>
          </w:p>
        </w:tc>
        <w:tc>
          <w:tcPr>
            <w:tcW w:w="3714" w:type="pct"/>
            <w:tcBorders>
              <w:top w:val="nil"/>
              <w:left w:val="nil"/>
              <w:bottom w:val="single" w:sz="4" w:space="0" w:color="auto"/>
              <w:right w:val="single" w:sz="4" w:space="0" w:color="auto"/>
            </w:tcBorders>
            <w:shd w:val="clear" w:color="auto" w:fill="auto"/>
            <w:vAlign w:val="center"/>
            <w:hideMark/>
          </w:tcPr>
          <w:p w14:paraId="6E2503E6" w14:textId="50249BEC"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Numri i kolateraleve hipotek</w:t>
            </w:r>
            <w:r w:rsidR="002B3907" w:rsidRPr="00474D79">
              <w:rPr>
                <w:rFonts w:ascii="Garamond" w:eastAsia="Times New Roman" w:hAnsi="Garamond" w:cs="Times New Roman"/>
                <w:sz w:val="16"/>
                <w:lang w:eastAsia="en-GB"/>
              </w:rPr>
              <w:t>a</w:t>
            </w:r>
            <w:r w:rsidRPr="00474D79">
              <w:rPr>
                <w:rFonts w:ascii="Garamond" w:eastAsia="Times New Roman" w:hAnsi="Garamond" w:cs="Times New Roman"/>
                <w:sz w:val="16"/>
                <w:lang w:eastAsia="en-GB"/>
              </w:rPr>
              <w:t>re për individë dhe biznese të cil</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ve iu ka mbaruar afati i sigurimit dhe janë t</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detyruesh</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m p</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r </w:t>
            </w:r>
            <w:r w:rsidR="002F4A24">
              <w:rPr>
                <w:rFonts w:ascii="Garamond" w:eastAsia="Times New Roman" w:hAnsi="Garamond" w:cs="Times New Roman"/>
                <w:sz w:val="16"/>
                <w:lang w:eastAsia="en-GB"/>
              </w:rPr>
              <w:t xml:space="preserve">t’u </w:t>
            </w:r>
            <w:r w:rsidRPr="00474D79">
              <w:rPr>
                <w:rFonts w:ascii="Garamond" w:eastAsia="Times New Roman" w:hAnsi="Garamond" w:cs="Times New Roman"/>
                <w:sz w:val="16"/>
                <w:lang w:eastAsia="en-GB"/>
              </w:rPr>
              <w:t xml:space="preserve">siguruar. </w:t>
            </w:r>
          </w:p>
        </w:tc>
      </w:tr>
      <w:tr w:rsidR="00EF09E3" w:rsidRPr="00474D79" w14:paraId="6E2503EC" w14:textId="77777777" w:rsidTr="00D20524">
        <w:trPr>
          <w:trHeight w:val="225"/>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2503E8"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20</w:t>
            </w:r>
          </w:p>
        </w:tc>
        <w:tc>
          <w:tcPr>
            <w:tcW w:w="985" w:type="pct"/>
            <w:tcBorders>
              <w:top w:val="single" w:sz="4" w:space="0" w:color="auto"/>
              <w:left w:val="nil"/>
              <w:bottom w:val="single" w:sz="4" w:space="0" w:color="auto"/>
              <w:right w:val="single" w:sz="4" w:space="0" w:color="auto"/>
            </w:tcBorders>
            <w:shd w:val="clear" w:color="auto" w:fill="auto"/>
            <w:vAlign w:val="center"/>
          </w:tcPr>
          <w:p w14:paraId="6E2503E9"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Kredi t</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reja me probleme</w:t>
            </w:r>
          </w:p>
        </w:tc>
        <w:tc>
          <w:tcPr>
            <w:tcW w:w="3714" w:type="pct"/>
            <w:tcBorders>
              <w:top w:val="single" w:sz="4" w:space="0" w:color="auto"/>
              <w:left w:val="nil"/>
              <w:bottom w:val="single" w:sz="4" w:space="0" w:color="auto"/>
              <w:right w:val="single" w:sz="4" w:space="0" w:color="auto"/>
            </w:tcBorders>
            <w:shd w:val="clear" w:color="auto" w:fill="auto"/>
            <w:vAlign w:val="center"/>
          </w:tcPr>
          <w:p w14:paraId="6E2503EA"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Numri i kredive t</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reja me probleme ndaj numrit total t</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kredive t</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reja t</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disbursuara gjat</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periudhës raportuese</w:t>
            </w:r>
            <w:r w:rsidRPr="00474D79" w:rsidDel="00B05F45">
              <w:rPr>
                <w:rFonts w:ascii="Garamond" w:eastAsia="Times New Roman" w:hAnsi="Garamond" w:cs="Times New Roman"/>
                <w:sz w:val="16"/>
                <w:lang w:eastAsia="en-GB"/>
              </w:rPr>
              <w:t xml:space="preserve"> </w:t>
            </w:r>
            <w:r w:rsidRPr="00474D79">
              <w:rPr>
                <w:rFonts w:ascii="Garamond" w:eastAsia="Times New Roman" w:hAnsi="Garamond" w:cs="Times New Roman"/>
                <w:sz w:val="16"/>
                <w:lang w:eastAsia="en-GB"/>
              </w:rPr>
              <w:t>(n</w:t>
            </w:r>
            <w:r w:rsidR="008542B7" w:rsidRPr="00474D79">
              <w:rPr>
                <w:rFonts w:ascii="Garamond" w:eastAsia="Times New Roman" w:hAnsi="Garamond" w:cs="Times New Roman"/>
                <w:sz w:val="16"/>
                <w:lang w:eastAsia="en-GB"/>
              </w:rPr>
              <w:t xml:space="preserve">ë </w:t>
            </w:r>
            <w:r w:rsidRPr="00474D79">
              <w:rPr>
                <w:rFonts w:ascii="Garamond" w:eastAsia="Times New Roman" w:hAnsi="Garamond" w:cs="Times New Roman"/>
                <w:sz w:val="16"/>
                <w:lang w:eastAsia="en-GB"/>
              </w:rPr>
              <w:t>%)</w:t>
            </w:r>
            <w:r w:rsidR="008542B7" w:rsidRPr="00474D79">
              <w:rPr>
                <w:rFonts w:ascii="Garamond" w:eastAsia="Times New Roman" w:hAnsi="Garamond" w:cs="Times New Roman"/>
                <w:sz w:val="16"/>
                <w:lang w:eastAsia="en-GB"/>
              </w:rPr>
              <w:t>.</w:t>
            </w:r>
          </w:p>
          <w:p w14:paraId="6E2503EB"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numërues përfshihen kreditë e reja me probleme p</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r t</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cilat nuk kanë kaluar 90 dit</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nga momenti i pages</w:t>
            </w:r>
            <w:r w:rsidR="008542B7"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s. </w:t>
            </w:r>
          </w:p>
        </w:tc>
      </w:tr>
      <w:tr w:rsidR="00EF09E3" w:rsidRPr="00474D79" w14:paraId="6E2503F0" w14:textId="77777777" w:rsidTr="00D20524">
        <w:trPr>
          <w:trHeight w:val="171"/>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2503ED"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lang w:eastAsia="en-GB"/>
              </w:rPr>
              <w:t>21</w:t>
            </w:r>
          </w:p>
        </w:tc>
        <w:tc>
          <w:tcPr>
            <w:tcW w:w="985" w:type="pct"/>
            <w:tcBorders>
              <w:top w:val="single" w:sz="4" w:space="0" w:color="auto"/>
              <w:left w:val="nil"/>
              <w:bottom w:val="single" w:sz="4" w:space="0" w:color="auto"/>
              <w:right w:val="single" w:sz="4" w:space="0" w:color="auto"/>
            </w:tcBorders>
            <w:shd w:val="clear" w:color="auto" w:fill="auto"/>
            <w:vAlign w:val="center"/>
          </w:tcPr>
          <w:p w14:paraId="6E2503EE"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i/>
                <w:sz w:val="16"/>
                <w:lang w:eastAsia="en-GB"/>
              </w:rPr>
              <w:t>Outsourcing</w:t>
            </w:r>
            <w:r w:rsidRPr="00474D79">
              <w:rPr>
                <w:rFonts w:ascii="Garamond" w:eastAsia="Times New Roman" w:hAnsi="Garamond" w:cs="Times New Roman"/>
                <w:sz w:val="16"/>
                <w:lang w:eastAsia="en-GB"/>
              </w:rPr>
              <w:t xml:space="preserve"> kritik pa kryer vlerësim vjetor të rrezikut t</w:t>
            </w:r>
            <w:r w:rsidR="001F01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sigurisë së informacionit dhe vazhdimësisë s</w:t>
            </w:r>
            <w:r w:rsidR="001F01CA"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biznesit</w:t>
            </w:r>
          </w:p>
        </w:tc>
        <w:tc>
          <w:tcPr>
            <w:tcW w:w="3714" w:type="pct"/>
            <w:tcBorders>
              <w:top w:val="single" w:sz="4" w:space="0" w:color="auto"/>
              <w:left w:val="nil"/>
              <w:bottom w:val="single" w:sz="4" w:space="0" w:color="auto"/>
              <w:right w:val="single" w:sz="4" w:space="0" w:color="auto"/>
            </w:tcBorders>
            <w:shd w:val="clear" w:color="auto" w:fill="auto"/>
            <w:vAlign w:val="center"/>
          </w:tcPr>
          <w:p w14:paraId="6E2503EF" w14:textId="3B3A0FDE"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Numri i ofruesve të shërbimeve me pal</w:t>
            </w:r>
            <w:r w:rsidR="00F12DB0"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t</w:t>
            </w:r>
            <w:r w:rsidR="00C1248D" w:rsidRPr="00474D79">
              <w:rPr>
                <w:rFonts w:ascii="Garamond" w:eastAsia="Times New Roman" w:hAnsi="Garamond" w:cs="Times New Roman"/>
                <w:sz w:val="16"/>
                <w:lang w:eastAsia="en-GB"/>
              </w:rPr>
              <w:t>ë</w:t>
            </w:r>
            <w:r w:rsidRPr="00474D79">
              <w:rPr>
                <w:rFonts w:ascii="Garamond" w:eastAsia="Times New Roman" w:hAnsi="Garamond" w:cs="Times New Roman"/>
                <w:sz w:val="16"/>
                <w:lang w:eastAsia="en-GB"/>
              </w:rPr>
              <w:t xml:space="preserve"> treta (</w:t>
            </w:r>
            <w:r w:rsidRPr="00474D79">
              <w:rPr>
                <w:rFonts w:ascii="Garamond" w:eastAsia="Times New Roman" w:hAnsi="Garamond" w:cs="Times New Roman"/>
                <w:i/>
                <w:sz w:val="16"/>
                <w:lang w:eastAsia="en-GB"/>
              </w:rPr>
              <w:t>outsourcing</w:t>
            </w:r>
            <w:r w:rsidRPr="00474D79">
              <w:rPr>
                <w:rFonts w:ascii="Garamond" w:eastAsia="Times New Roman" w:hAnsi="Garamond" w:cs="Times New Roman"/>
                <w:sz w:val="16"/>
                <w:lang w:eastAsia="en-GB"/>
              </w:rPr>
              <w:t>)</w:t>
            </w:r>
            <w:r w:rsidR="002F4A24">
              <w:rPr>
                <w:rFonts w:ascii="Garamond" w:eastAsia="Times New Roman" w:hAnsi="Garamond" w:cs="Times New Roman"/>
                <w:sz w:val="16"/>
                <w:lang w:eastAsia="en-GB"/>
              </w:rPr>
              <w:t xml:space="preserve"> </w:t>
            </w:r>
            <w:r w:rsidRPr="00474D79">
              <w:rPr>
                <w:rFonts w:ascii="Garamond" w:eastAsia="Times New Roman" w:hAnsi="Garamond" w:cs="Times New Roman"/>
                <w:sz w:val="16"/>
                <w:lang w:eastAsia="en-GB"/>
              </w:rPr>
              <w:t xml:space="preserve">të vlerësuara si kritike nga subjekti, për të cilët nuk është kryer vlerësim vjetor i sigurisë së informacionit </w:t>
            </w:r>
            <w:r w:rsidR="00B560C6" w:rsidRPr="00474D79">
              <w:rPr>
                <w:rFonts w:ascii="Garamond" w:eastAsia="Times New Roman" w:hAnsi="Garamond" w:cs="Times New Roman"/>
                <w:sz w:val="16"/>
                <w:lang w:eastAsia="en-GB"/>
              </w:rPr>
              <w:t xml:space="preserve">dhe vazhdimësisë së biznesit, </w:t>
            </w:r>
            <w:r w:rsidRPr="00474D79">
              <w:rPr>
                <w:rFonts w:ascii="Garamond" w:eastAsia="Times New Roman" w:hAnsi="Garamond" w:cs="Times New Roman"/>
                <w:sz w:val="16"/>
                <w:lang w:eastAsia="en-GB"/>
              </w:rPr>
              <w:t xml:space="preserve">në datën e mbylljes së periudhës raportuese. </w:t>
            </w:r>
          </w:p>
        </w:tc>
      </w:tr>
      <w:tr w:rsidR="00EF09E3" w:rsidRPr="00474D79" w14:paraId="6E2503F4" w14:textId="77777777" w:rsidTr="00D20524">
        <w:trPr>
          <w:trHeight w:val="171"/>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2503F1"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rPr>
              <w:t>22</w:t>
            </w:r>
          </w:p>
        </w:tc>
        <w:tc>
          <w:tcPr>
            <w:tcW w:w="985" w:type="pct"/>
            <w:tcBorders>
              <w:top w:val="single" w:sz="4" w:space="0" w:color="auto"/>
              <w:left w:val="nil"/>
              <w:bottom w:val="single" w:sz="4" w:space="0" w:color="auto"/>
              <w:right w:val="single" w:sz="4" w:space="0" w:color="auto"/>
            </w:tcBorders>
            <w:shd w:val="clear" w:color="auto" w:fill="auto"/>
            <w:vAlign w:val="center"/>
          </w:tcPr>
          <w:p w14:paraId="6E2503F2" w14:textId="77777777" w:rsidR="00EF09E3" w:rsidRPr="00474D79" w:rsidRDefault="00EF09E3" w:rsidP="00FD3EF9">
            <w:pPr>
              <w:spacing w:after="0" w:line="240" w:lineRule="auto"/>
              <w:jc w:val="both"/>
              <w:rPr>
                <w:rFonts w:ascii="Garamond" w:eastAsia="Times New Roman" w:hAnsi="Garamond" w:cs="Times New Roman"/>
                <w:i/>
                <w:sz w:val="16"/>
                <w:lang w:eastAsia="en-GB"/>
              </w:rPr>
            </w:pPr>
            <w:r w:rsidRPr="00474D79">
              <w:rPr>
                <w:rFonts w:ascii="Garamond" w:eastAsia="Times New Roman" w:hAnsi="Garamond" w:cs="Times New Roman"/>
                <w:sz w:val="16"/>
                <w:lang w:eastAsia="en-GB"/>
              </w:rPr>
              <w:t xml:space="preserve">Numri i ngjarjeve kur mbulimi i fondeve të </w:t>
            </w:r>
            <w:r w:rsidR="00324CC0" w:rsidRPr="00474D79">
              <w:rPr>
                <w:rFonts w:ascii="Garamond" w:eastAsia="Times New Roman" w:hAnsi="Garamond" w:cs="Times New Roman"/>
                <w:sz w:val="16"/>
                <w:lang w:eastAsia="en-GB"/>
              </w:rPr>
              <w:t>klientëve bie nën nivelin 100%*</w:t>
            </w:r>
          </w:p>
        </w:tc>
        <w:tc>
          <w:tcPr>
            <w:tcW w:w="3714" w:type="pct"/>
            <w:tcBorders>
              <w:top w:val="single" w:sz="4" w:space="0" w:color="auto"/>
              <w:left w:val="nil"/>
              <w:bottom w:val="single" w:sz="4" w:space="0" w:color="auto"/>
              <w:right w:val="single" w:sz="4" w:space="0" w:color="auto"/>
            </w:tcBorders>
            <w:shd w:val="clear" w:color="auto" w:fill="auto"/>
            <w:vAlign w:val="center"/>
          </w:tcPr>
          <w:p w14:paraId="6E2503F3"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Numri i ngjarjeve kur mbulimi i fondeve të klientëve bie nën nivelin 100%. Llogaritja e treguesit për qëllime të këtij raportimi realizohet në bazë ditore për periudhën e raportimit.</w:t>
            </w:r>
          </w:p>
        </w:tc>
      </w:tr>
      <w:tr w:rsidR="00EF09E3" w:rsidRPr="00474D79" w14:paraId="6E2503F8" w14:textId="77777777" w:rsidTr="00D20524">
        <w:trPr>
          <w:trHeight w:val="171"/>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2503F5" w14:textId="77777777" w:rsidR="00EF09E3" w:rsidRPr="00474D79" w:rsidRDefault="00EF09E3" w:rsidP="00FD3EF9">
            <w:pPr>
              <w:spacing w:after="0" w:line="240" w:lineRule="auto"/>
              <w:jc w:val="center"/>
              <w:rPr>
                <w:rFonts w:ascii="Garamond" w:eastAsia="Times New Roman" w:hAnsi="Garamond" w:cs="Times New Roman"/>
                <w:sz w:val="16"/>
                <w:lang w:eastAsia="en-GB"/>
              </w:rPr>
            </w:pPr>
            <w:r w:rsidRPr="00474D79">
              <w:rPr>
                <w:rFonts w:ascii="Garamond" w:eastAsia="Times New Roman" w:hAnsi="Garamond" w:cs="Times New Roman"/>
                <w:sz w:val="16"/>
              </w:rPr>
              <w:t>23</w:t>
            </w:r>
          </w:p>
        </w:tc>
        <w:tc>
          <w:tcPr>
            <w:tcW w:w="985" w:type="pct"/>
            <w:tcBorders>
              <w:top w:val="single" w:sz="4" w:space="0" w:color="auto"/>
              <w:left w:val="nil"/>
              <w:bottom w:val="single" w:sz="4" w:space="0" w:color="auto"/>
              <w:right w:val="single" w:sz="4" w:space="0" w:color="auto"/>
            </w:tcBorders>
            <w:shd w:val="clear" w:color="auto" w:fill="auto"/>
            <w:vAlign w:val="center"/>
          </w:tcPr>
          <w:p w14:paraId="6E2503F6" w14:textId="77777777" w:rsidR="00EF09E3" w:rsidRPr="00474D79" w:rsidRDefault="00EF09E3" w:rsidP="00FD3EF9">
            <w:pPr>
              <w:spacing w:after="0" w:line="240" w:lineRule="auto"/>
              <w:jc w:val="both"/>
              <w:rPr>
                <w:rFonts w:ascii="Garamond" w:eastAsia="Times New Roman" w:hAnsi="Garamond" w:cs="Times New Roman"/>
                <w:i/>
                <w:sz w:val="16"/>
                <w:lang w:eastAsia="en-GB"/>
              </w:rPr>
            </w:pPr>
            <w:r w:rsidRPr="00474D79">
              <w:rPr>
                <w:rFonts w:ascii="Garamond" w:eastAsia="Times New Roman" w:hAnsi="Garamond" w:cs="Times New Roman"/>
                <w:sz w:val="16"/>
                <w:lang w:eastAsia="en-GB"/>
              </w:rPr>
              <w:t>Vlera maksimale e shumës së fondeve të klientëve, e pambrojtur (</w:t>
            </w:r>
            <w:r w:rsidRPr="00474D79">
              <w:rPr>
                <w:rFonts w:ascii="Garamond" w:eastAsia="Times New Roman" w:hAnsi="Garamond" w:cs="Times New Roman"/>
                <w:i/>
                <w:sz w:val="16"/>
                <w:lang w:eastAsia="en-GB"/>
              </w:rPr>
              <w:t>safeguarding</w:t>
            </w:r>
            <w:r w:rsidRPr="00474D79">
              <w:rPr>
                <w:rFonts w:ascii="Garamond" w:eastAsia="Times New Roman" w:hAnsi="Garamond" w:cs="Times New Roman"/>
                <w:sz w:val="16"/>
                <w:lang w:eastAsia="en-GB"/>
              </w:rPr>
              <w:t>) sipas kë</w:t>
            </w:r>
            <w:r w:rsidR="00324CC0" w:rsidRPr="00474D79">
              <w:rPr>
                <w:rFonts w:ascii="Garamond" w:eastAsia="Times New Roman" w:hAnsi="Garamond" w:cs="Times New Roman"/>
                <w:sz w:val="16"/>
                <w:lang w:eastAsia="en-GB"/>
              </w:rPr>
              <w:t>rkesave ligjore e rregullative*</w:t>
            </w:r>
          </w:p>
        </w:tc>
        <w:tc>
          <w:tcPr>
            <w:tcW w:w="3714" w:type="pct"/>
            <w:tcBorders>
              <w:top w:val="single" w:sz="4" w:space="0" w:color="auto"/>
              <w:left w:val="nil"/>
              <w:bottom w:val="single" w:sz="4" w:space="0" w:color="auto"/>
              <w:right w:val="single" w:sz="4" w:space="0" w:color="auto"/>
            </w:tcBorders>
            <w:shd w:val="clear" w:color="auto" w:fill="auto"/>
            <w:vAlign w:val="center"/>
          </w:tcPr>
          <w:p w14:paraId="6E2503F7" w14:textId="77777777" w:rsidR="00EF09E3" w:rsidRPr="00474D79" w:rsidRDefault="00EF09E3" w:rsidP="00FD3EF9">
            <w:pPr>
              <w:spacing w:after="0" w:line="240" w:lineRule="auto"/>
              <w:jc w:val="both"/>
              <w:rPr>
                <w:rFonts w:ascii="Garamond" w:eastAsia="Times New Roman" w:hAnsi="Garamond" w:cs="Times New Roman"/>
                <w:sz w:val="16"/>
                <w:lang w:eastAsia="en-GB"/>
              </w:rPr>
            </w:pPr>
            <w:r w:rsidRPr="00474D79">
              <w:rPr>
                <w:rFonts w:ascii="Garamond" w:eastAsia="Times New Roman" w:hAnsi="Garamond" w:cs="Times New Roman"/>
                <w:sz w:val="16"/>
                <w:lang w:eastAsia="en-GB"/>
              </w:rPr>
              <w:t>Vlera maksimale e shumës së fondeve të klientëve, e pambrojtur (</w:t>
            </w:r>
            <w:r w:rsidRPr="00474D79">
              <w:rPr>
                <w:rFonts w:ascii="Garamond" w:eastAsia="Times New Roman" w:hAnsi="Garamond" w:cs="Times New Roman"/>
                <w:i/>
                <w:sz w:val="16"/>
                <w:lang w:eastAsia="en-GB"/>
              </w:rPr>
              <w:t>safeguarding</w:t>
            </w:r>
            <w:r w:rsidRPr="00474D79">
              <w:rPr>
                <w:rFonts w:ascii="Garamond" w:eastAsia="Times New Roman" w:hAnsi="Garamond" w:cs="Times New Roman"/>
                <w:sz w:val="16"/>
                <w:lang w:eastAsia="en-GB"/>
              </w:rPr>
              <w:t xml:space="preserve">) sipas kërkesave ligjore e rregullative, pra vlera më e lartë e fondeve e pambrojtur, që është evidentuar gjatë periudhës raportuese. </w:t>
            </w:r>
          </w:p>
        </w:tc>
      </w:tr>
    </w:tbl>
    <w:p w14:paraId="6E2503F9" w14:textId="77777777" w:rsidR="00324CC0" w:rsidRPr="00474D79" w:rsidRDefault="00324CC0" w:rsidP="00FD3EF9">
      <w:pPr>
        <w:spacing w:after="0" w:line="240" w:lineRule="auto"/>
        <w:jc w:val="both"/>
        <w:rPr>
          <w:rFonts w:ascii="Garamond" w:hAnsi="Garamond" w:cs="Times New Roman"/>
          <w:i/>
        </w:rPr>
      </w:pPr>
    </w:p>
    <w:p w14:paraId="133D80D9" w14:textId="77777777" w:rsidR="00D20524" w:rsidRPr="00474D79" w:rsidRDefault="00EF09E3" w:rsidP="00FD3EF9">
      <w:pPr>
        <w:spacing w:after="0" w:line="240" w:lineRule="auto"/>
        <w:jc w:val="both"/>
        <w:rPr>
          <w:rFonts w:ascii="Garamond" w:hAnsi="Garamond" w:cs="Times New Roman"/>
          <w:i/>
        </w:rPr>
      </w:pPr>
      <w:r w:rsidRPr="00474D79">
        <w:rPr>
          <w:rFonts w:ascii="Garamond" w:hAnsi="Garamond" w:cs="Times New Roman"/>
          <w:i/>
        </w:rPr>
        <w:t>* Kërkesë e aplikueshme vetëm për institucionet e pagesave dhe institucionet e parasë elektronike.</w:t>
      </w:r>
    </w:p>
    <w:p w14:paraId="34FE3098" w14:textId="77777777" w:rsidR="00D20524" w:rsidRPr="00474D79" w:rsidRDefault="00D20524" w:rsidP="00FD3EF9">
      <w:pPr>
        <w:spacing w:after="0" w:line="240" w:lineRule="auto"/>
        <w:jc w:val="both"/>
        <w:rPr>
          <w:rFonts w:ascii="Garamond" w:hAnsi="Garamond" w:cs="Arial"/>
        </w:rPr>
      </w:pPr>
    </w:p>
    <w:p w14:paraId="6E2503FA" w14:textId="169B0C91" w:rsidR="00EF09E3" w:rsidRPr="00474D79" w:rsidRDefault="00EF09E3" w:rsidP="00FD3EF9">
      <w:pPr>
        <w:spacing w:after="0" w:line="240" w:lineRule="auto"/>
        <w:jc w:val="both"/>
        <w:rPr>
          <w:rFonts w:ascii="Garamond" w:hAnsi="Garamond" w:cs="Arial"/>
        </w:rPr>
        <w:sectPr w:rsidR="00EF09E3" w:rsidRPr="00474D79" w:rsidSect="00EF09E3">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titlePg/>
          <w:docGrid w:linePitch="360"/>
        </w:sectPr>
      </w:pPr>
    </w:p>
    <w:p w14:paraId="6E2503FB" w14:textId="1881AED2" w:rsidR="00EF09E3" w:rsidRPr="00474D79" w:rsidRDefault="00EF09E3" w:rsidP="00D20524">
      <w:pPr>
        <w:pStyle w:val="TEKSTIIII"/>
      </w:pPr>
      <w:r w:rsidRPr="00474D79">
        <w:lastRenderedPageBreak/>
        <w:t>Për raportimin e ngjarjeve të rrezikut operacional në Bankën e Shqipërisë, subjekti plotëson regjistrin sipas aneksit nr. 3, duke ndjekur udhëzimet e aneksit nr.</w:t>
      </w:r>
      <w:r w:rsidR="002F4A24">
        <w:t xml:space="preserve"> </w:t>
      </w:r>
      <w:r w:rsidRPr="00474D79">
        <w:t>4 dhe njëkohësisht zbaton parashikimet e pikës 3</w:t>
      </w:r>
      <w:r w:rsidR="002F4A24">
        <w:t>,</w:t>
      </w:r>
      <w:r w:rsidRPr="00474D79">
        <w:t xml:space="preserve"> të nenit 20 të rregullores. </w:t>
      </w:r>
    </w:p>
    <w:p w14:paraId="6E2503FC" w14:textId="63AC66AE" w:rsidR="00EF09E3" w:rsidRPr="00474D79" w:rsidRDefault="00EF09E3" w:rsidP="00D20524">
      <w:pPr>
        <w:pStyle w:val="TEKSTIIII"/>
      </w:pPr>
      <w:r w:rsidRPr="00474D79">
        <w:t>Për ngjarje të cilat kanë zgjatur për më shumë se një periudhë raportuese dhe për rrjedhojë janë raportuar në periudha të mëparshme, subjekti përdor të njëjtin numër identifik</w:t>
      </w:r>
      <w:r w:rsidR="00423B40" w:rsidRPr="00474D79">
        <w:t>imi</w:t>
      </w:r>
      <w:r w:rsidRPr="00474D79">
        <w:t xml:space="preserve"> në qelizën përkatëse të regjistrit dhe informacionin për ngjarjen e paraqet për periudhën raportuese.</w:t>
      </w:r>
      <w:r w:rsidR="002F4A24">
        <w:t xml:space="preserve"> </w:t>
      </w:r>
    </w:p>
    <w:p w14:paraId="6E2503FD" w14:textId="669D4A30" w:rsidR="00EF09E3" w:rsidRPr="00474D79" w:rsidRDefault="00EF09E3" w:rsidP="00D20524">
      <w:pPr>
        <w:pStyle w:val="TEKSTIIII"/>
      </w:pPr>
      <w:r w:rsidRPr="00474D79">
        <w:t xml:space="preserve">Plotësimi i të gjitha fushave të aneksit është i detyrueshëm për çdo ngjarje të regjistruar, përveç fushës </w:t>
      </w:r>
      <w:r w:rsidR="00F12DB0" w:rsidRPr="00474D79">
        <w:t>“</w:t>
      </w:r>
      <w:r w:rsidRPr="00474D79">
        <w:t>data e rikuperimit</w:t>
      </w:r>
      <w:r w:rsidR="00F12DB0" w:rsidRPr="00474D79">
        <w:t>”</w:t>
      </w:r>
      <w:r w:rsidRPr="00474D79">
        <w:t xml:space="preserve"> dhe </w:t>
      </w:r>
      <w:r w:rsidR="00F12DB0" w:rsidRPr="00474D79">
        <w:t>“</w:t>
      </w:r>
      <w:r w:rsidRPr="00474D79">
        <w:t>vlera e rikuperuar</w:t>
      </w:r>
      <w:r w:rsidR="00F12DB0" w:rsidRPr="00474D79">
        <w:t>”</w:t>
      </w:r>
      <w:r w:rsidRPr="00474D79">
        <w:t>, plotësimi i të cilave do të kryhet kur ka informacion në lidhje me to. Fusha e komenteve rekomandohet, por nuk është e detyrueshme p</w:t>
      </w:r>
      <w:r w:rsidR="00F12DB0" w:rsidRPr="00474D79">
        <w:t>ë</w:t>
      </w:r>
      <w:r w:rsidRPr="00474D79">
        <w:t xml:space="preserve">r </w:t>
      </w:r>
      <w:r w:rsidR="002F4A24">
        <w:t xml:space="preserve">t’u </w:t>
      </w:r>
      <w:r w:rsidRPr="00474D79">
        <w:t>plotësuar.</w:t>
      </w:r>
      <w:r w:rsidR="002F4A24">
        <w:t xml:space="preserve"> </w:t>
      </w:r>
    </w:p>
    <w:p w14:paraId="6E2503FE" w14:textId="77777777" w:rsidR="00EF09E3" w:rsidRPr="00474D79" w:rsidRDefault="00EF09E3" w:rsidP="00D20524">
      <w:pPr>
        <w:pStyle w:val="TEKSTIIII"/>
      </w:pPr>
      <w:r w:rsidRPr="00474D79">
        <w:t>Plotësimi i fushave t</w:t>
      </w:r>
      <w:r w:rsidR="00F12DB0" w:rsidRPr="00474D79">
        <w:t>ë</w:t>
      </w:r>
      <w:r w:rsidRPr="00474D79">
        <w:t xml:space="preserve"> dat</w:t>
      </w:r>
      <w:r w:rsidR="00423B40" w:rsidRPr="00474D79">
        <w:t>ës</w:t>
      </w:r>
      <w:r w:rsidRPr="00474D79">
        <w:t xml:space="preserve"> </w:t>
      </w:r>
      <w:r w:rsidR="00423B40" w:rsidRPr="00474D79">
        <w:t>s</w:t>
      </w:r>
      <w:r w:rsidR="00F12DB0" w:rsidRPr="00474D79">
        <w:t>ë</w:t>
      </w:r>
      <w:r w:rsidRPr="00474D79">
        <w:t xml:space="preserve"> rikuperimit dhe vler</w:t>
      </w:r>
      <w:r w:rsidR="00F12DB0" w:rsidRPr="00474D79">
        <w:t>ë</w:t>
      </w:r>
      <w:r w:rsidRPr="00474D79">
        <w:t>s s</w:t>
      </w:r>
      <w:r w:rsidR="00F12DB0" w:rsidRPr="00474D79">
        <w:t>ë</w:t>
      </w:r>
      <w:r w:rsidRPr="00474D79">
        <w:t xml:space="preserve"> rikuperimit do t</w:t>
      </w:r>
      <w:r w:rsidR="00F12DB0" w:rsidRPr="00474D79">
        <w:t>ë</w:t>
      </w:r>
      <w:r w:rsidRPr="00474D79">
        <w:t xml:space="preserve"> shoq</w:t>
      </w:r>
      <w:r w:rsidR="00F12DB0" w:rsidRPr="00474D79">
        <w:t>ë</w:t>
      </w:r>
      <w:r w:rsidRPr="00474D79">
        <w:t>rohet me plot</w:t>
      </w:r>
      <w:r w:rsidR="00F12DB0" w:rsidRPr="00474D79">
        <w:t>ë</w:t>
      </w:r>
      <w:r w:rsidRPr="00474D79">
        <w:t>simi</w:t>
      </w:r>
      <w:r w:rsidR="00F12DB0" w:rsidRPr="00474D79">
        <w:t>n</w:t>
      </w:r>
      <w:r w:rsidRPr="00474D79">
        <w:t xml:space="preserve"> </w:t>
      </w:r>
      <w:r w:rsidR="00F12DB0" w:rsidRPr="00474D79">
        <w:t>e</w:t>
      </w:r>
      <w:r w:rsidRPr="00474D79">
        <w:t xml:space="preserve"> detyruesh</w:t>
      </w:r>
      <w:r w:rsidR="00F12DB0" w:rsidRPr="00474D79">
        <w:t>ë</w:t>
      </w:r>
      <w:r w:rsidRPr="00474D79">
        <w:t>m edhe t</w:t>
      </w:r>
      <w:r w:rsidR="00F12DB0" w:rsidRPr="00474D79">
        <w:t>ë</w:t>
      </w:r>
      <w:r w:rsidRPr="00474D79">
        <w:t xml:space="preserve"> fushave </w:t>
      </w:r>
      <w:r w:rsidR="00F12DB0" w:rsidRPr="00474D79">
        <w:t>“</w:t>
      </w:r>
      <w:r w:rsidRPr="00474D79">
        <w:t>numri i identifikimit t</w:t>
      </w:r>
      <w:r w:rsidR="00F12DB0" w:rsidRPr="00474D79">
        <w:t>ë</w:t>
      </w:r>
      <w:r w:rsidRPr="00474D79">
        <w:t xml:space="preserve"> ngjarjes</w:t>
      </w:r>
      <w:r w:rsidR="00F12DB0" w:rsidRPr="00474D79">
        <w:t>”</w:t>
      </w:r>
      <w:r w:rsidRPr="00474D79">
        <w:t xml:space="preserve"> dhe </w:t>
      </w:r>
      <w:r w:rsidR="00F12DB0" w:rsidRPr="00474D79">
        <w:t>“</w:t>
      </w:r>
      <w:r w:rsidRPr="00474D79">
        <w:t>p</w:t>
      </w:r>
      <w:r w:rsidR="00F12DB0" w:rsidRPr="00474D79">
        <w:t>ë</w:t>
      </w:r>
      <w:r w:rsidRPr="00474D79">
        <w:t>rshkrimi i ngjarjes</w:t>
      </w:r>
      <w:r w:rsidR="00F12DB0" w:rsidRPr="00474D79">
        <w:t>”</w:t>
      </w:r>
      <w:r w:rsidRPr="00474D79">
        <w:t>.</w:t>
      </w:r>
    </w:p>
    <w:p w14:paraId="51667980" w14:textId="77777777" w:rsidR="00D20524" w:rsidRPr="00474D79" w:rsidRDefault="00D20524" w:rsidP="00FD3EF9">
      <w:pPr>
        <w:spacing w:after="0" w:line="240" w:lineRule="auto"/>
        <w:jc w:val="both"/>
        <w:rPr>
          <w:rFonts w:ascii="Garamond" w:hAnsi="Garamond" w:cs="Times New Roman"/>
          <w:b/>
          <w:sz w:val="24"/>
          <w:szCs w:val="24"/>
        </w:rPr>
      </w:pPr>
    </w:p>
    <w:p w14:paraId="6E2503FF" w14:textId="669137BB" w:rsidR="00EF09E3" w:rsidRPr="002F4A24" w:rsidRDefault="002F4A24" w:rsidP="002F4A24">
      <w:pPr>
        <w:spacing w:after="0" w:line="240" w:lineRule="auto"/>
        <w:jc w:val="center"/>
        <w:rPr>
          <w:rFonts w:ascii="Garamond" w:hAnsi="Garamond" w:cs="Times New Roman"/>
          <w:sz w:val="24"/>
          <w:szCs w:val="24"/>
        </w:rPr>
      </w:pPr>
      <w:r w:rsidRPr="002F4A24">
        <w:rPr>
          <w:rFonts w:ascii="Garamond" w:hAnsi="Garamond" w:cs="Times New Roman"/>
          <w:sz w:val="24"/>
          <w:szCs w:val="24"/>
        </w:rPr>
        <w:t>ANEKS NR. 3</w:t>
      </w:r>
    </w:p>
    <w:p w14:paraId="6E250400" w14:textId="78DD8DAE" w:rsidR="00EF09E3" w:rsidRPr="002F4A24" w:rsidRDefault="002F4A24" w:rsidP="002F4A24">
      <w:pPr>
        <w:spacing w:after="0" w:line="240" w:lineRule="auto"/>
        <w:jc w:val="center"/>
        <w:rPr>
          <w:rFonts w:ascii="Garamond" w:hAnsi="Garamond" w:cs="Times New Roman"/>
          <w:sz w:val="24"/>
          <w:szCs w:val="24"/>
        </w:rPr>
      </w:pPr>
      <w:r w:rsidRPr="002F4A24">
        <w:rPr>
          <w:rFonts w:ascii="Garamond" w:hAnsi="Garamond" w:cs="Times New Roman"/>
          <w:sz w:val="24"/>
          <w:szCs w:val="24"/>
        </w:rPr>
        <w:t>REGJISTRI I NGJARJEVE TË RREZIKUT OPERACIONAL</w:t>
      </w:r>
    </w:p>
    <w:tbl>
      <w:tblPr>
        <w:tblW w:w="13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728"/>
        <w:gridCol w:w="734"/>
        <w:gridCol w:w="892"/>
        <w:gridCol w:w="752"/>
        <w:gridCol w:w="836"/>
        <w:gridCol w:w="596"/>
        <w:gridCol w:w="596"/>
        <w:gridCol w:w="584"/>
        <w:gridCol w:w="691"/>
        <w:gridCol w:w="720"/>
        <w:gridCol w:w="776"/>
        <w:gridCol w:w="710"/>
        <w:gridCol w:w="786"/>
        <w:gridCol w:w="900"/>
        <w:gridCol w:w="810"/>
        <w:gridCol w:w="776"/>
        <w:gridCol w:w="509"/>
        <w:gridCol w:w="650"/>
      </w:tblGrid>
      <w:tr w:rsidR="00874022" w:rsidRPr="00474D79" w14:paraId="6E250419" w14:textId="77777777" w:rsidTr="00D20524">
        <w:trPr>
          <w:trHeight w:val="738"/>
          <w:jc w:val="center"/>
        </w:trPr>
        <w:tc>
          <w:tcPr>
            <w:tcW w:w="752" w:type="dxa"/>
            <w:shd w:val="clear" w:color="auto" w:fill="F2F2F2"/>
            <w:vAlign w:val="center"/>
            <w:hideMark/>
          </w:tcPr>
          <w:p w14:paraId="6E250401"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Numri i identifikimit</w:t>
            </w:r>
          </w:p>
        </w:tc>
        <w:tc>
          <w:tcPr>
            <w:tcW w:w="728" w:type="dxa"/>
            <w:shd w:val="clear" w:color="auto" w:fill="F2F2F2"/>
            <w:vAlign w:val="center"/>
            <w:hideMark/>
          </w:tcPr>
          <w:p w14:paraId="6E250402" w14:textId="635015D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Përshkrimi</w:t>
            </w:r>
          </w:p>
        </w:tc>
        <w:tc>
          <w:tcPr>
            <w:tcW w:w="734" w:type="dxa"/>
            <w:shd w:val="clear" w:color="auto" w:fill="F2F2F2"/>
            <w:vAlign w:val="center"/>
            <w:hideMark/>
          </w:tcPr>
          <w:p w14:paraId="6E250403"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Njësia raportuese</w:t>
            </w:r>
          </w:p>
        </w:tc>
        <w:tc>
          <w:tcPr>
            <w:tcW w:w="892" w:type="dxa"/>
            <w:shd w:val="clear" w:color="auto" w:fill="F2F2F2"/>
            <w:vAlign w:val="center"/>
            <w:hideMark/>
          </w:tcPr>
          <w:p w14:paraId="6E250404"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Data e ndodhjes</w:t>
            </w:r>
          </w:p>
          <w:p w14:paraId="6E250405"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(d.m.v)</w:t>
            </w:r>
          </w:p>
        </w:tc>
        <w:tc>
          <w:tcPr>
            <w:tcW w:w="752" w:type="dxa"/>
            <w:shd w:val="clear" w:color="auto" w:fill="F2F2F2"/>
            <w:vAlign w:val="center"/>
            <w:hideMark/>
          </w:tcPr>
          <w:p w14:paraId="6E250406"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Data e identifikimit</w:t>
            </w:r>
          </w:p>
          <w:p w14:paraId="6E250407"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(d.m.v)</w:t>
            </w:r>
          </w:p>
        </w:tc>
        <w:tc>
          <w:tcPr>
            <w:tcW w:w="836" w:type="dxa"/>
            <w:shd w:val="clear" w:color="auto" w:fill="F2F2F2"/>
            <w:vAlign w:val="center"/>
            <w:hideMark/>
          </w:tcPr>
          <w:p w14:paraId="6E250408"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Data e kontabilizimit</w:t>
            </w:r>
          </w:p>
          <w:p w14:paraId="6E250409" w14:textId="77777777" w:rsidR="00EF09E3" w:rsidRPr="00474D79" w:rsidRDefault="00EF09E3" w:rsidP="00D20524">
            <w:pPr>
              <w:spacing w:after="0" w:line="240" w:lineRule="auto"/>
              <w:jc w:val="center"/>
              <w:rPr>
                <w:rFonts w:ascii="Garamond" w:eastAsia="Times New Roman" w:hAnsi="Garamond" w:cs="Times New Roman"/>
                <w:sz w:val="12"/>
                <w:highlight w:val="yellow"/>
              </w:rPr>
            </w:pPr>
            <w:r w:rsidRPr="00474D79">
              <w:rPr>
                <w:rFonts w:ascii="Garamond" w:eastAsia="Times New Roman" w:hAnsi="Garamond" w:cs="Times New Roman"/>
                <w:sz w:val="12"/>
              </w:rPr>
              <w:t>(d.m.v)</w:t>
            </w:r>
          </w:p>
        </w:tc>
        <w:tc>
          <w:tcPr>
            <w:tcW w:w="596" w:type="dxa"/>
            <w:shd w:val="clear" w:color="auto" w:fill="F2F2F2"/>
            <w:vAlign w:val="center"/>
            <w:hideMark/>
          </w:tcPr>
          <w:p w14:paraId="6E25040A"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Lloji i ngjarjes (Niveli 1)</w:t>
            </w:r>
          </w:p>
        </w:tc>
        <w:tc>
          <w:tcPr>
            <w:tcW w:w="596" w:type="dxa"/>
            <w:shd w:val="clear" w:color="auto" w:fill="F2F2F2"/>
            <w:vAlign w:val="center"/>
            <w:hideMark/>
          </w:tcPr>
          <w:p w14:paraId="6E25040B"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Lloji i ngjarjes (Niveli 2)</w:t>
            </w:r>
          </w:p>
        </w:tc>
        <w:tc>
          <w:tcPr>
            <w:tcW w:w="584" w:type="dxa"/>
            <w:shd w:val="clear" w:color="auto" w:fill="F2F2F2"/>
            <w:vAlign w:val="center"/>
          </w:tcPr>
          <w:p w14:paraId="6E25040C"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Lloji i ngjarjes (Niveli 3)</w:t>
            </w:r>
          </w:p>
        </w:tc>
        <w:tc>
          <w:tcPr>
            <w:tcW w:w="691" w:type="dxa"/>
            <w:shd w:val="clear" w:color="auto" w:fill="F2F2F2"/>
            <w:vAlign w:val="center"/>
          </w:tcPr>
          <w:p w14:paraId="6E25040D"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Linja e biznesit</w:t>
            </w:r>
          </w:p>
          <w:p w14:paraId="6E25040E"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(Niveli 1)</w:t>
            </w:r>
          </w:p>
        </w:tc>
        <w:tc>
          <w:tcPr>
            <w:tcW w:w="720" w:type="dxa"/>
            <w:shd w:val="clear" w:color="auto" w:fill="F2F2F2"/>
            <w:vAlign w:val="center"/>
            <w:hideMark/>
          </w:tcPr>
          <w:p w14:paraId="6E25040F"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Linja e biznesit</w:t>
            </w:r>
          </w:p>
          <w:p w14:paraId="6E250410"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(Niveli 2)</w:t>
            </w:r>
          </w:p>
        </w:tc>
        <w:tc>
          <w:tcPr>
            <w:tcW w:w="776" w:type="dxa"/>
            <w:shd w:val="clear" w:color="auto" w:fill="F2F2F2"/>
            <w:vAlign w:val="center"/>
            <w:hideMark/>
          </w:tcPr>
          <w:p w14:paraId="6E250411"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Efekti financiar</w:t>
            </w:r>
          </w:p>
        </w:tc>
        <w:tc>
          <w:tcPr>
            <w:tcW w:w="710" w:type="dxa"/>
            <w:shd w:val="clear" w:color="auto" w:fill="F2F2F2"/>
            <w:vAlign w:val="center"/>
          </w:tcPr>
          <w:p w14:paraId="6E250412"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Shkaku (Niveli 1)</w:t>
            </w:r>
          </w:p>
        </w:tc>
        <w:tc>
          <w:tcPr>
            <w:tcW w:w="786" w:type="dxa"/>
            <w:shd w:val="clear" w:color="auto" w:fill="F2F2F2"/>
            <w:vAlign w:val="center"/>
          </w:tcPr>
          <w:p w14:paraId="6E250413"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Shkaku (Niveli 2)</w:t>
            </w:r>
          </w:p>
        </w:tc>
        <w:tc>
          <w:tcPr>
            <w:tcW w:w="900" w:type="dxa"/>
            <w:shd w:val="clear" w:color="auto" w:fill="F2F2F2"/>
            <w:vAlign w:val="center"/>
            <w:hideMark/>
          </w:tcPr>
          <w:p w14:paraId="6E250414" w14:textId="77777777" w:rsidR="00EF09E3" w:rsidRPr="00474D79" w:rsidRDefault="00EF09E3" w:rsidP="00D20524">
            <w:pPr>
              <w:spacing w:after="0" w:line="240" w:lineRule="auto"/>
              <w:jc w:val="center"/>
              <w:rPr>
                <w:rFonts w:ascii="Garamond" w:eastAsia="Times New Roman" w:hAnsi="Garamond" w:cs="Times New Roman"/>
                <w:sz w:val="12"/>
              </w:rPr>
            </w:pPr>
            <w:r w:rsidRPr="00474D79">
              <w:rPr>
                <w:rFonts w:ascii="Garamond" w:eastAsia="Times New Roman" w:hAnsi="Garamond" w:cs="Times New Roman"/>
                <w:sz w:val="12"/>
              </w:rPr>
              <w:t>Vlera e humbjes bruto/fillestare (lekë)</w:t>
            </w:r>
          </w:p>
        </w:tc>
        <w:tc>
          <w:tcPr>
            <w:tcW w:w="810" w:type="dxa"/>
            <w:shd w:val="clear" w:color="auto" w:fill="F2F2F2"/>
          </w:tcPr>
          <w:p w14:paraId="4F39B8D3" w14:textId="77777777" w:rsidR="00D20524" w:rsidRPr="00474D79" w:rsidRDefault="00D20524" w:rsidP="00D20524">
            <w:pPr>
              <w:spacing w:after="0" w:line="240" w:lineRule="auto"/>
              <w:jc w:val="center"/>
              <w:rPr>
                <w:rFonts w:ascii="Garamond" w:eastAsia="Times New Roman" w:hAnsi="Garamond" w:cs="Times New Roman"/>
                <w:i/>
                <w:iCs/>
                <w:sz w:val="12"/>
              </w:rPr>
            </w:pPr>
          </w:p>
          <w:p w14:paraId="2D80009A" w14:textId="77777777" w:rsidR="00D20524" w:rsidRPr="00474D79" w:rsidRDefault="00D20524" w:rsidP="00D20524">
            <w:pPr>
              <w:spacing w:after="0" w:line="240" w:lineRule="auto"/>
              <w:jc w:val="center"/>
              <w:rPr>
                <w:rFonts w:ascii="Garamond" w:eastAsia="Times New Roman" w:hAnsi="Garamond" w:cs="Times New Roman"/>
                <w:i/>
                <w:iCs/>
                <w:sz w:val="12"/>
              </w:rPr>
            </w:pPr>
          </w:p>
          <w:p w14:paraId="6E250415" w14:textId="74745223" w:rsidR="00EF09E3" w:rsidRPr="00474D79" w:rsidRDefault="00EF09E3" w:rsidP="00D20524">
            <w:pPr>
              <w:spacing w:after="0" w:line="240" w:lineRule="auto"/>
              <w:jc w:val="center"/>
              <w:rPr>
                <w:rFonts w:ascii="Garamond" w:eastAsia="Times New Roman" w:hAnsi="Garamond" w:cs="Times New Roman"/>
                <w:i/>
                <w:iCs/>
                <w:sz w:val="12"/>
              </w:rPr>
            </w:pPr>
            <w:r w:rsidRPr="00474D79">
              <w:rPr>
                <w:rFonts w:ascii="Garamond" w:eastAsia="Times New Roman" w:hAnsi="Garamond" w:cs="Times New Roman"/>
                <w:i/>
                <w:iCs/>
                <w:sz w:val="12"/>
              </w:rPr>
              <w:t>Data e rikuperimit</w:t>
            </w:r>
          </w:p>
        </w:tc>
        <w:tc>
          <w:tcPr>
            <w:tcW w:w="776" w:type="dxa"/>
            <w:shd w:val="clear" w:color="auto" w:fill="F2F2F2"/>
          </w:tcPr>
          <w:p w14:paraId="03BE2287" w14:textId="77777777" w:rsidR="00D20524" w:rsidRPr="00474D79" w:rsidRDefault="00D20524" w:rsidP="00D20524">
            <w:pPr>
              <w:spacing w:after="0" w:line="240" w:lineRule="auto"/>
              <w:jc w:val="center"/>
              <w:rPr>
                <w:rFonts w:ascii="Garamond" w:eastAsia="Times New Roman" w:hAnsi="Garamond" w:cs="Times New Roman"/>
                <w:i/>
                <w:iCs/>
                <w:sz w:val="12"/>
              </w:rPr>
            </w:pPr>
          </w:p>
          <w:p w14:paraId="0494C199" w14:textId="77777777" w:rsidR="00D20524" w:rsidRPr="00474D79" w:rsidRDefault="00D20524" w:rsidP="00D20524">
            <w:pPr>
              <w:spacing w:after="0" w:line="240" w:lineRule="auto"/>
              <w:jc w:val="center"/>
              <w:rPr>
                <w:rFonts w:ascii="Garamond" w:eastAsia="Times New Roman" w:hAnsi="Garamond" w:cs="Times New Roman"/>
                <w:i/>
                <w:iCs/>
                <w:sz w:val="12"/>
              </w:rPr>
            </w:pPr>
          </w:p>
          <w:p w14:paraId="6E250416" w14:textId="303F39AF" w:rsidR="00EF09E3" w:rsidRPr="00474D79" w:rsidRDefault="00EF09E3" w:rsidP="00D20524">
            <w:pPr>
              <w:spacing w:after="0" w:line="240" w:lineRule="auto"/>
              <w:jc w:val="center"/>
              <w:rPr>
                <w:rFonts w:ascii="Garamond" w:eastAsia="Times New Roman" w:hAnsi="Garamond" w:cs="Times New Roman"/>
                <w:i/>
                <w:iCs/>
                <w:sz w:val="12"/>
              </w:rPr>
            </w:pPr>
            <w:r w:rsidRPr="00474D79">
              <w:rPr>
                <w:rFonts w:ascii="Garamond" w:eastAsia="Times New Roman" w:hAnsi="Garamond" w:cs="Times New Roman"/>
                <w:i/>
                <w:iCs/>
                <w:sz w:val="12"/>
              </w:rPr>
              <w:t>Vlera e rikuperuar</w:t>
            </w:r>
          </w:p>
        </w:tc>
        <w:tc>
          <w:tcPr>
            <w:tcW w:w="509" w:type="dxa"/>
            <w:shd w:val="clear" w:color="auto" w:fill="F2F2F2"/>
            <w:vAlign w:val="center"/>
          </w:tcPr>
          <w:p w14:paraId="6E250417" w14:textId="1262B9FE" w:rsidR="00EF09E3" w:rsidRPr="00474D79" w:rsidRDefault="00EF09E3" w:rsidP="00D20524">
            <w:pPr>
              <w:spacing w:after="0" w:line="240" w:lineRule="auto"/>
              <w:jc w:val="center"/>
              <w:rPr>
                <w:rFonts w:ascii="Garamond" w:eastAsia="Times New Roman" w:hAnsi="Garamond" w:cs="Times New Roman"/>
                <w:i/>
                <w:iCs/>
                <w:sz w:val="12"/>
              </w:rPr>
            </w:pPr>
            <w:r w:rsidRPr="00474D79">
              <w:rPr>
                <w:rFonts w:ascii="Garamond" w:eastAsia="Times New Roman" w:hAnsi="Garamond" w:cs="Times New Roman"/>
                <w:i/>
                <w:iCs/>
                <w:sz w:val="12"/>
              </w:rPr>
              <w:t>Ngjarje kufitare</w:t>
            </w:r>
          </w:p>
        </w:tc>
        <w:tc>
          <w:tcPr>
            <w:tcW w:w="650" w:type="dxa"/>
            <w:shd w:val="clear" w:color="auto" w:fill="F2F2F2"/>
            <w:vAlign w:val="center"/>
            <w:hideMark/>
          </w:tcPr>
          <w:p w14:paraId="6E250418" w14:textId="77777777" w:rsidR="00EF09E3" w:rsidRPr="00474D79" w:rsidRDefault="00EF09E3" w:rsidP="00D20524">
            <w:pPr>
              <w:spacing w:after="0" w:line="240" w:lineRule="auto"/>
              <w:jc w:val="center"/>
              <w:rPr>
                <w:rFonts w:ascii="Garamond" w:eastAsia="Times New Roman" w:hAnsi="Garamond" w:cs="Times New Roman"/>
                <w:i/>
                <w:iCs/>
                <w:sz w:val="12"/>
              </w:rPr>
            </w:pPr>
            <w:r w:rsidRPr="00474D79">
              <w:rPr>
                <w:rFonts w:ascii="Garamond" w:eastAsia="Times New Roman" w:hAnsi="Garamond" w:cs="Times New Roman"/>
                <w:i/>
                <w:iCs/>
                <w:sz w:val="12"/>
              </w:rPr>
              <w:t>Komente</w:t>
            </w:r>
          </w:p>
        </w:tc>
      </w:tr>
      <w:tr w:rsidR="00EF09E3" w:rsidRPr="00474D79" w14:paraId="6E25042D" w14:textId="77777777" w:rsidTr="00D20524">
        <w:trPr>
          <w:trHeight w:val="300"/>
          <w:jc w:val="center"/>
        </w:trPr>
        <w:tc>
          <w:tcPr>
            <w:tcW w:w="752" w:type="dxa"/>
            <w:shd w:val="clear" w:color="auto" w:fill="auto"/>
            <w:noWrap/>
            <w:hideMark/>
          </w:tcPr>
          <w:p w14:paraId="6E25041A" w14:textId="77777777" w:rsidR="00EF09E3" w:rsidRPr="00474D79" w:rsidRDefault="00EF09E3" w:rsidP="00FD3EF9">
            <w:pPr>
              <w:spacing w:after="0" w:line="240" w:lineRule="auto"/>
              <w:jc w:val="both"/>
              <w:rPr>
                <w:rFonts w:ascii="Garamond" w:hAnsi="Garamond" w:cs="Times New Roman"/>
                <w:sz w:val="12"/>
              </w:rPr>
            </w:pPr>
            <w:r w:rsidRPr="00474D79">
              <w:rPr>
                <w:rFonts w:ascii="Garamond" w:hAnsi="Garamond" w:cs="Times New Roman"/>
                <w:sz w:val="12"/>
              </w:rPr>
              <w:t> </w:t>
            </w:r>
          </w:p>
        </w:tc>
        <w:tc>
          <w:tcPr>
            <w:tcW w:w="728" w:type="dxa"/>
            <w:shd w:val="clear" w:color="auto" w:fill="auto"/>
            <w:noWrap/>
            <w:hideMark/>
          </w:tcPr>
          <w:p w14:paraId="6E25041B"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734" w:type="dxa"/>
            <w:shd w:val="clear" w:color="auto" w:fill="auto"/>
            <w:noWrap/>
            <w:hideMark/>
          </w:tcPr>
          <w:p w14:paraId="6E25041C"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892" w:type="dxa"/>
            <w:shd w:val="clear" w:color="auto" w:fill="auto"/>
            <w:noWrap/>
            <w:hideMark/>
          </w:tcPr>
          <w:p w14:paraId="6E25041D"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752" w:type="dxa"/>
            <w:shd w:val="clear" w:color="auto" w:fill="auto"/>
            <w:noWrap/>
            <w:hideMark/>
          </w:tcPr>
          <w:p w14:paraId="6E25041E"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836" w:type="dxa"/>
            <w:shd w:val="clear" w:color="auto" w:fill="auto"/>
            <w:noWrap/>
            <w:hideMark/>
          </w:tcPr>
          <w:p w14:paraId="6E25041F"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596" w:type="dxa"/>
            <w:shd w:val="clear" w:color="auto" w:fill="auto"/>
            <w:noWrap/>
            <w:hideMark/>
          </w:tcPr>
          <w:p w14:paraId="6E250420"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596" w:type="dxa"/>
            <w:shd w:val="clear" w:color="auto" w:fill="auto"/>
            <w:noWrap/>
            <w:hideMark/>
          </w:tcPr>
          <w:p w14:paraId="6E250421"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584" w:type="dxa"/>
          </w:tcPr>
          <w:p w14:paraId="6E250422"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691" w:type="dxa"/>
          </w:tcPr>
          <w:p w14:paraId="6E250423"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720" w:type="dxa"/>
            <w:shd w:val="clear" w:color="auto" w:fill="auto"/>
            <w:noWrap/>
            <w:hideMark/>
          </w:tcPr>
          <w:p w14:paraId="6E250424"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776" w:type="dxa"/>
            <w:shd w:val="clear" w:color="auto" w:fill="auto"/>
            <w:noWrap/>
            <w:hideMark/>
          </w:tcPr>
          <w:p w14:paraId="6E250425"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710" w:type="dxa"/>
          </w:tcPr>
          <w:p w14:paraId="6E250426"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786" w:type="dxa"/>
          </w:tcPr>
          <w:p w14:paraId="6E250427"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900" w:type="dxa"/>
            <w:shd w:val="clear" w:color="auto" w:fill="auto"/>
            <w:noWrap/>
            <w:hideMark/>
          </w:tcPr>
          <w:p w14:paraId="6E250428"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810" w:type="dxa"/>
          </w:tcPr>
          <w:p w14:paraId="6E250429"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776" w:type="dxa"/>
          </w:tcPr>
          <w:p w14:paraId="6E25042A"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509" w:type="dxa"/>
          </w:tcPr>
          <w:p w14:paraId="6E25042B"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650" w:type="dxa"/>
            <w:shd w:val="clear" w:color="auto" w:fill="auto"/>
            <w:noWrap/>
            <w:hideMark/>
          </w:tcPr>
          <w:p w14:paraId="6E25042C"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r>
      <w:tr w:rsidR="00EF09E3" w:rsidRPr="00474D79" w14:paraId="6E250441" w14:textId="77777777" w:rsidTr="00D20524">
        <w:trPr>
          <w:trHeight w:val="300"/>
          <w:jc w:val="center"/>
        </w:trPr>
        <w:tc>
          <w:tcPr>
            <w:tcW w:w="752" w:type="dxa"/>
            <w:shd w:val="clear" w:color="auto" w:fill="auto"/>
            <w:noWrap/>
            <w:hideMark/>
          </w:tcPr>
          <w:p w14:paraId="6E25042E" w14:textId="77777777" w:rsidR="00EF09E3" w:rsidRPr="00474D79" w:rsidRDefault="00EF09E3" w:rsidP="00FD3EF9">
            <w:pPr>
              <w:spacing w:after="0" w:line="240" w:lineRule="auto"/>
              <w:jc w:val="both"/>
              <w:rPr>
                <w:rFonts w:ascii="Garamond" w:hAnsi="Garamond" w:cs="Times New Roman"/>
                <w:sz w:val="12"/>
              </w:rPr>
            </w:pPr>
            <w:r w:rsidRPr="00474D79">
              <w:rPr>
                <w:rFonts w:ascii="Garamond" w:hAnsi="Garamond" w:cs="Times New Roman"/>
                <w:sz w:val="12"/>
              </w:rPr>
              <w:t> </w:t>
            </w:r>
          </w:p>
        </w:tc>
        <w:tc>
          <w:tcPr>
            <w:tcW w:w="728" w:type="dxa"/>
            <w:shd w:val="clear" w:color="auto" w:fill="auto"/>
            <w:noWrap/>
            <w:hideMark/>
          </w:tcPr>
          <w:p w14:paraId="6E25042F"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734" w:type="dxa"/>
            <w:shd w:val="clear" w:color="auto" w:fill="auto"/>
            <w:noWrap/>
            <w:hideMark/>
          </w:tcPr>
          <w:p w14:paraId="6E250430"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892" w:type="dxa"/>
            <w:shd w:val="clear" w:color="auto" w:fill="auto"/>
            <w:noWrap/>
            <w:hideMark/>
          </w:tcPr>
          <w:p w14:paraId="6E250431"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752" w:type="dxa"/>
            <w:shd w:val="clear" w:color="auto" w:fill="auto"/>
            <w:noWrap/>
            <w:hideMark/>
          </w:tcPr>
          <w:p w14:paraId="6E250432"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836" w:type="dxa"/>
            <w:shd w:val="clear" w:color="auto" w:fill="auto"/>
            <w:noWrap/>
            <w:hideMark/>
          </w:tcPr>
          <w:p w14:paraId="6E250433"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596" w:type="dxa"/>
            <w:shd w:val="clear" w:color="auto" w:fill="auto"/>
            <w:noWrap/>
            <w:hideMark/>
          </w:tcPr>
          <w:p w14:paraId="6E250434"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596" w:type="dxa"/>
            <w:shd w:val="clear" w:color="auto" w:fill="auto"/>
            <w:noWrap/>
            <w:hideMark/>
          </w:tcPr>
          <w:p w14:paraId="6E250435"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584" w:type="dxa"/>
          </w:tcPr>
          <w:p w14:paraId="6E250436"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691" w:type="dxa"/>
          </w:tcPr>
          <w:p w14:paraId="6E250437"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720" w:type="dxa"/>
            <w:shd w:val="clear" w:color="auto" w:fill="auto"/>
            <w:noWrap/>
            <w:hideMark/>
          </w:tcPr>
          <w:p w14:paraId="6E250438"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776" w:type="dxa"/>
            <w:shd w:val="clear" w:color="auto" w:fill="auto"/>
            <w:noWrap/>
            <w:hideMark/>
          </w:tcPr>
          <w:p w14:paraId="6E250439"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c>
          <w:tcPr>
            <w:tcW w:w="710" w:type="dxa"/>
          </w:tcPr>
          <w:p w14:paraId="6E25043A"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786" w:type="dxa"/>
          </w:tcPr>
          <w:p w14:paraId="6E25043B"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900" w:type="dxa"/>
            <w:shd w:val="clear" w:color="auto" w:fill="auto"/>
            <w:noWrap/>
            <w:hideMark/>
          </w:tcPr>
          <w:p w14:paraId="6E25043C"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810" w:type="dxa"/>
          </w:tcPr>
          <w:p w14:paraId="6E25043D"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776" w:type="dxa"/>
          </w:tcPr>
          <w:p w14:paraId="6E25043E"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509" w:type="dxa"/>
          </w:tcPr>
          <w:p w14:paraId="6E25043F" w14:textId="77777777" w:rsidR="00EF09E3" w:rsidRPr="00474D79" w:rsidRDefault="00EF09E3" w:rsidP="00FD3EF9">
            <w:pPr>
              <w:spacing w:after="0" w:line="240" w:lineRule="auto"/>
              <w:jc w:val="both"/>
              <w:rPr>
                <w:rFonts w:ascii="Garamond" w:eastAsia="Times New Roman" w:hAnsi="Garamond" w:cs="Times New Roman"/>
                <w:b/>
                <w:sz w:val="12"/>
              </w:rPr>
            </w:pPr>
          </w:p>
        </w:tc>
        <w:tc>
          <w:tcPr>
            <w:tcW w:w="650" w:type="dxa"/>
            <w:shd w:val="clear" w:color="auto" w:fill="auto"/>
            <w:noWrap/>
            <w:hideMark/>
          </w:tcPr>
          <w:p w14:paraId="6E250440" w14:textId="77777777" w:rsidR="00EF09E3" w:rsidRPr="00474D79" w:rsidRDefault="00EF09E3" w:rsidP="00FD3EF9">
            <w:pPr>
              <w:spacing w:after="0" w:line="240" w:lineRule="auto"/>
              <w:jc w:val="both"/>
              <w:rPr>
                <w:rFonts w:ascii="Garamond" w:eastAsia="Times New Roman" w:hAnsi="Garamond" w:cs="Times New Roman"/>
                <w:b/>
                <w:sz w:val="12"/>
              </w:rPr>
            </w:pPr>
            <w:r w:rsidRPr="00474D79">
              <w:rPr>
                <w:rFonts w:ascii="Garamond" w:eastAsia="Times New Roman" w:hAnsi="Garamond" w:cs="Times New Roman"/>
                <w:b/>
                <w:sz w:val="12"/>
              </w:rPr>
              <w:t> </w:t>
            </w:r>
          </w:p>
        </w:tc>
      </w:tr>
    </w:tbl>
    <w:p w14:paraId="6E250442" w14:textId="77777777" w:rsidR="00EF09E3" w:rsidRPr="00474D79" w:rsidRDefault="00EF09E3" w:rsidP="00FD3EF9">
      <w:pPr>
        <w:spacing w:after="0" w:line="240" w:lineRule="auto"/>
        <w:jc w:val="both"/>
        <w:rPr>
          <w:rFonts w:ascii="Garamond" w:hAnsi="Garamond" w:cs="Times New Roman"/>
          <w:sz w:val="24"/>
          <w:szCs w:val="24"/>
        </w:rPr>
      </w:pPr>
    </w:p>
    <w:p w14:paraId="6E250443" w14:textId="77777777" w:rsidR="00EF09E3" w:rsidRPr="00474D79" w:rsidRDefault="00EF09E3" w:rsidP="00FD3EF9">
      <w:pPr>
        <w:spacing w:after="0" w:line="240" w:lineRule="auto"/>
        <w:rPr>
          <w:rFonts w:ascii="Garamond" w:hAnsi="Garamond" w:cs="Times New Roman"/>
          <w:b/>
          <w:sz w:val="24"/>
          <w:szCs w:val="24"/>
        </w:rPr>
        <w:sectPr w:rsidR="00EF09E3" w:rsidRPr="00474D79" w:rsidSect="000D3795">
          <w:pgSz w:w="15840" w:h="12240" w:orient="landscape"/>
          <w:pgMar w:top="1800" w:right="1440" w:bottom="1800" w:left="1440" w:header="720" w:footer="720" w:gutter="0"/>
          <w:cols w:space="720"/>
          <w:docGrid w:linePitch="360"/>
        </w:sectPr>
      </w:pPr>
    </w:p>
    <w:p w14:paraId="6E250444" w14:textId="41DA65FA" w:rsidR="00EF09E3" w:rsidRPr="002F4A24" w:rsidRDefault="002F4A24" w:rsidP="002F4A24">
      <w:pPr>
        <w:spacing w:after="0" w:line="240" w:lineRule="auto"/>
        <w:jc w:val="center"/>
        <w:rPr>
          <w:rFonts w:ascii="Garamond" w:hAnsi="Garamond" w:cs="Times New Roman"/>
          <w:sz w:val="24"/>
          <w:szCs w:val="24"/>
        </w:rPr>
      </w:pPr>
      <w:r w:rsidRPr="002F4A24">
        <w:rPr>
          <w:rFonts w:ascii="Garamond" w:hAnsi="Garamond" w:cs="Times New Roman"/>
          <w:sz w:val="24"/>
          <w:szCs w:val="24"/>
        </w:rPr>
        <w:lastRenderedPageBreak/>
        <w:t>ANEKS NR. 4</w:t>
      </w:r>
    </w:p>
    <w:p w14:paraId="6E250445" w14:textId="70DBF888" w:rsidR="00EF09E3" w:rsidRPr="002F4A24" w:rsidRDefault="002F4A24" w:rsidP="002F4A24">
      <w:pPr>
        <w:spacing w:after="0" w:line="240" w:lineRule="auto"/>
        <w:jc w:val="center"/>
        <w:rPr>
          <w:rFonts w:ascii="Garamond" w:hAnsi="Garamond" w:cs="Times New Roman"/>
          <w:sz w:val="24"/>
          <w:szCs w:val="24"/>
        </w:rPr>
      </w:pPr>
      <w:r w:rsidRPr="002F4A24">
        <w:rPr>
          <w:rFonts w:ascii="Garamond" w:hAnsi="Garamond" w:cs="Times New Roman"/>
          <w:sz w:val="24"/>
          <w:szCs w:val="24"/>
        </w:rPr>
        <w:t>UDHËZIME PËR PLOTËSIMIN E REGJISTRIT TË NGJARJEVE TË RREZIKUT OPERACIONAL</w:t>
      </w:r>
    </w:p>
    <w:tbl>
      <w:tblPr>
        <w:tblW w:w="5335" w:type="pct"/>
        <w:tblLook w:val="04A0" w:firstRow="1" w:lastRow="0" w:firstColumn="1" w:lastColumn="0" w:noHBand="0" w:noVBand="1"/>
      </w:tblPr>
      <w:tblGrid>
        <w:gridCol w:w="2122"/>
        <w:gridCol w:w="7086"/>
      </w:tblGrid>
      <w:tr w:rsidR="00EF09E3" w:rsidRPr="00474D79" w14:paraId="6E250448" w14:textId="77777777" w:rsidTr="00D20524">
        <w:trPr>
          <w:trHeight w:val="6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250446" w14:textId="77777777" w:rsidR="00EF09E3" w:rsidRPr="00474D79" w:rsidRDefault="00EF09E3" w:rsidP="00FD3EF9">
            <w:pPr>
              <w:spacing w:after="0" w:line="240" w:lineRule="auto"/>
              <w:jc w:val="both"/>
              <w:rPr>
                <w:rFonts w:ascii="Garamond" w:eastAsia="Times New Roman" w:hAnsi="Garamond" w:cs="Times New Roman"/>
                <w:b/>
                <w:color w:val="000000"/>
                <w:sz w:val="18"/>
                <w:lang w:eastAsia="sq-AL"/>
              </w:rPr>
            </w:pPr>
            <w:r w:rsidRPr="00474D79">
              <w:rPr>
                <w:rFonts w:ascii="Garamond" w:hAnsi="Garamond" w:cs="Times New Roman"/>
                <w:b/>
                <w:sz w:val="18"/>
              </w:rPr>
              <w:t>Kolona</w:t>
            </w:r>
          </w:p>
        </w:tc>
        <w:tc>
          <w:tcPr>
            <w:tcW w:w="3848" w:type="pct"/>
            <w:tcBorders>
              <w:top w:val="single" w:sz="4" w:space="0" w:color="auto"/>
              <w:left w:val="nil"/>
              <w:bottom w:val="single" w:sz="4" w:space="0" w:color="auto"/>
              <w:right w:val="single" w:sz="4" w:space="0" w:color="auto"/>
            </w:tcBorders>
            <w:shd w:val="clear" w:color="auto" w:fill="auto"/>
            <w:vAlign w:val="center"/>
          </w:tcPr>
          <w:p w14:paraId="6E250447" w14:textId="77777777" w:rsidR="00EF09E3" w:rsidRPr="00474D79" w:rsidRDefault="00EF09E3" w:rsidP="00FD3EF9">
            <w:pPr>
              <w:spacing w:after="0" w:line="240" w:lineRule="auto"/>
              <w:jc w:val="both"/>
              <w:rPr>
                <w:rFonts w:ascii="Garamond" w:eastAsia="Times New Roman" w:hAnsi="Garamond" w:cs="Times New Roman"/>
                <w:b/>
                <w:color w:val="000000"/>
                <w:sz w:val="18"/>
                <w:lang w:eastAsia="sq-AL"/>
              </w:rPr>
            </w:pPr>
            <w:r w:rsidRPr="00474D79">
              <w:rPr>
                <w:rFonts w:ascii="Garamond" w:hAnsi="Garamond" w:cs="Times New Roman"/>
                <w:b/>
                <w:sz w:val="18"/>
              </w:rPr>
              <w:t>Udhëzime</w:t>
            </w:r>
            <w:r w:rsidR="00783565" w:rsidRPr="00474D79">
              <w:rPr>
                <w:rFonts w:ascii="Garamond" w:hAnsi="Garamond" w:cs="Times New Roman"/>
                <w:b/>
                <w:sz w:val="18"/>
              </w:rPr>
              <w:t xml:space="preserve"> për plotësimin</w:t>
            </w:r>
          </w:p>
        </w:tc>
      </w:tr>
      <w:tr w:rsidR="00EF09E3" w:rsidRPr="00474D79" w14:paraId="6E25044B" w14:textId="77777777" w:rsidTr="00D20524">
        <w:trPr>
          <w:trHeight w:val="6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6E250449" w14:textId="77777777" w:rsidR="00EF09E3" w:rsidRPr="00474D79" w:rsidRDefault="00EF09E3" w:rsidP="00FD3EF9">
            <w:pPr>
              <w:spacing w:after="0" w:line="240" w:lineRule="auto"/>
              <w:jc w:val="both"/>
              <w:rPr>
                <w:rFonts w:ascii="Garamond" w:hAnsi="Garamond" w:cs="Times New Roman"/>
                <w:sz w:val="18"/>
              </w:rPr>
            </w:pPr>
            <w:r w:rsidRPr="00474D79">
              <w:rPr>
                <w:rFonts w:ascii="Garamond" w:eastAsia="Times New Roman" w:hAnsi="Garamond" w:cs="Times New Roman"/>
                <w:sz w:val="18"/>
              </w:rPr>
              <w:t>Numri i identifikimit</w:t>
            </w:r>
          </w:p>
        </w:tc>
        <w:tc>
          <w:tcPr>
            <w:tcW w:w="3848" w:type="pct"/>
            <w:tcBorders>
              <w:top w:val="single" w:sz="4" w:space="0" w:color="auto"/>
              <w:left w:val="nil"/>
              <w:bottom w:val="single" w:sz="4" w:space="0" w:color="auto"/>
              <w:right w:val="single" w:sz="4" w:space="0" w:color="auto"/>
            </w:tcBorders>
            <w:shd w:val="clear" w:color="auto" w:fill="auto"/>
            <w:vAlign w:val="center"/>
          </w:tcPr>
          <w:p w14:paraId="6E25044A" w14:textId="77777777" w:rsidR="00EF09E3" w:rsidRPr="00474D79" w:rsidRDefault="00EF09E3" w:rsidP="00FD3EF9">
            <w:pPr>
              <w:spacing w:after="0" w:line="240" w:lineRule="auto"/>
              <w:jc w:val="both"/>
              <w:rPr>
                <w:rFonts w:ascii="Garamond" w:hAnsi="Garamond" w:cs="Times New Roman"/>
                <w:sz w:val="18"/>
              </w:rPr>
            </w:pPr>
            <w:r w:rsidRPr="00474D79">
              <w:rPr>
                <w:rFonts w:ascii="Garamond" w:hAnsi="Garamond" w:cs="Times New Roman"/>
                <w:sz w:val="18"/>
              </w:rPr>
              <w:t xml:space="preserve">Plotësohet numri i identifikimit të ngjarjes i përdorur nga subjekti në regjistrin e brendshëm të ngjarjeve të rrezikut operacional. </w:t>
            </w:r>
          </w:p>
        </w:tc>
      </w:tr>
      <w:tr w:rsidR="00EF09E3" w:rsidRPr="00474D79" w14:paraId="6E25044E"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tcPr>
          <w:p w14:paraId="6E25044C"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Përshkrimi</w:t>
            </w:r>
          </w:p>
        </w:tc>
        <w:tc>
          <w:tcPr>
            <w:tcW w:w="3848" w:type="pct"/>
            <w:tcBorders>
              <w:top w:val="nil"/>
              <w:left w:val="nil"/>
              <w:bottom w:val="single" w:sz="4" w:space="0" w:color="auto"/>
              <w:right w:val="single" w:sz="4" w:space="0" w:color="auto"/>
            </w:tcBorders>
            <w:shd w:val="clear" w:color="auto" w:fill="auto"/>
            <w:vAlign w:val="center"/>
          </w:tcPr>
          <w:p w14:paraId="6E25044D"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 xml:space="preserve">Plotësohet përshkrimi i çdo ngjarje të regjistruar në këtë regjistër. Subjekti nuk duhet të përfshijë informacione të cilat janë subjekt i ligjit “Për mbrojtjen e të dhënave personale”. </w:t>
            </w:r>
          </w:p>
        </w:tc>
      </w:tr>
      <w:tr w:rsidR="00EF09E3" w:rsidRPr="00474D79" w14:paraId="6E250451"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E25044F"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Njësia raportuese</w:t>
            </w:r>
          </w:p>
        </w:tc>
        <w:tc>
          <w:tcPr>
            <w:tcW w:w="3848" w:type="pct"/>
            <w:tcBorders>
              <w:top w:val="nil"/>
              <w:left w:val="nil"/>
              <w:bottom w:val="single" w:sz="4" w:space="0" w:color="auto"/>
              <w:right w:val="single" w:sz="4" w:space="0" w:color="auto"/>
            </w:tcBorders>
            <w:shd w:val="clear" w:color="auto" w:fill="auto"/>
            <w:vAlign w:val="center"/>
            <w:hideMark/>
          </w:tcPr>
          <w:p w14:paraId="6E250450"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Plotësohet emri i njësisë që ka raportuar ngjarjen.</w:t>
            </w:r>
          </w:p>
        </w:tc>
      </w:tr>
      <w:tr w:rsidR="00EF09E3" w:rsidRPr="00474D79" w14:paraId="6E250454" w14:textId="77777777" w:rsidTr="00D20524">
        <w:trPr>
          <w:trHeight w:val="287"/>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E250452"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Data e ndodhjes</w:t>
            </w:r>
          </w:p>
        </w:tc>
        <w:tc>
          <w:tcPr>
            <w:tcW w:w="3848" w:type="pct"/>
            <w:tcBorders>
              <w:top w:val="nil"/>
              <w:left w:val="nil"/>
              <w:bottom w:val="single" w:sz="4" w:space="0" w:color="auto"/>
              <w:right w:val="single" w:sz="4" w:space="0" w:color="auto"/>
            </w:tcBorders>
            <w:shd w:val="clear" w:color="auto" w:fill="auto"/>
            <w:vAlign w:val="center"/>
            <w:hideMark/>
          </w:tcPr>
          <w:p w14:paraId="6E250453"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 xml:space="preserve">Plotësohet data e ndodhjes ose data e fillimit të ndodhjes së ngjarjes, për ato ngjarje të cilat kanë zgjatur efektin e tyre në kohë. </w:t>
            </w:r>
          </w:p>
        </w:tc>
      </w:tr>
      <w:tr w:rsidR="00EF09E3" w:rsidRPr="00474D79" w14:paraId="6E250457"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E250455"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Data e identifikimit</w:t>
            </w:r>
          </w:p>
        </w:tc>
        <w:tc>
          <w:tcPr>
            <w:tcW w:w="3848" w:type="pct"/>
            <w:tcBorders>
              <w:top w:val="nil"/>
              <w:left w:val="nil"/>
              <w:bottom w:val="single" w:sz="4" w:space="0" w:color="auto"/>
              <w:right w:val="single" w:sz="4" w:space="0" w:color="auto"/>
            </w:tcBorders>
            <w:shd w:val="clear" w:color="auto" w:fill="auto"/>
            <w:vAlign w:val="center"/>
            <w:hideMark/>
          </w:tcPr>
          <w:p w14:paraId="6E250456"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Plotësohet data e identifikimit të ngjarjes nga punonjësit e subjektit.</w:t>
            </w:r>
          </w:p>
        </w:tc>
      </w:tr>
      <w:tr w:rsidR="00EF09E3" w:rsidRPr="00474D79" w14:paraId="6E25045A"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E250458"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Data e kontabilizimit</w:t>
            </w:r>
          </w:p>
        </w:tc>
        <w:tc>
          <w:tcPr>
            <w:tcW w:w="3848" w:type="pct"/>
            <w:tcBorders>
              <w:top w:val="nil"/>
              <w:left w:val="nil"/>
              <w:bottom w:val="single" w:sz="4" w:space="0" w:color="auto"/>
              <w:right w:val="single" w:sz="4" w:space="0" w:color="auto"/>
            </w:tcBorders>
            <w:shd w:val="clear" w:color="auto" w:fill="auto"/>
            <w:vAlign w:val="center"/>
            <w:hideMark/>
          </w:tcPr>
          <w:p w14:paraId="6E250459"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Plotësohet data në të cilën ngjarja është regjistruar në pasqyrat financiare të subjektit.</w:t>
            </w:r>
          </w:p>
        </w:tc>
      </w:tr>
      <w:tr w:rsidR="00EF09E3" w:rsidRPr="00474D79" w14:paraId="6E25045D"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E25045B"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Lloji i ngjarjes (Niveli 1)</w:t>
            </w:r>
          </w:p>
        </w:tc>
        <w:tc>
          <w:tcPr>
            <w:tcW w:w="3848" w:type="pct"/>
            <w:tcBorders>
              <w:top w:val="nil"/>
              <w:left w:val="nil"/>
              <w:bottom w:val="single" w:sz="4" w:space="0" w:color="auto"/>
              <w:right w:val="single" w:sz="4" w:space="0" w:color="auto"/>
            </w:tcBorders>
            <w:shd w:val="clear" w:color="auto" w:fill="auto"/>
            <w:vAlign w:val="center"/>
            <w:hideMark/>
          </w:tcPr>
          <w:p w14:paraId="6E25045C"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Klasifikimi i llojit të ngjarjes sipas nivelit 1</w:t>
            </w:r>
            <w:r w:rsidR="00783565" w:rsidRPr="00474D79">
              <w:rPr>
                <w:rFonts w:ascii="Garamond" w:eastAsia="Times New Roman" w:hAnsi="Garamond" w:cs="Times New Roman"/>
                <w:color w:val="000000"/>
                <w:sz w:val="18"/>
                <w:lang w:eastAsia="sq-AL"/>
              </w:rPr>
              <w:t xml:space="preserve"> të detajimit</w:t>
            </w:r>
            <w:r w:rsidRPr="00474D79">
              <w:rPr>
                <w:rFonts w:ascii="Garamond" w:eastAsia="Times New Roman" w:hAnsi="Garamond" w:cs="Times New Roman"/>
                <w:color w:val="000000"/>
                <w:sz w:val="18"/>
                <w:lang w:eastAsia="sq-AL"/>
              </w:rPr>
              <w:t xml:space="preserve">, </w:t>
            </w:r>
            <w:r w:rsidR="00783565" w:rsidRPr="00474D79">
              <w:rPr>
                <w:rFonts w:ascii="Garamond" w:eastAsia="Times New Roman" w:hAnsi="Garamond" w:cs="Times New Roman"/>
                <w:color w:val="000000"/>
                <w:sz w:val="18"/>
                <w:lang w:eastAsia="sq-AL"/>
              </w:rPr>
              <w:t xml:space="preserve">siç </w:t>
            </w:r>
            <w:r w:rsidRPr="00474D79">
              <w:rPr>
                <w:rFonts w:ascii="Garamond" w:eastAsia="Times New Roman" w:hAnsi="Garamond" w:cs="Times New Roman"/>
                <w:color w:val="000000"/>
                <w:sz w:val="18"/>
                <w:lang w:eastAsia="sq-AL"/>
              </w:rPr>
              <w:t>paraqitet në aneksin nr. 6 të kësaj rregulloreje.</w:t>
            </w:r>
          </w:p>
        </w:tc>
      </w:tr>
      <w:tr w:rsidR="00EF09E3" w:rsidRPr="00474D79" w14:paraId="6E250460"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E25045E"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Lloji i ngjarjes (Niveli 2)</w:t>
            </w:r>
          </w:p>
        </w:tc>
        <w:tc>
          <w:tcPr>
            <w:tcW w:w="3848" w:type="pct"/>
            <w:tcBorders>
              <w:top w:val="nil"/>
              <w:left w:val="nil"/>
              <w:bottom w:val="single" w:sz="4" w:space="0" w:color="auto"/>
              <w:right w:val="single" w:sz="4" w:space="0" w:color="auto"/>
            </w:tcBorders>
            <w:shd w:val="clear" w:color="auto" w:fill="auto"/>
            <w:vAlign w:val="center"/>
            <w:hideMark/>
          </w:tcPr>
          <w:p w14:paraId="6E25045F"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Klasifikimi i llojit të ngjarjes sipas nivelit 2</w:t>
            </w:r>
            <w:r w:rsidR="00783565" w:rsidRPr="00474D79">
              <w:rPr>
                <w:rFonts w:ascii="Garamond" w:eastAsia="Times New Roman" w:hAnsi="Garamond" w:cs="Times New Roman"/>
                <w:color w:val="000000"/>
                <w:sz w:val="18"/>
                <w:lang w:eastAsia="sq-AL"/>
              </w:rPr>
              <w:t xml:space="preserve"> të detajimit</w:t>
            </w:r>
            <w:r w:rsidRPr="00474D79">
              <w:rPr>
                <w:rFonts w:ascii="Garamond" w:eastAsia="Times New Roman" w:hAnsi="Garamond" w:cs="Times New Roman"/>
                <w:color w:val="000000"/>
                <w:sz w:val="18"/>
                <w:lang w:eastAsia="sq-AL"/>
              </w:rPr>
              <w:t xml:space="preserve">, </w:t>
            </w:r>
            <w:r w:rsidR="00783565" w:rsidRPr="00474D79">
              <w:rPr>
                <w:rFonts w:ascii="Garamond" w:eastAsia="Times New Roman" w:hAnsi="Garamond" w:cs="Times New Roman"/>
                <w:color w:val="000000"/>
                <w:sz w:val="18"/>
                <w:lang w:eastAsia="sq-AL"/>
              </w:rPr>
              <w:t xml:space="preserve">siç </w:t>
            </w:r>
            <w:r w:rsidRPr="00474D79">
              <w:rPr>
                <w:rFonts w:ascii="Garamond" w:eastAsia="Times New Roman" w:hAnsi="Garamond" w:cs="Times New Roman"/>
                <w:color w:val="000000"/>
                <w:sz w:val="18"/>
                <w:lang w:eastAsia="sq-AL"/>
              </w:rPr>
              <w:t xml:space="preserve">paraqitet në anekset nr. 7-13 të kësaj rregulloreje. </w:t>
            </w:r>
          </w:p>
        </w:tc>
      </w:tr>
      <w:tr w:rsidR="00EF09E3" w:rsidRPr="00474D79" w14:paraId="6E250463"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tcPr>
          <w:p w14:paraId="6E250461"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Lloji i ngjarjes (Niveli 3)</w:t>
            </w:r>
          </w:p>
        </w:tc>
        <w:tc>
          <w:tcPr>
            <w:tcW w:w="3848" w:type="pct"/>
            <w:tcBorders>
              <w:top w:val="nil"/>
              <w:left w:val="nil"/>
              <w:bottom w:val="single" w:sz="4" w:space="0" w:color="auto"/>
              <w:right w:val="single" w:sz="4" w:space="0" w:color="auto"/>
            </w:tcBorders>
            <w:shd w:val="clear" w:color="auto" w:fill="auto"/>
            <w:vAlign w:val="center"/>
          </w:tcPr>
          <w:p w14:paraId="6E250462"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Klasifikimi i llojit të ngjarjes sipas nivelit 3</w:t>
            </w:r>
            <w:r w:rsidR="00783565" w:rsidRPr="00474D79">
              <w:rPr>
                <w:rFonts w:ascii="Garamond" w:eastAsia="Times New Roman" w:hAnsi="Garamond" w:cs="Times New Roman"/>
                <w:color w:val="000000"/>
                <w:sz w:val="18"/>
                <w:lang w:eastAsia="sq-AL"/>
              </w:rPr>
              <w:t xml:space="preserve"> të detajimit</w:t>
            </w:r>
            <w:r w:rsidRPr="00474D79">
              <w:rPr>
                <w:rFonts w:ascii="Garamond" w:eastAsia="Times New Roman" w:hAnsi="Garamond" w:cs="Times New Roman"/>
                <w:color w:val="000000"/>
                <w:sz w:val="18"/>
                <w:lang w:eastAsia="sq-AL"/>
              </w:rPr>
              <w:t xml:space="preserve">, </w:t>
            </w:r>
            <w:r w:rsidR="00783565" w:rsidRPr="00474D79">
              <w:rPr>
                <w:rFonts w:ascii="Garamond" w:eastAsia="Times New Roman" w:hAnsi="Garamond" w:cs="Times New Roman"/>
                <w:color w:val="000000"/>
                <w:sz w:val="18"/>
                <w:lang w:eastAsia="sq-AL"/>
              </w:rPr>
              <w:t xml:space="preserve">siç </w:t>
            </w:r>
            <w:r w:rsidRPr="00474D79">
              <w:rPr>
                <w:rFonts w:ascii="Garamond" w:eastAsia="Times New Roman" w:hAnsi="Garamond" w:cs="Times New Roman"/>
                <w:color w:val="000000"/>
                <w:sz w:val="18"/>
                <w:lang w:eastAsia="sq-AL"/>
              </w:rPr>
              <w:t xml:space="preserve">parashikohet në anekset nr. 7-13 të kësaj rregulloreje. Subjekti, duke ndjekur udhëzimet </w:t>
            </w:r>
            <w:r w:rsidR="00783565" w:rsidRPr="00474D79">
              <w:rPr>
                <w:rFonts w:ascii="Garamond" w:eastAsia="Times New Roman" w:hAnsi="Garamond" w:cs="Times New Roman"/>
                <w:color w:val="000000"/>
                <w:sz w:val="18"/>
                <w:lang w:eastAsia="sq-AL"/>
              </w:rPr>
              <w:t xml:space="preserve">sipas </w:t>
            </w:r>
            <w:r w:rsidRPr="00474D79">
              <w:rPr>
                <w:rFonts w:ascii="Garamond" w:eastAsia="Times New Roman" w:hAnsi="Garamond" w:cs="Times New Roman"/>
                <w:color w:val="000000"/>
                <w:sz w:val="18"/>
                <w:lang w:eastAsia="sq-AL"/>
              </w:rPr>
              <w:t>kuadrit të brendshëm rregullativ, mund të përdorë edhe ndarje të tjera për nivelin e tretë të llojit të ngjarjeve.</w:t>
            </w:r>
          </w:p>
        </w:tc>
      </w:tr>
      <w:tr w:rsidR="00EF09E3" w:rsidRPr="00474D79" w14:paraId="6E250466" w14:textId="77777777" w:rsidTr="00D20524">
        <w:trPr>
          <w:trHeight w:val="90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E250464"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Linja e biznesit (Niveli 1)</w:t>
            </w:r>
          </w:p>
        </w:tc>
        <w:tc>
          <w:tcPr>
            <w:tcW w:w="3848" w:type="pct"/>
            <w:tcBorders>
              <w:top w:val="nil"/>
              <w:left w:val="nil"/>
              <w:bottom w:val="single" w:sz="4" w:space="0" w:color="auto"/>
              <w:right w:val="single" w:sz="4" w:space="0" w:color="auto"/>
            </w:tcBorders>
            <w:shd w:val="clear" w:color="auto" w:fill="auto"/>
            <w:vAlign w:val="center"/>
            <w:hideMark/>
          </w:tcPr>
          <w:p w14:paraId="6E250465"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Klasifikimi i ngjarjes sipas linjës së biznesit të nivelit 1</w:t>
            </w:r>
            <w:r w:rsidR="00783565" w:rsidRPr="00474D79">
              <w:rPr>
                <w:rFonts w:ascii="Garamond" w:eastAsia="Times New Roman" w:hAnsi="Garamond" w:cs="Times New Roman"/>
                <w:color w:val="000000"/>
                <w:sz w:val="18"/>
                <w:lang w:eastAsia="sq-AL"/>
              </w:rPr>
              <w:t xml:space="preserve"> të detajimit</w:t>
            </w:r>
            <w:r w:rsidRPr="00474D79">
              <w:rPr>
                <w:rFonts w:ascii="Garamond" w:eastAsia="Times New Roman" w:hAnsi="Garamond" w:cs="Times New Roman"/>
                <w:color w:val="000000"/>
                <w:sz w:val="18"/>
                <w:lang w:eastAsia="sq-AL"/>
              </w:rPr>
              <w:t xml:space="preserve">, </w:t>
            </w:r>
            <w:r w:rsidR="00783565" w:rsidRPr="00474D79">
              <w:rPr>
                <w:rFonts w:ascii="Garamond" w:eastAsia="Times New Roman" w:hAnsi="Garamond" w:cs="Times New Roman"/>
                <w:color w:val="000000"/>
                <w:sz w:val="18"/>
                <w:lang w:eastAsia="sq-AL"/>
              </w:rPr>
              <w:t xml:space="preserve">siç </w:t>
            </w:r>
            <w:r w:rsidRPr="00474D79">
              <w:rPr>
                <w:rFonts w:ascii="Garamond" w:eastAsia="Times New Roman" w:hAnsi="Garamond" w:cs="Times New Roman"/>
                <w:color w:val="000000"/>
                <w:sz w:val="18"/>
                <w:lang w:eastAsia="sq-AL"/>
              </w:rPr>
              <w:t>paraqitet në aneksin nr. 14 të kësaj rregulloreje.</w:t>
            </w:r>
          </w:p>
        </w:tc>
      </w:tr>
      <w:tr w:rsidR="00EF09E3" w:rsidRPr="00474D79" w14:paraId="6E250469"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E250467"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Linja e biznesit (Niveli 2)</w:t>
            </w:r>
          </w:p>
        </w:tc>
        <w:tc>
          <w:tcPr>
            <w:tcW w:w="3848" w:type="pct"/>
            <w:tcBorders>
              <w:top w:val="nil"/>
              <w:left w:val="nil"/>
              <w:bottom w:val="single" w:sz="4" w:space="0" w:color="auto"/>
              <w:right w:val="single" w:sz="4" w:space="0" w:color="auto"/>
            </w:tcBorders>
            <w:shd w:val="clear" w:color="auto" w:fill="auto"/>
            <w:vAlign w:val="center"/>
            <w:hideMark/>
          </w:tcPr>
          <w:p w14:paraId="6E250468"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 xml:space="preserve">Klasifikimi i ngjarjes sipas linjës së biznesit </w:t>
            </w:r>
            <w:r w:rsidR="00783565" w:rsidRPr="00474D79">
              <w:rPr>
                <w:rFonts w:ascii="Garamond" w:eastAsia="Times New Roman" w:hAnsi="Garamond" w:cs="Times New Roman"/>
                <w:color w:val="000000"/>
                <w:sz w:val="18"/>
                <w:lang w:eastAsia="sq-AL"/>
              </w:rPr>
              <w:t xml:space="preserve">të </w:t>
            </w:r>
            <w:r w:rsidRPr="00474D79">
              <w:rPr>
                <w:rFonts w:ascii="Garamond" w:eastAsia="Times New Roman" w:hAnsi="Garamond" w:cs="Times New Roman"/>
                <w:color w:val="000000"/>
                <w:sz w:val="18"/>
                <w:lang w:eastAsia="sq-AL"/>
              </w:rPr>
              <w:t xml:space="preserve">nivelit 2 </w:t>
            </w:r>
            <w:r w:rsidR="00783565" w:rsidRPr="00474D79">
              <w:rPr>
                <w:rFonts w:ascii="Garamond" w:eastAsia="Times New Roman" w:hAnsi="Garamond" w:cs="Times New Roman"/>
                <w:color w:val="000000"/>
                <w:sz w:val="18"/>
                <w:lang w:eastAsia="sq-AL"/>
              </w:rPr>
              <w:t xml:space="preserve">të detajimit, siç </w:t>
            </w:r>
            <w:r w:rsidRPr="00474D79">
              <w:rPr>
                <w:rFonts w:ascii="Garamond" w:eastAsia="Times New Roman" w:hAnsi="Garamond" w:cs="Times New Roman"/>
                <w:color w:val="000000"/>
                <w:sz w:val="18"/>
                <w:lang w:eastAsia="sq-AL"/>
              </w:rPr>
              <w:t xml:space="preserve">paraqitet në aneksin nr. 14 të kësaj rregulloreje. Subjekti, duke ndjekur udhëzimet </w:t>
            </w:r>
            <w:r w:rsidR="00783565" w:rsidRPr="00474D79">
              <w:rPr>
                <w:rFonts w:ascii="Garamond" w:eastAsia="Times New Roman" w:hAnsi="Garamond" w:cs="Times New Roman"/>
                <w:color w:val="000000"/>
                <w:sz w:val="18"/>
                <w:lang w:eastAsia="sq-AL"/>
              </w:rPr>
              <w:t>sipas</w:t>
            </w:r>
            <w:r w:rsidRPr="00474D79">
              <w:rPr>
                <w:rFonts w:ascii="Garamond" w:eastAsia="Times New Roman" w:hAnsi="Garamond" w:cs="Times New Roman"/>
                <w:color w:val="000000"/>
                <w:sz w:val="18"/>
                <w:lang w:eastAsia="sq-AL"/>
              </w:rPr>
              <w:t xml:space="preserve"> kuadrit të brendshëm rregullativ, mund të përdorë edhe ndarje të tjera për nivelin e dytë të linjës së biznesit.</w:t>
            </w:r>
          </w:p>
        </w:tc>
      </w:tr>
      <w:tr w:rsidR="00EF09E3" w:rsidRPr="00474D79" w14:paraId="6E25046C"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E25046A"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Efekti financiar</w:t>
            </w:r>
          </w:p>
        </w:tc>
        <w:tc>
          <w:tcPr>
            <w:tcW w:w="3848" w:type="pct"/>
            <w:tcBorders>
              <w:top w:val="nil"/>
              <w:left w:val="nil"/>
              <w:bottom w:val="single" w:sz="4" w:space="0" w:color="auto"/>
              <w:right w:val="single" w:sz="4" w:space="0" w:color="auto"/>
            </w:tcBorders>
            <w:shd w:val="clear" w:color="auto" w:fill="auto"/>
            <w:vAlign w:val="center"/>
            <w:hideMark/>
          </w:tcPr>
          <w:p w14:paraId="6E25046B"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Efekti financiar plotësohet me një nga opsionet e parashikuar në aneksin nr. 15 të rregullores. Efektet e tjera financiare të parashikuara në nenin 20, pika 3, shkronja “e” të rregullores, vlejnë vetëm për qëllime të brendshme të subjektit.</w:t>
            </w:r>
          </w:p>
        </w:tc>
      </w:tr>
      <w:tr w:rsidR="00EF09E3" w:rsidRPr="00474D79" w14:paraId="6E25046F"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tcPr>
          <w:p w14:paraId="6E25046D"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Shkaku (Niveli 1)</w:t>
            </w:r>
          </w:p>
        </w:tc>
        <w:tc>
          <w:tcPr>
            <w:tcW w:w="3848" w:type="pct"/>
            <w:tcBorders>
              <w:top w:val="nil"/>
              <w:left w:val="nil"/>
              <w:bottom w:val="single" w:sz="4" w:space="0" w:color="auto"/>
              <w:right w:val="single" w:sz="4" w:space="0" w:color="auto"/>
            </w:tcBorders>
            <w:shd w:val="clear" w:color="auto" w:fill="auto"/>
            <w:vAlign w:val="center"/>
          </w:tcPr>
          <w:p w14:paraId="6E25046E"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 xml:space="preserve">Plotësohet një nga opsionet e kolonës </w:t>
            </w:r>
            <w:r w:rsidRPr="00474D79">
              <w:rPr>
                <w:rFonts w:ascii="Garamond" w:eastAsia="Times New Roman" w:hAnsi="Garamond" w:cs="Times New Roman"/>
                <w:i/>
                <w:color w:val="000000"/>
                <w:sz w:val="18"/>
                <w:lang w:eastAsia="sq-AL"/>
              </w:rPr>
              <w:t>“Shkaku i ngjarjes, ndarje sipas nivelit 1”</w:t>
            </w:r>
            <w:r w:rsidRPr="00474D79">
              <w:rPr>
                <w:rFonts w:ascii="Garamond" w:eastAsia="Times New Roman" w:hAnsi="Garamond" w:cs="Times New Roman"/>
                <w:color w:val="000000"/>
                <w:sz w:val="18"/>
                <w:lang w:eastAsia="sq-AL"/>
              </w:rPr>
              <w:t xml:space="preserve"> të aneksit nr. 5 të kësaj rregulloreje.</w:t>
            </w:r>
          </w:p>
        </w:tc>
      </w:tr>
      <w:tr w:rsidR="00EF09E3" w:rsidRPr="00474D79" w14:paraId="6E250472"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tcPr>
          <w:p w14:paraId="6E250470"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Shkaku (Niveli 2)</w:t>
            </w:r>
          </w:p>
        </w:tc>
        <w:tc>
          <w:tcPr>
            <w:tcW w:w="3848" w:type="pct"/>
            <w:tcBorders>
              <w:top w:val="nil"/>
              <w:left w:val="nil"/>
              <w:bottom w:val="single" w:sz="4" w:space="0" w:color="auto"/>
              <w:right w:val="single" w:sz="4" w:space="0" w:color="auto"/>
            </w:tcBorders>
            <w:shd w:val="clear" w:color="auto" w:fill="auto"/>
            <w:vAlign w:val="center"/>
          </w:tcPr>
          <w:p w14:paraId="6E250471"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 xml:space="preserve">Plotësohet një nga opsionet e kolonës </w:t>
            </w:r>
            <w:r w:rsidRPr="00474D79">
              <w:rPr>
                <w:rFonts w:ascii="Garamond" w:eastAsia="Times New Roman" w:hAnsi="Garamond" w:cs="Times New Roman"/>
                <w:i/>
                <w:color w:val="000000"/>
                <w:sz w:val="18"/>
                <w:lang w:eastAsia="sq-AL"/>
              </w:rPr>
              <w:t>“Shkaku i ngjarjes, ndarje sipas nivelit 2”</w:t>
            </w:r>
            <w:r w:rsidRPr="00474D79">
              <w:rPr>
                <w:rFonts w:ascii="Garamond" w:eastAsia="Times New Roman" w:hAnsi="Garamond" w:cs="Times New Roman"/>
                <w:color w:val="000000"/>
                <w:sz w:val="18"/>
                <w:lang w:eastAsia="sq-AL"/>
              </w:rPr>
              <w:t xml:space="preserve"> të aneksit nr. 5 të kësaj rregulloreje.</w:t>
            </w:r>
          </w:p>
        </w:tc>
      </w:tr>
      <w:tr w:rsidR="00EF09E3" w:rsidRPr="00474D79" w14:paraId="6E250475"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E250473"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Vlera e humbjes bruto/fillestare (lekë)</w:t>
            </w:r>
          </w:p>
        </w:tc>
        <w:tc>
          <w:tcPr>
            <w:tcW w:w="3848" w:type="pct"/>
            <w:tcBorders>
              <w:top w:val="nil"/>
              <w:left w:val="nil"/>
              <w:bottom w:val="single" w:sz="4" w:space="0" w:color="auto"/>
              <w:right w:val="single" w:sz="4" w:space="0" w:color="auto"/>
            </w:tcBorders>
            <w:shd w:val="clear" w:color="auto" w:fill="auto"/>
            <w:vAlign w:val="center"/>
            <w:hideMark/>
          </w:tcPr>
          <w:p w14:paraId="6E250474" w14:textId="77777777" w:rsidR="00EF09E3" w:rsidRPr="00474D79" w:rsidRDefault="00EF09E3" w:rsidP="00FD3EF9">
            <w:pPr>
              <w:spacing w:after="0" w:line="240" w:lineRule="auto"/>
              <w:jc w:val="both"/>
              <w:rPr>
                <w:rFonts w:ascii="Garamond" w:eastAsia="Times New Roman" w:hAnsi="Garamond" w:cs="Times New Roman"/>
                <w:sz w:val="18"/>
                <w:lang w:eastAsia="sq-AL"/>
              </w:rPr>
            </w:pPr>
            <w:r w:rsidRPr="00474D79">
              <w:rPr>
                <w:rFonts w:ascii="Garamond" w:eastAsia="Times New Roman" w:hAnsi="Garamond" w:cs="Times New Roman"/>
                <w:sz w:val="18"/>
                <w:lang w:eastAsia="sq-AL"/>
              </w:rPr>
              <w:t xml:space="preserve">Plotësohet humbja fillestare/bruto e çdo ngjarje të ndodhur në këtë regjistër. Regjistrohet vlera absolute/pozitive dhe në asnjë rast nuk plotësohen vlera negative. </w:t>
            </w:r>
          </w:p>
        </w:tc>
      </w:tr>
      <w:tr w:rsidR="00EF09E3" w:rsidRPr="00474D79" w14:paraId="6E250478"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tcPr>
          <w:p w14:paraId="6E250476"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Data e rikuperimit</w:t>
            </w:r>
          </w:p>
        </w:tc>
        <w:tc>
          <w:tcPr>
            <w:tcW w:w="3848" w:type="pct"/>
            <w:tcBorders>
              <w:top w:val="nil"/>
              <w:left w:val="nil"/>
              <w:bottom w:val="single" w:sz="4" w:space="0" w:color="auto"/>
              <w:right w:val="single" w:sz="4" w:space="0" w:color="auto"/>
            </w:tcBorders>
            <w:shd w:val="clear" w:color="auto" w:fill="auto"/>
            <w:vAlign w:val="center"/>
          </w:tcPr>
          <w:p w14:paraId="6E250477" w14:textId="77777777" w:rsidR="00EF09E3" w:rsidRPr="00474D79" w:rsidRDefault="00EF09E3" w:rsidP="00FD3EF9">
            <w:pPr>
              <w:spacing w:after="0" w:line="240" w:lineRule="auto"/>
              <w:jc w:val="both"/>
              <w:rPr>
                <w:rFonts w:ascii="Garamond" w:eastAsia="Times New Roman" w:hAnsi="Garamond" w:cs="Times New Roman"/>
                <w:sz w:val="18"/>
                <w:lang w:eastAsia="sq-AL"/>
              </w:rPr>
            </w:pPr>
            <w:r w:rsidRPr="00474D79">
              <w:rPr>
                <w:rFonts w:ascii="Garamond" w:eastAsia="Times New Roman" w:hAnsi="Garamond" w:cs="Times New Roman"/>
                <w:sz w:val="18"/>
                <w:lang w:eastAsia="sq-AL"/>
              </w:rPr>
              <w:t>Plot</w:t>
            </w:r>
            <w:r w:rsidR="00783565" w:rsidRPr="00474D79">
              <w:rPr>
                <w:rFonts w:ascii="Garamond" w:eastAsia="Times New Roman" w:hAnsi="Garamond" w:cs="Times New Roman"/>
                <w:sz w:val="18"/>
                <w:lang w:eastAsia="sq-AL"/>
              </w:rPr>
              <w:t>ë</w:t>
            </w:r>
            <w:r w:rsidRPr="00474D79">
              <w:rPr>
                <w:rFonts w:ascii="Garamond" w:eastAsia="Times New Roman" w:hAnsi="Garamond" w:cs="Times New Roman"/>
                <w:sz w:val="18"/>
                <w:lang w:eastAsia="sq-AL"/>
              </w:rPr>
              <w:t>sohet data n</w:t>
            </w:r>
            <w:r w:rsidR="00783565" w:rsidRPr="00474D79">
              <w:rPr>
                <w:rFonts w:ascii="Garamond" w:eastAsia="Times New Roman" w:hAnsi="Garamond" w:cs="Times New Roman"/>
                <w:sz w:val="18"/>
                <w:lang w:eastAsia="sq-AL"/>
              </w:rPr>
              <w:t>ë</w:t>
            </w:r>
            <w:r w:rsidRPr="00474D79">
              <w:rPr>
                <w:rFonts w:ascii="Garamond" w:eastAsia="Times New Roman" w:hAnsi="Garamond" w:cs="Times New Roman"/>
                <w:sz w:val="18"/>
                <w:lang w:eastAsia="sq-AL"/>
              </w:rPr>
              <w:t xml:space="preserve"> t</w:t>
            </w:r>
            <w:r w:rsidR="00783565" w:rsidRPr="00474D79">
              <w:rPr>
                <w:rFonts w:ascii="Garamond" w:eastAsia="Times New Roman" w:hAnsi="Garamond" w:cs="Times New Roman"/>
                <w:sz w:val="18"/>
                <w:lang w:eastAsia="sq-AL"/>
              </w:rPr>
              <w:t>ë</w:t>
            </w:r>
            <w:r w:rsidRPr="00474D79">
              <w:rPr>
                <w:rFonts w:ascii="Garamond" w:eastAsia="Times New Roman" w:hAnsi="Garamond" w:cs="Times New Roman"/>
                <w:sz w:val="18"/>
                <w:lang w:eastAsia="sq-AL"/>
              </w:rPr>
              <w:t xml:space="preserve"> cil</w:t>
            </w:r>
            <w:r w:rsidR="00783565" w:rsidRPr="00474D79">
              <w:rPr>
                <w:rFonts w:ascii="Garamond" w:eastAsia="Times New Roman" w:hAnsi="Garamond" w:cs="Times New Roman"/>
                <w:sz w:val="18"/>
                <w:lang w:eastAsia="sq-AL"/>
              </w:rPr>
              <w:t>ë</w:t>
            </w:r>
            <w:r w:rsidRPr="00474D79">
              <w:rPr>
                <w:rFonts w:ascii="Garamond" w:eastAsia="Times New Roman" w:hAnsi="Garamond" w:cs="Times New Roman"/>
                <w:sz w:val="18"/>
                <w:lang w:eastAsia="sq-AL"/>
              </w:rPr>
              <w:t xml:space="preserve">n </w:t>
            </w:r>
            <w:r w:rsidR="00783565" w:rsidRPr="00474D79">
              <w:rPr>
                <w:rFonts w:ascii="Garamond" w:eastAsia="Times New Roman" w:hAnsi="Garamond" w:cs="Times New Roman"/>
                <w:sz w:val="18"/>
                <w:lang w:eastAsia="sq-AL"/>
              </w:rPr>
              <w:t>ë</w:t>
            </w:r>
            <w:r w:rsidRPr="00474D79">
              <w:rPr>
                <w:rFonts w:ascii="Garamond" w:eastAsia="Times New Roman" w:hAnsi="Garamond" w:cs="Times New Roman"/>
                <w:sz w:val="18"/>
                <w:lang w:eastAsia="sq-AL"/>
              </w:rPr>
              <w:t>sht</w:t>
            </w:r>
            <w:r w:rsidR="00783565" w:rsidRPr="00474D79">
              <w:rPr>
                <w:rFonts w:ascii="Garamond" w:eastAsia="Times New Roman" w:hAnsi="Garamond" w:cs="Times New Roman"/>
                <w:sz w:val="18"/>
                <w:lang w:eastAsia="sq-AL"/>
              </w:rPr>
              <w:t>ë</w:t>
            </w:r>
            <w:r w:rsidRPr="00474D79">
              <w:rPr>
                <w:rFonts w:ascii="Garamond" w:eastAsia="Times New Roman" w:hAnsi="Garamond" w:cs="Times New Roman"/>
                <w:sz w:val="18"/>
                <w:lang w:eastAsia="sq-AL"/>
              </w:rPr>
              <w:t xml:space="preserve"> kontabilizuar vlera e rikuperimit.</w:t>
            </w:r>
          </w:p>
        </w:tc>
      </w:tr>
      <w:tr w:rsidR="00EF09E3" w:rsidRPr="00474D79" w14:paraId="6E25047B"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tcPr>
          <w:p w14:paraId="6E250479"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Vlera e rikuperuar</w:t>
            </w:r>
          </w:p>
        </w:tc>
        <w:tc>
          <w:tcPr>
            <w:tcW w:w="3848" w:type="pct"/>
            <w:tcBorders>
              <w:top w:val="nil"/>
              <w:left w:val="nil"/>
              <w:bottom w:val="single" w:sz="4" w:space="0" w:color="auto"/>
              <w:right w:val="single" w:sz="4" w:space="0" w:color="auto"/>
            </w:tcBorders>
            <w:shd w:val="clear" w:color="auto" w:fill="auto"/>
            <w:vAlign w:val="center"/>
          </w:tcPr>
          <w:p w14:paraId="6E25047A" w14:textId="77777777" w:rsidR="00EF09E3" w:rsidRPr="00474D79" w:rsidRDefault="00EF09E3" w:rsidP="00FD3EF9">
            <w:pPr>
              <w:spacing w:after="0" w:line="240" w:lineRule="auto"/>
              <w:jc w:val="both"/>
              <w:rPr>
                <w:rFonts w:ascii="Garamond" w:eastAsia="Times New Roman" w:hAnsi="Garamond" w:cs="Times New Roman"/>
                <w:sz w:val="18"/>
                <w:lang w:eastAsia="sq-AL"/>
              </w:rPr>
            </w:pPr>
            <w:r w:rsidRPr="00474D79">
              <w:rPr>
                <w:rFonts w:ascii="Garamond" w:eastAsia="Times New Roman" w:hAnsi="Garamond" w:cs="Times New Roman"/>
                <w:sz w:val="18"/>
                <w:lang w:eastAsia="sq-AL"/>
              </w:rPr>
              <w:t xml:space="preserve">Plotësohet çdo vlerë e rikuperuar nga humbja fillestare. Vlera e rikuperuar regjistrohet në këtë qelizë dhe nuk prek vlerën e regjistruar në qelizën e humbjes bruto/fillestare. </w:t>
            </w:r>
          </w:p>
        </w:tc>
      </w:tr>
      <w:tr w:rsidR="00EF09E3" w:rsidRPr="00474D79" w14:paraId="6E25047F"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tcPr>
          <w:p w14:paraId="6E25047C"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Ngjarje kufitare (</w:t>
            </w:r>
            <w:r w:rsidRPr="00474D79">
              <w:rPr>
                <w:rFonts w:ascii="Garamond" w:eastAsia="Times New Roman" w:hAnsi="Garamond" w:cs="Times New Roman"/>
                <w:i/>
                <w:iCs/>
                <w:sz w:val="18"/>
              </w:rPr>
              <w:t>boundary event)</w:t>
            </w:r>
          </w:p>
        </w:tc>
        <w:tc>
          <w:tcPr>
            <w:tcW w:w="3848" w:type="pct"/>
            <w:tcBorders>
              <w:top w:val="nil"/>
              <w:left w:val="nil"/>
              <w:bottom w:val="single" w:sz="4" w:space="0" w:color="auto"/>
              <w:right w:val="single" w:sz="4" w:space="0" w:color="auto"/>
            </w:tcBorders>
            <w:shd w:val="clear" w:color="auto" w:fill="auto"/>
            <w:vAlign w:val="center"/>
          </w:tcPr>
          <w:p w14:paraId="6E25047D" w14:textId="77777777" w:rsidR="007E6FA0" w:rsidRPr="00474D79" w:rsidRDefault="00EF09E3" w:rsidP="00FD3EF9">
            <w:pPr>
              <w:spacing w:after="0" w:line="240" w:lineRule="auto"/>
              <w:jc w:val="both"/>
              <w:rPr>
                <w:rFonts w:ascii="Garamond" w:eastAsia="Times New Roman" w:hAnsi="Garamond" w:cs="Times New Roman"/>
                <w:sz w:val="18"/>
                <w:lang w:eastAsia="sq-AL"/>
              </w:rPr>
            </w:pPr>
            <w:r w:rsidRPr="00474D79">
              <w:rPr>
                <w:rFonts w:ascii="Garamond" w:eastAsia="Times New Roman" w:hAnsi="Garamond" w:cs="Times New Roman"/>
                <w:sz w:val="18"/>
                <w:lang w:eastAsia="sq-AL"/>
              </w:rPr>
              <w:t xml:space="preserve">Plotësohet me një nga fjalët: “JO” ose “Rreziku i kredisë” ose “Rreziku i tregut”. </w:t>
            </w:r>
          </w:p>
          <w:p w14:paraId="6E25047E" w14:textId="77777777" w:rsidR="00EF09E3" w:rsidRPr="00474D79" w:rsidRDefault="00EF09E3" w:rsidP="00FD3EF9">
            <w:pPr>
              <w:spacing w:after="0" w:line="240" w:lineRule="auto"/>
              <w:jc w:val="both"/>
              <w:rPr>
                <w:rFonts w:ascii="Garamond" w:eastAsia="Times New Roman" w:hAnsi="Garamond" w:cs="Times New Roman"/>
                <w:sz w:val="18"/>
                <w:lang w:eastAsia="sq-AL"/>
              </w:rPr>
            </w:pPr>
            <w:r w:rsidRPr="00474D79">
              <w:rPr>
                <w:rFonts w:ascii="Garamond" w:eastAsia="Times New Roman" w:hAnsi="Garamond" w:cs="Times New Roman"/>
                <w:i/>
                <w:sz w:val="18"/>
                <w:lang w:eastAsia="sq-AL"/>
              </w:rPr>
              <w:t>Sqarim</w:t>
            </w:r>
            <w:r w:rsidRPr="00474D79">
              <w:rPr>
                <w:rFonts w:ascii="Garamond" w:eastAsia="Times New Roman" w:hAnsi="Garamond" w:cs="Times New Roman"/>
                <w:sz w:val="18"/>
                <w:lang w:eastAsia="sq-AL"/>
              </w:rPr>
              <w:t>: me shënimin “rreziku i kredisë” ose “rreziku i tregut” plotësohet vetëm kur ngjarja operacionale vjen nga ngjarje të lidhura me rrezikun e kredisë ose atë të tregut (</w:t>
            </w:r>
            <w:r w:rsidRPr="00474D79">
              <w:rPr>
                <w:rFonts w:ascii="Garamond" w:eastAsia="Times New Roman" w:hAnsi="Garamond" w:cs="Times New Roman"/>
                <w:i/>
                <w:sz w:val="18"/>
                <w:lang w:eastAsia="sq-AL"/>
              </w:rPr>
              <w:t>boundary events</w:t>
            </w:r>
            <w:r w:rsidRPr="00474D79">
              <w:rPr>
                <w:rFonts w:ascii="Garamond" w:eastAsia="Times New Roman" w:hAnsi="Garamond" w:cs="Times New Roman"/>
                <w:sz w:val="18"/>
                <w:lang w:eastAsia="sq-AL"/>
              </w:rPr>
              <w:t xml:space="preserve">). Në çdo rast tjetër do regjistrohet “JO”. </w:t>
            </w:r>
          </w:p>
        </w:tc>
      </w:tr>
      <w:tr w:rsidR="00EF09E3" w:rsidRPr="00474D79" w14:paraId="6E250482" w14:textId="77777777" w:rsidTr="00D20524">
        <w:trPr>
          <w:trHeight w:val="6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E250480"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Komente</w:t>
            </w:r>
          </w:p>
        </w:tc>
        <w:tc>
          <w:tcPr>
            <w:tcW w:w="3848" w:type="pct"/>
            <w:tcBorders>
              <w:top w:val="nil"/>
              <w:left w:val="nil"/>
              <w:bottom w:val="single" w:sz="4" w:space="0" w:color="auto"/>
              <w:right w:val="single" w:sz="4" w:space="0" w:color="auto"/>
            </w:tcBorders>
            <w:shd w:val="clear" w:color="auto" w:fill="auto"/>
            <w:vAlign w:val="center"/>
            <w:hideMark/>
          </w:tcPr>
          <w:p w14:paraId="6E250481" w14:textId="77777777" w:rsidR="00EF09E3" w:rsidRPr="00474D79" w:rsidRDefault="00EF09E3" w:rsidP="00FD3EF9">
            <w:pPr>
              <w:spacing w:after="0" w:line="240" w:lineRule="auto"/>
              <w:jc w:val="both"/>
              <w:rPr>
                <w:rFonts w:ascii="Garamond" w:eastAsia="Times New Roman" w:hAnsi="Garamond" w:cs="Times New Roman"/>
                <w:color w:val="000000"/>
                <w:sz w:val="18"/>
                <w:lang w:eastAsia="sq-AL"/>
              </w:rPr>
            </w:pPr>
            <w:r w:rsidRPr="00474D79">
              <w:rPr>
                <w:rFonts w:ascii="Garamond" w:eastAsia="Times New Roman" w:hAnsi="Garamond" w:cs="Times New Roman"/>
                <w:color w:val="000000"/>
                <w:sz w:val="18"/>
                <w:lang w:eastAsia="sq-AL"/>
              </w:rPr>
              <w:t>Plotësohet me çdo koment të vlefshëm mbi ngjarjen.</w:t>
            </w:r>
          </w:p>
        </w:tc>
      </w:tr>
    </w:tbl>
    <w:p w14:paraId="6E250483" w14:textId="77777777" w:rsidR="00EF09E3" w:rsidRPr="00474D79" w:rsidRDefault="00EF09E3" w:rsidP="00FD3EF9">
      <w:pPr>
        <w:spacing w:after="0" w:line="240" w:lineRule="auto"/>
        <w:jc w:val="both"/>
        <w:rPr>
          <w:rFonts w:ascii="Garamond" w:hAnsi="Garamond" w:cs="Arial"/>
        </w:rPr>
      </w:pPr>
    </w:p>
    <w:p w14:paraId="6E250484" w14:textId="77777777" w:rsidR="00EF09E3" w:rsidRPr="00474D79" w:rsidRDefault="00EF09E3" w:rsidP="00FD3EF9">
      <w:pPr>
        <w:spacing w:after="0" w:line="240" w:lineRule="auto"/>
        <w:jc w:val="both"/>
        <w:rPr>
          <w:rFonts w:ascii="Garamond" w:hAnsi="Garamond" w:cs="Arial"/>
        </w:rPr>
      </w:pPr>
    </w:p>
    <w:p w14:paraId="6E250486" w14:textId="1F6D1182" w:rsidR="00EF09E3" w:rsidRPr="002F4A24" w:rsidRDefault="002F4A24" w:rsidP="002F4A24">
      <w:pPr>
        <w:spacing w:after="0" w:line="240" w:lineRule="auto"/>
        <w:jc w:val="center"/>
        <w:rPr>
          <w:rFonts w:ascii="Garamond" w:hAnsi="Garamond" w:cs="Times New Roman"/>
          <w:sz w:val="24"/>
          <w:szCs w:val="24"/>
        </w:rPr>
      </w:pPr>
      <w:r w:rsidRPr="002F4A24">
        <w:rPr>
          <w:rFonts w:ascii="Garamond" w:hAnsi="Garamond" w:cs="Times New Roman"/>
          <w:sz w:val="24"/>
          <w:szCs w:val="24"/>
        </w:rPr>
        <w:t>ANEKS NR. 5</w:t>
      </w:r>
    </w:p>
    <w:p w14:paraId="6E250487" w14:textId="6C2D42EB" w:rsidR="00EF09E3" w:rsidRPr="002F4A24" w:rsidRDefault="002F4A24" w:rsidP="002F4A24">
      <w:pPr>
        <w:pStyle w:val="ListParagraph"/>
        <w:spacing w:after="0" w:line="240" w:lineRule="auto"/>
        <w:ind w:left="0"/>
        <w:jc w:val="center"/>
        <w:rPr>
          <w:rFonts w:ascii="Garamond" w:hAnsi="Garamond" w:cs="Times New Roman"/>
          <w:sz w:val="24"/>
          <w:szCs w:val="24"/>
        </w:rPr>
      </w:pPr>
      <w:r w:rsidRPr="002F4A24">
        <w:rPr>
          <w:rFonts w:ascii="Garamond" w:hAnsi="Garamond" w:cs="Times New Roman"/>
          <w:sz w:val="24"/>
          <w:szCs w:val="24"/>
        </w:rPr>
        <w:t>KLASIFIKIMI I NGJARJES SIPAS SHKAKUT, NIVELI 1 DHE 2 I DETAJIMIT</w:t>
      </w:r>
    </w:p>
    <w:tbl>
      <w:tblPr>
        <w:tblW w:w="52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5743"/>
      </w:tblGrid>
      <w:tr w:rsidR="00EF09E3" w:rsidRPr="00474D79" w14:paraId="6E25048A" w14:textId="77777777" w:rsidTr="00D20524">
        <w:tc>
          <w:tcPr>
            <w:tcW w:w="1833" w:type="pct"/>
            <w:tcBorders>
              <w:bottom w:val="single" w:sz="4" w:space="0" w:color="auto"/>
            </w:tcBorders>
            <w:shd w:val="clear" w:color="auto" w:fill="auto"/>
            <w:vAlign w:val="center"/>
          </w:tcPr>
          <w:p w14:paraId="6E250488" w14:textId="77777777" w:rsidR="00EF09E3" w:rsidRPr="00474D79" w:rsidRDefault="00EF09E3" w:rsidP="00FD3EF9">
            <w:pPr>
              <w:spacing w:after="0" w:line="240" w:lineRule="auto"/>
              <w:jc w:val="both"/>
              <w:rPr>
                <w:rFonts w:ascii="Garamond" w:eastAsia="Times New Roman" w:hAnsi="Garamond" w:cs="Times New Roman"/>
                <w:b/>
                <w:sz w:val="18"/>
              </w:rPr>
            </w:pPr>
            <w:r w:rsidRPr="00474D79">
              <w:rPr>
                <w:rFonts w:ascii="Garamond" w:eastAsia="Times New Roman" w:hAnsi="Garamond" w:cs="Times New Roman"/>
                <w:b/>
                <w:sz w:val="18"/>
              </w:rPr>
              <w:t>Shkaku i ngjarjes, ndarje sipas nivelit 1</w:t>
            </w:r>
          </w:p>
        </w:tc>
        <w:tc>
          <w:tcPr>
            <w:tcW w:w="3167" w:type="pct"/>
            <w:tcBorders>
              <w:bottom w:val="single" w:sz="4" w:space="0" w:color="auto"/>
            </w:tcBorders>
            <w:shd w:val="clear" w:color="auto" w:fill="auto"/>
            <w:vAlign w:val="center"/>
          </w:tcPr>
          <w:p w14:paraId="6E250489" w14:textId="77777777" w:rsidR="00EF09E3" w:rsidRPr="00474D79" w:rsidRDefault="00EF09E3" w:rsidP="00FD3EF9">
            <w:pPr>
              <w:spacing w:after="0" w:line="240" w:lineRule="auto"/>
              <w:jc w:val="both"/>
              <w:rPr>
                <w:rFonts w:ascii="Garamond" w:eastAsia="Times New Roman" w:hAnsi="Garamond" w:cs="Times New Roman"/>
                <w:b/>
                <w:sz w:val="18"/>
              </w:rPr>
            </w:pPr>
            <w:r w:rsidRPr="00474D79">
              <w:rPr>
                <w:rFonts w:ascii="Garamond" w:eastAsia="Times New Roman" w:hAnsi="Garamond" w:cs="Times New Roman"/>
                <w:b/>
                <w:sz w:val="18"/>
              </w:rPr>
              <w:t>Shkaku i ngjarjes, ndarje sipas nivelit 2</w:t>
            </w:r>
          </w:p>
        </w:tc>
      </w:tr>
      <w:tr w:rsidR="00EF09E3" w:rsidRPr="00474D79" w14:paraId="6E25048D" w14:textId="77777777" w:rsidTr="00D20524">
        <w:tc>
          <w:tcPr>
            <w:tcW w:w="1833" w:type="pct"/>
            <w:vMerge w:val="restart"/>
            <w:shd w:val="clear" w:color="auto" w:fill="auto"/>
            <w:vAlign w:val="center"/>
          </w:tcPr>
          <w:p w14:paraId="6E25048B"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Njerëzit/punonjësit</w:t>
            </w:r>
          </w:p>
        </w:tc>
        <w:tc>
          <w:tcPr>
            <w:tcW w:w="3167" w:type="pct"/>
            <w:shd w:val="clear" w:color="auto" w:fill="auto"/>
            <w:vAlign w:val="center"/>
          </w:tcPr>
          <w:p w14:paraId="6E25048C"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Shkaqe aksidentale (njerëz)</w:t>
            </w:r>
          </w:p>
        </w:tc>
      </w:tr>
      <w:tr w:rsidR="00EF09E3" w:rsidRPr="00474D79" w14:paraId="6E250490" w14:textId="77777777" w:rsidTr="00D20524">
        <w:tc>
          <w:tcPr>
            <w:tcW w:w="1833" w:type="pct"/>
            <w:vMerge/>
            <w:shd w:val="clear" w:color="auto" w:fill="auto"/>
            <w:vAlign w:val="center"/>
          </w:tcPr>
          <w:p w14:paraId="6E25048E"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8F"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Mungesë e trajnimit/kompetencës së mjaftueshme</w:t>
            </w:r>
          </w:p>
        </w:tc>
      </w:tr>
      <w:tr w:rsidR="00EF09E3" w:rsidRPr="00474D79" w14:paraId="6E250493" w14:textId="77777777" w:rsidTr="00D20524">
        <w:tc>
          <w:tcPr>
            <w:tcW w:w="1833" w:type="pct"/>
            <w:vMerge/>
            <w:shd w:val="clear" w:color="auto" w:fill="auto"/>
            <w:vAlign w:val="center"/>
          </w:tcPr>
          <w:p w14:paraId="6E250491"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92"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Nivel i pamjaftueshëm i burimeve njerëzore</w:t>
            </w:r>
          </w:p>
        </w:tc>
      </w:tr>
      <w:tr w:rsidR="00EF09E3" w:rsidRPr="00474D79" w14:paraId="6E250496" w14:textId="77777777" w:rsidTr="00D20524">
        <w:tc>
          <w:tcPr>
            <w:tcW w:w="1833" w:type="pct"/>
            <w:vMerge/>
            <w:shd w:val="clear" w:color="auto" w:fill="auto"/>
            <w:vAlign w:val="center"/>
          </w:tcPr>
          <w:p w14:paraId="6E250494"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95"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Role dhe përgjegjësi joefektive</w:t>
            </w:r>
          </w:p>
        </w:tc>
      </w:tr>
      <w:tr w:rsidR="00EF09E3" w:rsidRPr="00474D79" w14:paraId="6E250499" w14:textId="77777777" w:rsidTr="00D20524">
        <w:tc>
          <w:tcPr>
            <w:tcW w:w="1833" w:type="pct"/>
            <w:vMerge/>
            <w:shd w:val="clear" w:color="auto" w:fill="auto"/>
            <w:vAlign w:val="center"/>
          </w:tcPr>
          <w:p w14:paraId="6E250497"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98"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Komunikim i gabuar</w:t>
            </w:r>
          </w:p>
        </w:tc>
      </w:tr>
      <w:tr w:rsidR="00EF09E3" w:rsidRPr="00474D79" w14:paraId="6E25049C" w14:textId="77777777" w:rsidTr="00D20524">
        <w:tc>
          <w:tcPr>
            <w:tcW w:w="1833" w:type="pct"/>
            <w:vMerge/>
            <w:shd w:val="clear" w:color="auto" w:fill="auto"/>
            <w:vAlign w:val="center"/>
          </w:tcPr>
          <w:p w14:paraId="6E25049A"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9B"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Kulturë joefektive</w:t>
            </w:r>
          </w:p>
        </w:tc>
      </w:tr>
      <w:tr w:rsidR="00EF09E3" w:rsidRPr="00474D79" w14:paraId="6E25049F" w14:textId="77777777" w:rsidTr="00D20524">
        <w:tc>
          <w:tcPr>
            <w:tcW w:w="1833" w:type="pct"/>
            <w:vMerge/>
            <w:tcBorders>
              <w:bottom w:val="single" w:sz="4" w:space="0" w:color="auto"/>
            </w:tcBorders>
            <w:shd w:val="clear" w:color="auto" w:fill="auto"/>
            <w:vAlign w:val="center"/>
          </w:tcPr>
          <w:p w14:paraId="6E25049D"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tcBorders>
              <w:bottom w:val="single" w:sz="4" w:space="0" w:color="auto"/>
            </w:tcBorders>
            <w:shd w:val="clear" w:color="auto" w:fill="auto"/>
            <w:vAlign w:val="center"/>
          </w:tcPr>
          <w:p w14:paraId="6E25049E"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Keqdashje</w:t>
            </w:r>
          </w:p>
        </w:tc>
      </w:tr>
      <w:tr w:rsidR="00EF09E3" w:rsidRPr="00474D79" w14:paraId="6E2504A2" w14:textId="77777777" w:rsidTr="00D20524">
        <w:tc>
          <w:tcPr>
            <w:tcW w:w="1833" w:type="pct"/>
            <w:vMerge w:val="restart"/>
            <w:tcBorders>
              <w:top w:val="single" w:sz="4" w:space="0" w:color="auto"/>
            </w:tcBorders>
            <w:shd w:val="clear" w:color="auto" w:fill="auto"/>
            <w:vAlign w:val="center"/>
          </w:tcPr>
          <w:p w14:paraId="6E2504A0"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Dështim i proceseve</w:t>
            </w:r>
          </w:p>
        </w:tc>
        <w:tc>
          <w:tcPr>
            <w:tcW w:w="3167" w:type="pct"/>
            <w:shd w:val="clear" w:color="auto" w:fill="auto"/>
            <w:vAlign w:val="center"/>
          </w:tcPr>
          <w:p w14:paraId="6E2504A1"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Dështim në dizenjimin e procedurës/procesit</w:t>
            </w:r>
          </w:p>
        </w:tc>
      </w:tr>
      <w:tr w:rsidR="00EF09E3" w:rsidRPr="00474D79" w14:paraId="6E2504A5" w14:textId="77777777" w:rsidTr="00D20524">
        <w:tc>
          <w:tcPr>
            <w:tcW w:w="1833" w:type="pct"/>
            <w:vMerge/>
            <w:shd w:val="clear" w:color="auto" w:fill="auto"/>
            <w:vAlign w:val="center"/>
          </w:tcPr>
          <w:p w14:paraId="6E2504A3"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A4"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Dështim në implementimin e procedurës/procesit</w:t>
            </w:r>
          </w:p>
        </w:tc>
      </w:tr>
      <w:tr w:rsidR="00EF09E3" w:rsidRPr="00474D79" w14:paraId="6E2504A8" w14:textId="77777777" w:rsidTr="00D20524">
        <w:tc>
          <w:tcPr>
            <w:tcW w:w="1833" w:type="pct"/>
            <w:vMerge/>
            <w:shd w:val="clear" w:color="auto" w:fill="auto"/>
            <w:vAlign w:val="center"/>
          </w:tcPr>
          <w:p w14:paraId="6E2504A6"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A7"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Keqadministrim i projekteve/ndryshimeve</w:t>
            </w:r>
          </w:p>
        </w:tc>
      </w:tr>
      <w:tr w:rsidR="00EF09E3" w:rsidRPr="00474D79" w14:paraId="6E2504AB" w14:textId="77777777" w:rsidTr="00D20524">
        <w:tc>
          <w:tcPr>
            <w:tcW w:w="1833" w:type="pct"/>
            <w:vMerge/>
            <w:tcBorders>
              <w:bottom w:val="single" w:sz="4" w:space="0" w:color="auto"/>
            </w:tcBorders>
            <w:shd w:val="clear" w:color="auto" w:fill="auto"/>
            <w:vAlign w:val="center"/>
          </w:tcPr>
          <w:p w14:paraId="6E2504A9"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AA"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Dështim i qeverisjes</w:t>
            </w:r>
          </w:p>
        </w:tc>
      </w:tr>
      <w:tr w:rsidR="00EF09E3" w:rsidRPr="00474D79" w14:paraId="6E2504AE" w14:textId="77777777" w:rsidTr="00D20524">
        <w:tc>
          <w:tcPr>
            <w:tcW w:w="1833" w:type="pct"/>
            <w:vMerge w:val="restart"/>
            <w:tcBorders>
              <w:top w:val="single" w:sz="4" w:space="0" w:color="auto"/>
            </w:tcBorders>
            <w:shd w:val="clear" w:color="auto" w:fill="auto"/>
            <w:vAlign w:val="center"/>
          </w:tcPr>
          <w:p w14:paraId="6E2504AC"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Faktorë të jashtëm</w:t>
            </w:r>
          </w:p>
        </w:tc>
        <w:tc>
          <w:tcPr>
            <w:tcW w:w="3167" w:type="pct"/>
            <w:shd w:val="clear" w:color="auto" w:fill="auto"/>
            <w:vAlign w:val="center"/>
          </w:tcPr>
          <w:p w14:paraId="6E2504AD"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Fatkeqësi natyrore</w:t>
            </w:r>
          </w:p>
        </w:tc>
      </w:tr>
      <w:tr w:rsidR="00EF09E3" w:rsidRPr="00474D79" w14:paraId="6E2504B1" w14:textId="77777777" w:rsidTr="00D20524">
        <w:tc>
          <w:tcPr>
            <w:tcW w:w="1833" w:type="pct"/>
            <w:vMerge/>
            <w:shd w:val="clear" w:color="auto" w:fill="auto"/>
            <w:vAlign w:val="center"/>
          </w:tcPr>
          <w:p w14:paraId="6E2504AF"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B0"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Keqdashje</w:t>
            </w:r>
          </w:p>
        </w:tc>
      </w:tr>
      <w:tr w:rsidR="00EF09E3" w:rsidRPr="00474D79" w14:paraId="6E2504B4" w14:textId="77777777" w:rsidTr="00D20524">
        <w:tc>
          <w:tcPr>
            <w:tcW w:w="1833" w:type="pct"/>
            <w:vMerge/>
            <w:shd w:val="clear" w:color="auto" w:fill="auto"/>
            <w:vAlign w:val="center"/>
          </w:tcPr>
          <w:p w14:paraId="6E2504B2"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tcBorders>
              <w:bottom w:val="single" w:sz="4" w:space="0" w:color="auto"/>
            </w:tcBorders>
            <w:shd w:val="clear" w:color="auto" w:fill="auto"/>
            <w:vAlign w:val="center"/>
          </w:tcPr>
          <w:p w14:paraId="6E2504B3"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Terrorizëm/sulme të jashtme (me përjashtim të sulmeve kibernetike)</w:t>
            </w:r>
          </w:p>
        </w:tc>
      </w:tr>
      <w:tr w:rsidR="00EF09E3" w:rsidRPr="00474D79" w14:paraId="6E2504B7" w14:textId="77777777" w:rsidTr="00D20524">
        <w:tc>
          <w:tcPr>
            <w:tcW w:w="1833" w:type="pct"/>
            <w:vMerge/>
            <w:shd w:val="clear" w:color="auto" w:fill="auto"/>
            <w:vAlign w:val="center"/>
          </w:tcPr>
          <w:p w14:paraId="6E2504B5"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B6"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Mjedisi (me përjashtim të fatkeqësive natyrore)</w:t>
            </w:r>
          </w:p>
        </w:tc>
      </w:tr>
      <w:tr w:rsidR="00EF09E3" w:rsidRPr="00474D79" w14:paraId="6E2504BA" w14:textId="77777777" w:rsidTr="00D20524">
        <w:tc>
          <w:tcPr>
            <w:tcW w:w="1833" w:type="pct"/>
            <w:vMerge/>
            <w:shd w:val="clear" w:color="auto" w:fill="auto"/>
            <w:vAlign w:val="center"/>
          </w:tcPr>
          <w:p w14:paraId="6E2504B8"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B9"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Destabilizim gjeopolitik/ekonomik/social</w:t>
            </w:r>
          </w:p>
        </w:tc>
      </w:tr>
      <w:tr w:rsidR="00EF09E3" w:rsidRPr="00474D79" w14:paraId="6E2504BD" w14:textId="77777777" w:rsidTr="00D20524">
        <w:tc>
          <w:tcPr>
            <w:tcW w:w="1833" w:type="pct"/>
            <w:vMerge/>
            <w:tcBorders>
              <w:bottom w:val="single" w:sz="4" w:space="0" w:color="auto"/>
            </w:tcBorders>
            <w:shd w:val="clear" w:color="auto" w:fill="auto"/>
            <w:vAlign w:val="center"/>
          </w:tcPr>
          <w:p w14:paraId="6E2504BB"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tcBorders>
              <w:bottom w:val="single" w:sz="4" w:space="0" w:color="auto"/>
            </w:tcBorders>
            <w:shd w:val="clear" w:color="auto" w:fill="auto"/>
            <w:vAlign w:val="center"/>
          </w:tcPr>
          <w:p w14:paraId="6E2504BC"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Mjedisi rregullator dhe legjislativ</w:t>
            </w:r>
          </w:p>
        </w:tc>
      </w:tr>
      <w:tr w:rsidR="00EF09E3" w:rsidRPr="00474D79" w14:paraId="6E2504C0" w14:textId="77777777" w:rsidTr="00D20524">
        <w:tc>
          <w:tcPr>
            <w:tcW w:w="1833" w:type="pct"/>
            <w:vMerge w:val="restart"/>
            <w:tcBorders>
              <w:top w:val="single" w:sz="4" w:space="0" w:color="auto"/>
            </w:tcBorders>
            <w:shd w:val="clear" w:color="auto" w:fill="auto"/>
            <w:vAlign w:val="center"/>
          </w:tcPr>
          <w:p w14:paraId="6E2504BE"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Sistemet</w:t>
            </w:r>
          </w:p>
        </w:tc>
        <w:tc>
          <w:tcPr>
            <w:tcW w:w="3167" w:type="pct"/>
            <w:shd w:val="clear" w:color="auto" w:fill="auto"/>
            <w:vAlign w:val="center"/>
          </w:tcPr>
          <w:p w14:paraId="6E2504BF"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Probleme me funksionalitetin</w:t>
            </w:r>
          </w:p>
        </w:tc>
      </w:tr>
      <w:tr w:rsidR="00EF09E3" w:rsidRPr="00474D79" w14:paraId="6E2504C3" w14:textId="77777777" w:rsidTr="00D20524">
        <w:tc>
          <w:tcPr>
            <w:tcW w:w="1833" w:type="pct"/>
            <w:vMerge/>
            <w:shd w:val="clear" w:color="auto" w:fill="auto"/>
            <w:vAlign w:val="center"/>
          </w:tcPr>
          <w:p w14:paraId="6E2504C1"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C2"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Probleme me performancën/kapacitetin</w:t>
            </w:r>
          </w:p>
        </w:tc>
      </w:tr>
      <w:tr w:rsidR="00EF09E3" w:rsidRPr="00474D79" w14:paraId="6E2504C6" w14:textId="77777777" w:rsidTr="00D20524">
        <w:tc>
          <w:tcPr>
            <w:tcW w:w="1833" w:type="pct"/>
            <w:vMerge/>
            <w:shd w:val="clear" w:color="auto" w:fill="auto"/>
            <w:vAlign w:val="center"/>
          </w:tcPr>
          <w:p w14:paraId="6E2504C4"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C5"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Mungesë mirëmbajte/suporti</w:t>
            </w:r>
          </w:p>
        </w:tc>
      </w:tr>
      <w:tr w:rsidR="00EF09E3" w:rsidRPr="00474D79" w14:paraId="6E2504C9" w14:textId="77777777" w:rsidTr="00D20524">
        <w:tc>
          <w:tcPr>
            <w:tcW w:w="1833" w:type="pct"/>
            <w:vMerge/>
            <w:shd w:val="clear" w:color="auto" w:fill="auto"/>
            <w:vAlign w:val="center"/>
          </w:tcPr>
          <w:p w14:paraId="6E2504C7"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C8"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Padisponueshmëri</w:t>
            </w:r>
          </w:p>
        </w:tc>
      </w:tr>
      <w:tr w:rsidR="00EF09E3" w:rsidRPr="00474D79" w14:paraId="6E2504CC" w14:textId="77777777" w:rsidTr="00D20524">
        <w:tc>
          <w:tcPr>
            <w:tcW w:w="1833" w:type="pct"/>
            <w:vMerge/>
            <w:shd w:val="clear" w:color="auto" w:fill="auto"/>
            <w:vAlign w:val="center"/>
          </w:tcPr>
          <w:p w14:paraId="6E2504CA"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CB"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Testim/zhvillim i papërshtatshëm</w:t>
            </w:r>
          </w:p>
        </w:tc>
      </w:tr>
      <w:tr w:rsidR="00EF09E3" w:rsidRPr="00474D79" w14:paraId="6E2504CF" w14:textId="77777777" w:rsidTr="00D20524">
        <w:tc>
          <w:tcPr>
            <w:tcW w:w="1833" w:type="pct"/>
            <w:vMerge/>
            <w:shd w:val="clear" w:color="auto" w:fill="auto"/>
            <w:vAlign w:val="center"/>
          </w:tcPr>
          <w:p w14:paraId="6E2504CD"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CE"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Probleme gjatë lancimit/nxjerrjes në përdorim</w:t>
            </w:r>
          </w:p>
        </w:tc>
      </w:tr>
      <w:tr w:rsidR="00EF09E3" w:rsidRPr="00474D79" w14:paraId="6E2504D2" w14:textId="77777777" w:rsidTr="00D20524">
        <w:tc>
          <w:tcPr>
            <w:tcW w:w="1833" w:type="pct"/>
            <w:vMerge/>
            <w:shd w:val="clear" w:color="auto" w:fill="auto"/>
            <w:vAlign w:val="center"/>
          </w:tcPr>
          <w:p w14:paraId="6E2504D0"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D1"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Probleme konfigurimi</w:t>
            </w:r>
          </w:p>
        </w:tc>
      </w:tr>
      <w:tr w:rsidR="00EF09E3" w:rsidRPr="00474D79" w14:paraId="6E2504D5" w14:textId="77777777" w:rsidTr="00D20524">
        <w:tc>
          <w:tcPr>
            <w:tcW w:w="1833" w:type="pct"/>
            <w:vMerge/>
            <w:shd w:val="clear" w:color="auto" w:fill="auto"/>
            <w:vAlign w:val="center"/>
          </w:tcPr>
          <w:p w14:paraId="6E2504D3"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D4"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Probleme me ruajtjen/memorien dhe shkatërrimin e të dhënave</w:t>
            </w:r>
          </w:p>
        </w:tc>
      </w:tr>
      <w:tr w:rsidR="00EF09E3" w:rsidRPr="00474D79" w14:paraId="6E2504D8" w14:textId="77777777" w:rsidTr="00D20524">
        <w:tc>
          <w:tcPr>
            <w:tcW w:w="1833" w:type="pct"/>
            <w:vMerge/>
            <w:shd w:val="clear" w:color="auto" w:fill="auto"/>
            <w:vAlign w:val="center"/>
          </w:tcPr>
          <w:p w14:paraId="6E2504D6"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D7"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Shfrytëzimi i vulnerabiliteteve të lidhura me sigurinë e informacionit</w:t>
            </w:r>
          </w:p>
        </w:tc>
      </w:tr>
      <w:tr w:rsidR="00EF09E3" w:rsidRPr="00474D79" w14:paraId="6E2504DB" w14:textId="77777777" w:rsidTr="00D20524">
        <w:tc>
          <w:tcPr>
            <w:tcW w:w="1833" w:type="pct"/>
            <w:vMerge/>
            <w:shd w:val="clear" w:color="auto" w:fill="auto"/>
            <w:vAlign w:val="center"/>
          </w:tcPr>
          <w:p w14:paraId="6E2504D9"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DA"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Çështje të lidhura me teknologjinë</w:t>
            </w:r>
          </w:p>
        </w:tc>
      </w:tr>
      <w:tr w:rsidR="00EF09E3" w:rsidRPr="00474D79" w14:paraId="6E2504DE" w14:textId="77777777" w:rsidTr="00D20524">
        <w:tc>
          <w:tcPr>
            <w:tcW w:w="1833" w:type="pct"/>
            <w:vMerge/>
            <w:tcBorders>
              <w:bottom w:val="single" w:sz="4" w:space="0" w:color="auto"/>
            </w:tcBorders>
            <w:shd w:val="clear" w:color="auto" w:fill="auto"/>
            <w:vAlign w:val="center"/>
          </w:tcPr>
          <w:p w14:paraId="6E2504DC" w14:textId="77777777" w:rsidR="00EF09E3" w:rsidRPr="00474D79" w:rsidRDefault="00EF09E3" w:rsidP="00FD3EF9">
            <w:pPr>
              <w:spacing w:after="0" w:line="240" w:lineRule="auto"/>
              <w:jc w:val="both"/>
              <w:rPr>
                <w:rFonts w:ascii="Garamond" w:eastAsia="Times New Roman" w:hAnsi="Garamond" w:cs="Times New Roman"/>
                <w:sz w:val="18"/>
              </w:rPr>
            </w:pPr>
          </w:p>
        </w:tc>
        <w:tc>
          <w:tcPr>
            <w:tcW w:w="3167" w:type="pct"/>
            <w:shd w:val="clear" w:color="auto" w:fill="auto"/>
            <w:vAlign w:val="center"/>
          </w:tcPr>
          <w:p w14:paraId="6E2504DD"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Probleme planifikimi</w:t>
            </w:r>
          </w:p>
        </w:tc>
      </w:tr>
    </w:tbl>
    <w:p w14:paraId="6E2504DF" w14:textId="77777777" w:rsidR="00EF09E3" w:rsidRPr="00474D79" w:rsidRDefault="00EF09E3" w:rsidP="00FD3EF9">
      <w:pPr>
        <w:spacing w:after="0" w:line="240" w:lineRule="auto"/>
        <w:ind w:left="720"/>
        <w:jc w:val="both"/>
        <w:rPr>
          <w:rFonts w:ascii="Garamond" w:hAnsi="Garamond" w:cs="Arial"/>
        </w:rPr>
      </w:pPr>
      <w:r w:rsidRPr="00474D79">
        <w:rPr>
          <w:rFonts w:ascii="Garamond" w:hAnsi="Garamond" w:cs="Arial"/>
        </w:rPr>
        <w:t xml:space="preserve"> </w:t>
      </w:r>
    </w:p>
    <w:p w14:paraId="6E2504E1" w14:textId="6C657553" w:rsidR="00EF09E3" w:rsidRPr="002F4A24" w:rsidRDefault="002F4A24" w:rsidP="002F4A24">
      <w:pPr>
        <w:spacing w:after="0" w:line="240" w:lineRule="auto"/>
        <w:jc w:val="center"/>
        <w:rPr>
          <w:rFonts w:ascii="Garamond" w:hAnsi="Garamond" w:cs="Times New Roman"/>
          <w:sz w:val="24"/>
          <w:szCs w:val="24"/>
        </w:rPr>
      </w:pPr>
      <w:r w:rsidRPr="002F4A24">
        <w:rPr>
          <w:rFonts w:ascii="Garamond" w:hAnsi="Garamond" w:cs="Times New Roman"/>
          <w:sz w:val="24"/>
          <w:szCs w:val="24"/>
        </w:rPr>
        <w:t>ANEKS NR. 6</w:t>
      </w:r>
    </w:p>
    <w:p w14:paraId="6E2504E2" w14:textId="71914087" w:rsidR="00EF09E3" w:rsidRPr="002F4A24" w:rsidRDefault="002F4A24" w:rsidP="002F4A24">
      <w:pPr>
        <w:spacing w:after="0" w:line="240" w:lineRule="auto"/>
        <w:jc w:val="center"/>
        <w:rPr>
          <w:rFonts w:ascii="Garamond" w:hAnsi="Garamond" w:cs="Times New Roman"/>
          <w:sz w:val="24"/>
          <w:szCs w:val="24"/>
        </w:rPr>
      </w:pPr>
      <w:r w:rsidRPr="002F4A24">
        <w:rPr>
          <w:rFonts w:ascii="Garamond" w:hAnsi="Garamond" w:cs="Times New Roman"/>
          <w:sz w:val="24"/>
          <w:szCs w:val="24"/>
        </w:rPr>
        <w:t>KLASIFIKIMI I NGJARJES SIPAS LLOJIT, NIVELI 1 I DETAJIMIT</w:t>
      </w:r>
    </w:p>
    <w:p w14:paraId="6E2504E3" w14:textId="77777777" w:rsidR="00FD3EF9" w:rsidRPr="00474D79" w:rsidRDefault="00FD3EF9" w:rsidP="00FD3EF9">
      <w:pPr>
        <w:spacing w:after="0" w:line="240" w:lineRule="auto"/>
        <w:jc w:val="both"/>
        <w:rPr>
          <w:rFonts w:ascii="Garamond" w:hAnsi="Garamond" w:cs="Times New Roman"/>
          <w:b/>
          <w:sz w:val="24"/>
          <w:szCs w:val="24"/>
        </w:rPr>
      </w:pPr>
    </w:p>
    <w:tbl>
      <w:tblPr>
        <w:tblW w:w="52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2437"/>
        <w:gridCol w:w="5843"/>
      </w:tblGrid>
      <w:tr w:rsidR="00EF09E3" w:rsidRPr="002F4A24" w14:paraId="6E2504E7" w14:textId="77777777" w:rsidTr="00D20524">
        <w:tc>
          <w:tcPr>
            <w:tcW w:w="434" w:type="pct"/>
            <w:shd w:val="clear" w:color="auto" w:fill="auto"/>
            <w:vAlign w:val="center"/>
          </w:tcPr>
          <w:p w14:paraId="6E2504E4"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Kodi</w:t>
            </w:r>
          </w:p>
        </w:tc>
        <w:tc>
          <w:tcPr>
            <w:tcW w:w="1344" w:type="pct"/>
            <w:vAlign w:val="center"/>
          </w:tcPr>
          <w:p w14:paraId="6E2504E5" w14:textId="77777777" w:rsidR="00EF09E3" w:rsidRPr="002F4A24" w:rsidRDefault="00EF09E3" w:rsidP="00FD3EF9">
            <w:pPr>
              <w:spacing w:after="0" w:line="240" w:lineRule="auto"/>
              <w:jc w:val="both"/>
              <w:rPr>
                <w:rFonts w:ascii="Garamond" w:eastAsia="Times New Roman" w:hAnsi="Garamond" w:cs="Times New Roman"/>
                <w:b/>
                <w:sz w:val="18"/>
                <w:szCs w:val="18"/>
              </w:rPr>
            </w:pPr>
            <w:r w:rsidRPr="002F4A24">
              <w:rPr>
                <w:rFonts w:ascii="Garamond" w:hAnsi="Garamond" w:cs="Times New Roman"/>
                <w:b/>
                <w:sz w:val="18"/>
                <w:szCs w:val="18"/>
              </w:rPr>
              <w:t>Ndarje sipas nivelit 1</w:t>
            </w:r>
          </w:p>
        </w:tc>
        <w:tc>
          <w:tcPr>
            <w:tcW w:w="3222" w:type="pct"/>
            <w:shd w:val="clear" w:color="auto" w:fill="auto"/>
            <w:vAlign w:val="center"/>
          </w:tcPr>
          <w:p w14:paraId="6E2504E6" w14:textId="77777777" w:rsidR="00EF09E3" w:rsidRPr="002F4A24" w:rsidRDefault="00783565" w:rsidP="00FD3EF9">
            <w:pPr>
              <w:spacing w:after="0" w:line="240" w:lineRule="auto"/>
              <w:jc w:val="center"/>
              <w:rPr>
                <w:rFonts w:ascii="Garamond" w:eastAsia="Times New Roman" w:hAnsi="Garamond" w:cs="Times New Roman"/>
                <w:b/>
                <w:sz w:val="18"/>
                <w:szCs w:val="18"/>
              </w:rPr>
            </w:pPr>
            <w:r w:rsidRPr="002F4A24">
              <w:rPr>
                <w:rFonts w:ascii="Garamond" w:eastAsia="Times New Roman" w:hAnsi="Garamond" w:cs="Times New Roman"/>
                <w:b/>
                <w:sz w:val="18"/>
                <w:szCs w:val="18"/>
              </w:rPr>
              <w:t>Përshkrimi</w:t>
            </w:r>
          </w:p>
        </w:tc>
      </w:tr>
      <w:tr w:rsidR="00EF09E3" w:rsidRPr="002F4A24" w14:paraId="6E2504EB" w14:textId="77777777" w:rsidTr="00D20524">
        <w:tc>
          <w:tcPr>
            <w:tcW w:w="434" w:type="pct"/>
            <w:shd w:val="clear" w:color="auto" w:fill="auto"/>
            <w:vAlign w:val="center"/>
          </w:tcPr>
          <w:p w14:paraId="6E2504E8"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EL1</w:t>
            </w:r>
          </w:p>
        </w:tc>
        <w:tc>
          <w:tcPr>
            <w:tcW w:w="1344" w:type="pct"/>
            <w:vAlign w:val="center"/>
          </w:tcPr>
          <w:p w14:paraId="6E2504E9"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Mashtrimi i brendshëm</w:t>
            </w:r>
          </w:p>
        </w:tc>
        <w:tc>
          <w:tcPr>
            <w:tcW w:w="3222" w:type="pct"/>
            <w:shd w:val="clear" w:color="auto" w:fill="auto"/>
            <w:vAlign w:val="center"/>
          </w:tcPr>
          <w:p w14:paraId="6E2504EA"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Mashtrimi i brendshëm lidhet me ushtrimin e veprimtarive të paautorizuara, vjedhje dhe/ose mashtrime që përfshijnë të paktën një punonjës të subjektit.</w:t>
            </w:r>
          </w:p>
        </w:tc>
      </w:tr>
      <w:tr w:rsidR="00EF09E3" w:rsidRPr="002F4A24" w14:paraId="6E2504EF" w14:textId="77777777" w:rsidTr="00D20524">
        <w:tc>
          <w:tcPr>
            <w:tcW w:w="434" w:type="pct"/>
            <w:shd w:val="clear" w:color="auto" w:fill="auto"/>
            <w:vAlign w:val="center"/>
          </w:tcPr>
          <w:p w14:paraId="6E2504EC"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EL2</w:t>
            </w:r>
          </w:p>
        </w:tc>
        <w:tc>
          <w:tcPr>
            <w:tcW w:w="1344" w:type="pct"/>
            <w:vAlign w:val="center"/>
          </w:tcPr>
          <w:p w14:paraId="6E2504ED"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Mashtrimi i jashtëm</w:t>
            </w:r>
          </w:p>
        </w:tc>
        <w:tc>
          <w:tcPr>
            <w:tcW w:w="3222" w:type="pct"/>
            <w:shd w:val="clear" w:color="auto" w:fill="auto"/>
            <w:vAlign w:val="center"/>
          </w:tcPr>
          <w:p w14:paraId="6E2504EE"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Mashtrimi i jashtëm i referohet mashtrimeve dhe/ose vjedhjeve që kryhen nga një palë e tretë jashtë subjektit.</w:t>
            </w:r>
          </w:p>
        </w:tc>
      </w:tr>
      <w:tr w:rsidR="00EF09E3" w:rsidRPr="002F4A24" w14:paraId="6E2504F3" w14:textId="77777777" w:rsidTr="00D20524">
        <w:tc>
          <w:tcPr>
            <w:tcW w:w="434" w:type="pct"/>
            <w:shd w:val="clear" w:color="auto" w:fill="auto"/>
            <w:vAlign w:val="center"/>
          </w:tcPr>
          <w:p w14:paraId="6E2504F0"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EL3</w:t>
            </w:r>
          </w:p>
        </w:tc>
        <w:tc>
          <w:tcPr>
            <w:tcW w:w="1344" w:type="pct"/>
            <w:vAlign w:val="center"/>
          </w:tcPr>
          <w:p w14:paraId="6E2504F1"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Praktikat e punësimit dhe të sigurisë në punë</w:t>
            </w:r>
          </w:p>
        </w:tc>
        <w:tc>
          <w:tcPr>
            <w:tcW w:w="3222" w:type="pct"/>
            <w:shd w:val="clear" w:color="auto" w:fill="auto"/>
            <w:vAlign w:val="center"/>
          </w:tcPr>
          <w:p w14:paraId="6E2504F2"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Kjo kategori i referohet ngjarjeve që lidhen me marrëdhëniet e punonjësve, sigurisë së mjediseve të punës, si dhe diversitetit/diskriminimit.</w:t>
            </w:r>
          </w:p>
        </w:tc>
      </w:tr>
      <w:tr w:rsidR="00EF09E3" w:rsidRPr="002F4A24" w14:paraId="6E2504F7" w14:textId="77777777" w:rsidTr="00D20524">
        <w:tc>
          <w:tcPr>
            <w:tcW w:w="434" w:type="pct"/>
            <w:shd w:val="clear" w:color="auto" w:fill="auto"/>
            <w:vAlign w:val="center"/>
          </w:tcPr>
          <w:p w14:paraId="6E2504F4"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EL4</w:t>
            </w:r>
          </w:p>
        </w:tc>
        <w:tc>
          <w:tcPr>
            <w:tcW w:w="1344" w:type="pct"/>
            <w:vAlign w:val="center"/>
          </w:tcPr>
          <w:p w14:paraId="6E2504F5"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Klientët, produktet dhe praktika të veprimtarive</w:t>
            </w:r>
          </w:p>
        </w:tc>
        <w:tc>
          <w:tcPr>
            <w:tcW w:w="3222" w:type="pct"/>
            <w:shd w:val="clear" w:color="auto" w:fill="auto"/>
            <w:vAlign w:val="center"/>
          </w:tcPr>
          <w:p w14:paraId="6E2504F6"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Në këtë kategori, humbjet operacionale lindin si pasojë e një dështimi për të përmbushur një detyrim të klientit, ose nga natyra dhe projektimi i produktit.</w:t>
            </w:r>
          </w:p>
        </w:tc>
      </w:tr>
      <w:tr w:rsidR="00EF09E3" w:rsidRPr="002F4A24" w14:paraId="6E2504FB" w14:textId="77777777" w:rsidTr="00D20524">
        <w:tc>
          <w:tcPr>
            <w:tcW w:w="434" w:type="pct"/>
            <w:shd w:val="clear" w:color="auto" w:fill="auto"/>
            <w:vAlign w:val="center"/>
          </w:tcPr>
          <w:p w14:paraId="6E2504F8"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EL5</w:t>
            </w:r>
          </w:p>
        </w:tc>
        <w:tc>
          <w:tcPr>
            <w:tcW w:w="1344" w:type="pct"/>
            <w:vAlign w:val="center"/>
          </w:tcPr>
          <w:p w14:paraId="6E2504F9"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Dëmtime fizike të aktiveve</w:t>
            </w:r>
          </w:p>
        </w:tc>
        <w:tc>
          <w:tcPr>
            <w:tcW w:w="3222" w:type="pct"/>
            <w:shd w:val="clear" w:color="auto" w:fill="auto"/>
            <w:vAlign w:val="center"/>
          </w:tcPr>
          <w:p w14:paraId="6E2504FA"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Kjo kategori i referohet ngjarjeve të cilat lidhen me humbjen apo dëmtimin e aktiveve nga fatkeqësitë natyrore apo ngjarje të tjera.</w:t>
            </w:r>
          </w:p>
        </w:tc>
      </w:tr>
      <w:tr w:rsidR="00EF09E3" w:rsidRPr="002F4A24" w14:paraId="6E2504FF" w14:textId="77777777" w:rsidTr="00D20524">
        <w:tc>
          <w:tcPr>
            <w:tcW w:w="434" w:type="pct"/>
            <w:shd w:val="clear" w:color="auto" w:fill="auto"/>
            <w:vAlign w:val="center"/>
          </w:tcPr>
          <w:p w14:paraId="6E2504FC"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EL6</w:t>
            </w:r>
          </w:p>
        </w:tc>
        <w:tc>
          <w:tcPr>
            <w:tcW w:w="1344" w:type="pct"/>
            <w:vAlign w:val="center"/>
          </w:tcPr>
          <w:p w14:paraId="6E2504FD"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Ndërprerja e aktivitetit dhe dështimi i sistemeve</w:t>
            </w:r>
          </w:p>
        </w:tc>
        <w:tc>
          <w:tcPr>
            <w:tcW w:w="3222" w:type="pct"/>
            <w:shd w:val="clear" w:color="auto" w:fill="auto"/>
            <w:vAlign w:val="center"/>
          </w:tcPr>
          <w:p w14:paraId="6E2504FE"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Kjo kategori i referohet humbjeve që vijnë nga ndërprerja e biznesit ose dështimet e sistemit.</w:t>
            </w:r>
          </w:p>
        </w:tc>
      </w:tr>
      <w:tr w:rsidR="00EF09E3" w:rsidRPr="002F4A24" w14:paraId="6E250503" w14:textId="77777777" w:rsidTr="00D20524">
        <w:tc>
          <w:tcPr>
            <w:tcW w:w="434" w:type="pct"/>
            <w:shd w:val="clear" w:color="auto" w:fill="auto"/>
            <w:vAlign w:val="center"/>
          </w:tcPr>
          <w:p w14:paraId="6E250500"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EL7</w:t>
            </w:r>
          </w:p>
        </w:tc>
        <w:tc>
          <w:tcPr>
            <w:tcW w:w="1344" w:type="pct"/>
            <w:vAlign w:val="center"/>
          </w:tcPr>
          <w:p w14:paraId="6E250501"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Ekzekutimi, shpërndarja dhe administrimi i proceseve</w:t>
            </w:r>
          </w:p>
        </w:tc>
        <w:tc>
          <w:tcPr>
            <w:tcW w:w="3222" w:type="pct"/>
            <w:shd w:val="clear" w:color="auto" w:fill="auto"/>
            <w:vAlign w:val="center"/>
          </w:tcPr>
          <w:p w14:paraId="6E250502"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Kjo kategori përfshin ngjarjet e rrezikut që lidhen me përpunimin e transaksioneve ose me administrimin e proceseve dhe të marrëdhënieve me palë të treta.</w:t>
            </w:r>
          </w:p>
        </w:tc>
      </w:tr>
    </w:tbl>
    <w:p w14:paraId="6E250504" w14:textId="77777777" w:rsidR="00EF09E3" w:rsidRPr="00474D79" w:rsidRDefault="00EF09E3" w:rsidP="00FD3EF9">
      <w:pPr>
        <w:spacing w:after="0" w:line="240" w:lineRule="auto"/>
        <w:rPr>
          <w:rFonts w:ascii="Garamond" w:hAnsi="Garamond" w:cs="Times New Roman"/>
          <w:sz w:val="24"/>
          <w:szCs w:val="24"/>
        </w:rPr>
      </w:pPr>
    </w:p>
    <w:p w14:paraId="6E250506" w14:textId="2879F546" w:rsidR="00EF09E3" w:rsidRPr="002F4A24" w:rsidRDefault="002F4A24" w:rsidP="002F4A24">
      <w:pPr>
        <w:spacing w:after="0" w:line="240" w:lineRule="auto"/>
        <w:jc w:val="center"/>
        <w:rPr>
          <w:rFonts w:ascii="Garamond" w:eastAsia="Times New Roman" w:hAnsi="Garamond" w:cs="Times New Roman"/>
          <w:sz w:val="24"/>
          <w:szCs w:val="24"/>
        </w:rPr>
      </w:pPr>
      <w:r w:rsidRPr="002F4A24">
        <w:rPr>
          <w:rFonts w:ascii="Garamond" w:eastAsia="Times New Roman" w:hAnsi="Garamond" w:cs="Times New Roman"/>
          <w:sz w:val="24"/>
          <w:szCs w:val="24"/>
        </w:rPr>
        <w:t>ANEKS NR. 7</w:t>
      </w:r>
    </w:p>
    <w:p w14:paraId="6E250507" w14:textId="2A2B4553" w:rsidR="00EF09E3" w:rsidRPr="002F4A24" w:rsidRDefault="002F4A24" w:rsidP="002F4A24">
      <w:pPr>
        <w:spacing w:after="0" w:line="240" w:lineRule="auto"/>
        <w:jc w:val="center"/>
        <w:rPr>
          <w:rFonts w:ascii="Garamond" w:eastAsia="Times New Roman" w:hAnsi="Garamond" w:cs="Times New Roman"/>
          <w:sz w:val="24"/>
          <w:szCs w:val="24"/>
        </w:rPr>
      </w:pPr>
      <w:r w:rsidRPr="002F4A24">
        <w:rPr>
          <w:rFonts w:ascii="Garamond" w:eastAsia="Times New Roman" w:hAnsi="Garamond" w:cs="Times New Roman"/>
          <w:sz w:val="24"/>
          <w:szCs w:val="24"/>
        </w:rPr>
        <w:t>KLASIFIKIMI I NGJARJES SIPAS LLOJIT, NIVELI 2 DHE 3 I DETAJIMIT</w:t>
      </w:r>
    </w:p>
    <w:p w14:paraId="6E250508" w14:textId="37EC9A6B" w:rsidR="00EF09E3" w:rsidRPr="002F4A24" w:rsidRDefault="002F4A24" w:rsidP="002F4A24">
      <w:pPr>
        <w:spacing w:after="0" w:line="240" w:lineRule="auto"/>
        <w:rPr>
          <w:rFonts w:ascii="Garamond" w:hAnsi="Garamond" w:cs="Times New Roman"/>
          <w:b/>
          <w:sz w:val="24"/>
          <w:szCs w:val="24"/>
        </w:rPr>
      </w:pPr>
      <w:r w:rsidRPr="002F4A24">
        <w:rPr>
          <w:rFonts w:ascii="Garamond" w:eastAsia="Times New Roman" w:hAnsi="Garamond" w:cs="Times New Roman"/>
          <w:b/>
          <w:sz w:val="24"/>
          <w:szCs w:val="24"/>
        </w:rPr>
        <w:t>Lloji i ngjarjes: (EL1) mashtrimi i brendshëm</w:t>
      </w:r>
    </w:p>
    <w:tbl>
      <w:tblPr>
        <w:tblW w:w="52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2354"/>
        <w:gridCol w:w="1093"/>
        <w:gridCol w:w="4952"/>
      </w:tblGrid>
      <w:tr w:rsidR="00EF09E3" w:rsidRPr="002F4A24" w14:paraId="6E25050D" w14:textId="77777777" w:rsidTr="00D20524">
        <w:tc>
          <w:tcPr>
            <w:tcW w:w="368" w:type="pct"/>
            <w:shd w:val="clear" w:color="auto" w:fill="auto"/>
            <w:vAlign w:val="center"/>
          </w:tcPr>
          <w:p w14:paraId="6E250509"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 xml:space="preserve">Kodi </w:t>
            </w:r>
          </w:p>
        </w:tc>
        <w:tc>
          <w:tcPr>
            <w:tcW w:w="1298" w:type="pct"/>
            <w:shd w:val="clear" w:color="auto" w:fill="auto"/>
            <w:vAlign w:val="center"/>
          </w:tcPr>
          <w:p w14:paraId="6E25050A"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2</w:t>
            </w:r>
          </w:p>
        </w:tc>
        <w:tc>
          <w:tcPr>
            <w:tcW w:w="603" w:type="pct"/>
            <w:shd w:val="clear" w:color="auto" w:fill="auto"/>
            <w:vAlign w:val="center"/>
          </w:tcPr>
          <w:p w14:paraId="6E25050B"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Kodi</w:t>
            </w:r>
          </w:p>
        </w:tc>
        <w:tc>
          <w:tcPr>
            <w:tcW w:w="2732" w:type="pct"/>
            <w:shd w:val="clear" w:color="auto" w:fill="auto"/>
            <w:vAlign w:val="center"/>
          </w:tcPr>
          <w:p w14:paraId="6E25050C"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3</w:t>
            </w:r>
          </w:p>
        </w:tc>
      </w:tr>
      <w:tr w:rsidR="00EF09E3" w:rsidRPr="002F4A24" w14:paraId="6E250512" w14:textId="77777777" w:rsidTr="00D20524">
        <w:tc>
          <w:tcPr>
            <w:tcW w:w="368" w:type="pct"/>
            <w:vMerge w:val="restart"/>
            <w:shd w:val="clear" w:color="auto" w:fill="auto"/>
            <w:vAlign w:val="center"/>
          </w:tcPr>
          <w:p w14:paraId="6E25050E"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EL1.1</w:t>
            </w:r>
          </w:p>
        </w:tc>
        <w:tc>
          <w:tcPr>
            <w:tcW w:w="1298" w:type="pct"/>
            <w:vMerge w:val="restart"/>
            <w:shd w:val="clear" w:color="auto" w:fill="auto"/>
            <w:vAlign w:val="center"/>
          </w:tcPr>
          <w:p w14:paraId="6E25050F"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Veprime të paautorizuara</w:t>
            </w:r>
          </w:p>
        </w:tc>
        <w:tc>
          <w:tcPr>
            <w:tcW w:w="603" w:type="pct"/>
            <w:shd w:val="clear" w:color="auto" w:fill="auto"/>
            <w:vAlign w:val="center"/>
          </w:tcPr>
          <w:p w14:paraId="6E250510"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EA1.1.1</w:t>
            </w:r>
          </w:p>
        </w:tc>
        <w:tc>
          <w:tcPr>
            <w:tcW w:w="2732" w:type="pct"/>
            <w:tcBorders>
              <w:top w:val="single" w:sz="4" w:space="0" w:color="auto"/>
              <w:left w:val="single" w:sz="4" w:space="0" w:color="auto"/>
              <w:bottom w:val="single" w:sz="4" w:space="0" w:color="auto"/>
              <w:right w:val="single" w:sz="4" w:space="0" w:color="auto"/>
            </w:tcBorders>
            <w:shd w:val="clear" w:color="auto" w:fill="auto"/>
            <w:vAlign w:val="center"/>
          </w:tcPr>
          <w:p w14:paraId="6E250511"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Transaksione të paraportuara (qëllimisht)</w:t>
            </w:r>
          </w:p>
        </w:tc>
      </w:tr>
      <w:tr w:rsidR="00EF09E3" w:rsidRPr="002F4A24" w14:paraId="6E250517" w14:textId="77777777" w:rsidTr="00D20524">
        <w:tc>
          <w:tcPr>
            <w:tcW w:w="368" w:type="pct"/>
            <w:vMerge/>
            <w:shd w:val="clear" w:color="auto" w:fill="auto"/>
            <w:vAlign w:val="center"/>
          </w:tcPr>
          <w:p w14:paraId="6E250513"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98" w:type="pct"/>
            <w:vMerge/>
            <w:shd w:val="clear" w:color="auto" w:fill="auto"/>
            <w:vAlign w:val="center"/>
          </w:tcPr>
          <w:p w14:paraId="6E250514" w14:textId="77777777" w:rsidR="00EF09E3" w:rsidRPr="002F4A24" w:rsidRDefault="00EF09E3" w:rsidP="00FD3EF9">
            <w:pPr>
              <w:spacing w:after="0" w:line="240" w:lineRule="auto"/>
              <w:rPr>
                <w:rFonts w:ascii="Garamond" w:eastAsia="Times New Roman" w:hAnsi="Garamond" w:cs="Times New Roman"/>
                <w:sz w:val="18"/>
                <w:szCs w:val="18"/>
              </w:rPr>
            </w:pPr>
          </w:p>
        </w:tc>
        <w:tc>
          <w:tcPr>
            <w:tcW w:w="603" w:type="pct"/>
            <w:shd w:val="clear" w:color="auto" w:fill="auto"/>
            <w:vAlign w:val="center"/>
          </w:tcPr>
          <w:p w14:paraId="6E250515"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EA1.1.2</w:t>
            </w:r>
          </w:p>
        </w:tc>
        <w:tc>
          <w:tcPr>
            <w:tcW w:w="2732" w:type="pct"/>
            <w:tcBorders>
              <w:top w:val="nil"/>
              <w:left w:val="single" w:sz="4" w:space="0" w:color="auto"/>
              <w:bottom w:val="single" w:sz="4" w:space="0" w:color="auto"/>
              <w:right w:val="single" w:sz="4" w:space="0" w:color="auto"/>
            </w:tcBorders>
            <w:shd w:val="clear" w:color="auto" w:fill="auto"/>
            <w:vAlign w:val="center"/>
          </w:tcPr>
          <w:p w14:paraId="6E250516"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Shpërdorim i detyrës, aktivitete të paautorizuara</w:t>
            </w:r>
          </w:p>
        </w:tc>
      </w:tr>
      <w:tr w:rsidR="00EF09E3" w:rsidRPr="002F4A24" w14:paraId="6E25051C" w14:textId="77777777" w:rsidTr="00D20524">
        <w:tc>
          <w:tcPr>
            <w:tcW w:w="368" w:type="pct"/>
            <w:vMerge/>
            <w:tcBorders>
              <w:bottom w:val="single" w:sz="4" w:space="0" w:color="auto"/>
            </w:tcBorders>
            <w:shd w:val="clear" w:color="auto" w:fill="auto"/>
            <w:vAlign w:val="center"/>
          </w:tcPr>
          <w:p w14:paraId="6E250518"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98" w:type="pct"/>
            <w:vMerge/>
            <w:tcBorders>
              <w:bottom w:val="single" w:sz="4" w:space="0" w:color="auto"/>
            </w:tcBorders>
            <w:shd w:val="clear" w:color="auto" w:fill="auto"/>
            <w:vAlign w:val="center"/>
          </w:tcPr>
          <w:p w14:paraId="6E250519" w14:textId="77777777" w:rsidR="00EF09E3" w:rsidRPr="002F4A24" w:rsidRDefault="00EF09E3" w:rsidP="00FD3EF9">
            <w:pPr>
              <w:spacing w:after="0" w:line="240" w:lineRule="auto"/>
              <w:rPr>
                <w:rFonts w:ascii="Garamond" w:eastAsia="Times New Roman" w:hAnsi="Garamond" w:cs="Times New Roman"/>
                <w:sz w:val="18"/>
                <w:szCs w:val="18"/>
              </w:rPr>
            </w:pPr>
          </w:p>
        </w:tc>
        <w:tc>
          <w:tcPr>
            <w:tcW w:w="603" w:type="pct"/>
            <w:shd w:val="clear" w:color="auto" w:fill="auto"/>
            <w:vAlign w:val="center"/>
          </w:tcPr>
          <w:p w14:paraId="6E25051A"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EA1.1.3</w:t>
            </w:r>
          </w:p>
        </w:tc>
        <w:tc>
          <w:tcPr>
            <w:tcW w:w="2732" w:type="pct"/>
            <w:tcBorders>
              <w:top w:val="nil"/>
              <w:left w:val="single" w:sz="4" w:space="0" w:color="auto"/>
              <w:bottom w:val="single" w:sz="4" w:space="0" w:color="auto"/>
              <w:right w:val="single" w:sz="4" w:space="0" w:color="auto"/>
            </w:tcBorders>
            <w:shd w:val="clear" w:color="auto" w:fill="auto"/>
            <w:vAlign w:val="center"/>
          </w:tcPr>
          <w:p w14:paraId="6E25051B"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Ngatërresë/Mospërputhje e pozicionit (qëllimisht)</w:t>
            </w:r>
          </w:p>
        </w:tc>
      </w:tr>
      <w:tr w:rsidR="00EF09E3" w:rsidRPr="002F4A24" w14:paraId="6E250521" w14:textId="77777777" w:rsidTr="00D20524">
        <w:tc>
          <w:tcPr>
            <w:tcW w:w="368" w:type="pct"/>
            <w:vMerge w:val="restart"/>
            <w:tcBorders>
              <w:top w:val="single" w:sz="4" w:space="0" w:color="auto"/>
            </w:tcBorders>
            <w:shd w:val="clear" w:color="auto" w:fill="auto"/>
            <w:vAlign w:val="center"/>
          </w:tcPr>
          <w:p w14:paraId="6E25051D"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EL1.2</w:t>
            </w:r>
          </w:p>
        </w:tc>
        <w:tc>
          <w:tcPr>
            <w:tcW w:w="1298" w:type="pct"/>
            <w:vMerge w:val="restart"/>
            <w:tcBorders>
              <w:top w:val="single" w:sz="4" w:space="0" w:color="auto"/>
            </w:tcBorders>
            <w:shd w:val="clear" w:color="auto" w:fill="auto"/>
            <w:vAlign w:val="center"/>
          </w:tcPr>
          <w:p w14:paraId="6E25051E"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Vjedhje dhe mashtrim (i brendshëm)</w:t>
            </w:r>
          </w:p>
        </w:tc>
        <w:tc>
          <w:tcPr>
            <w:tcW w:w="603" w:type="pct"/>
            <w:shd w:val="clear" w:color="auto" w:fill="auto"/>
            <w:vAlign w:val="center"/>
          </w:tcPr>
          <w:p w14:paraId="6E25051F"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EA1.2.1</w:t>
            </w:r>
          </w:p>
        </w:tc>
        <w:tc>
          <w:tcPr>
            <w:tcW w:w="2732" w:type="pct"/>
            <w:tcBorders>
              <w:top w:val="nil"/>
              <w:left w:val="single" w:sz="4" w:space="0" w:color="auto"/>
              <w:bottom w:val="single" w:sz="4" w:space="0" w:color="auto"/>
              <w:right w:val="single" w:sz="4" w:space="0" w:color="auto"/>
            </w:tcBorders>
            <w:shd w:val="clear" w:color="auto" w:fill="auto"/>
            <w:vAlign w:val="center"/>
          </w:tcPr>
          <w:p w14:paraId="6E250520"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Mashtrim/mashtrim me kreditë/mashtrim me depozitat</w:t>
            </w:r>
          </w:p>
        </w:tc>
      </w:tr>
      <w:tr w:rsidR="00EF09E3" w:rsidRPr="002F4A24" w14:paraId="6E250526" w14:textId="77777777" w:rsidTr="00D20524">
        <w:tc>
          <w:tcPr>
            <w:tcW w:w="368" w:type="pct"/>
            <w:vMerge/>
            <w:shd w:val="clear" w:color="auto" w:fill="auto"/>
            <w:vAlign w:val="center"/>
          </w:tcPr>
          <w:p w14:paraId="6E250522"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98" w:type="pct"/>
            <w:vMerge/>
            <w:shd w:val="clear" w:color="auto" w:fill="auto"/>
            <w:vAlign w:val="center"/>
          </w:tcPr>
          <w:p w14:paraId="6E250523" w14:textId="77777777" w:rsidR="00EF09E3" w:rsidRPr="002F4A24" w:rsidRDefault="00EF09E3" w:rsidP="00FD3EF9">
            <w:pPr>
              <w:spacing w:after="0" w:line="240" w:lineRule="auto"/>
              <w:rPr>
                <w:rFonts w:ascii="Garamond" w:eastAsia="Times New Roman" w:hAnsi="Garamond" w:cs="Times New Roman"/>
                <w:sz w:val="18"/>
                <w:szCs w:val="18"/>
              </w:rPr>
            </w:pPr>
          </w:p>
        </w:tc>
        <w:tc>
          <w:tcPr>
            <w:tcW w:w="603" w:type="pct"/>
            <w:shd w:val="clear" w:color="auto" w:fill="auto"/>
            <w:vAlign w:val="center"/>
          </w:tcPr>
          <w:p w14:paraId="6E250524"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EA1.2.2</w:t>
            </w:r>
          </w:p>
        </w:tc>
        <w:tc>
          <w:tcPr>
            <w:tcW w:w="2732" w:type="pct"/>
            <w:tcBorders>
              <w:top w:val="nil"/>
              <w:left w:val="single" w:sz="4" w:space="0" w:color="auto"/>
              <w:bottom w:val="single" w:sz="4" w:space="0" w:color="auto"/>
              <w:right w:val="single" w:sz="4" w:space="0" w:color="auto"/>
            </w:tcBorders>
            <w:shd w:val="clear" w:color="auto" w:fill="auto"/>
            <w:vAlign w:val="center"/>
          </w:tcPr>
          <w:p w14:paraId="6E250525"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Vjedhje/zhvatje/përvetësim/grabitje</w:t>
            </w:r>
          </w:p>
        </w:tc>
      </w:tr>
      <w:tr w:rsidR="00EF09E3" w:rsidRPr="002F4A24" w14:paraId="6E25052B" w14:textId="77777777" w:rsidTr="00D20524">
        <w:tc>
          <w:tcPr>
            <w:tcW w:w="368" w:type="pct"/>
            <w:vMerge/>
            <w:shd w:val="clear" w:color="auto" w:fill="auto"/>
            <w:vAlign w:val="center"/>
          </w:tcPr>
          <w:p w14:paraId="6E250527"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98" w:type="pct"/>
            <w:vMerge/>
            <w:shd w:val="clear" w:color="auto" w:fill="auto"/>
            <w:vAlign w:val="center"/>
          </w:tcPr>
          <w:p w14:paraId="6E250528" w14:textId="77777777" w:rsidR="00EF09E3" w:rsidRPr="002F4A24" w:rsidRDefault="00EF09E3" w:rsidP="00FD3EF9">
            <w:pPr>
              <w:spacing w:after="0" w:line="240" w:lineRule="auto"/>
              <w:rPr>
                <w:rFonts w:ascii="Garamond" w:eastAsia="Times New Roman" w:hAnsi="Garamond" w:cs="Times New Roman"/>
                <w:sz w:val="18"/>
                <w:szCs w:val="18"/>
              </w:rPr>
            </w:pPr>
          </w:p>
        </w:tc>
        <w:tc>
          <w:tcPr>
            <w:tcW w:w="603" w:type="pct"/>
            <w:shd w:val="clear" w:color="auto" w:fill="auto"/>
            <w:vAlign w:val="center"/>
          </w:tcPr>
          <w:p w14:paraId="6E250529"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EA1.2.3</w:t>
            </w:r>
          </w:p>
        </w:tc>
        <w:tc>
          <w:tcPr>
            <w:tcW w:w="2732" w:type="pct"/>
            <w:tcBorders>
              <w:top w:val="nil"/>
              <w:left w:val="single" w:sz="4" w:space="0" w:color="auto"/>
              <w:bottom w:val="single" w:sz="4" w:space="0" w:color="auto"/>
              <w:right w:val="single" w:sz="4" w:space="0" w:color="auto"/>
            </w:tcBorders>
            <w:shd w:val="clear" w:color="auto" w:fill="auto"/>
            <w:vAlign w:val="center"/>
          </w:tcPr>
          <w:p w14:paraId="6E25052A"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Keqpërdorim i pronës së subjektit</w:t>
            </w:r>
          </w:p>
        </w:tc>
      </w:tr>
      <w:tr w:rsidR="00EF09E3" w:rsidRPr="002F4A24" w14:paraId="6E250530" w14:textId="77777777" w:rsidTr="00D20524">
        <w:tc>
          <w:tcPr>
            <w:tcW w:w="368" w:type="pct"/>
            <w:vMerge/>
            <w:shd w:val="clear" w:color="auto" w:fill="auto"/>
            <w:vAlign w:val="center"/>
          </w:tcPr>
          <w:p w14:paraId="6E25052C"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98" w:type="pct"/>
            <w:vMerge/>
            <w:shd w:val="clear" w:color="auto" w:fill="auto"/>
            <w:vAlign w:val="center"/>
          </w:tcPr>
          <w:p w14:paraId="6E25052D" w14:textId="77777777" w:rsidR="00EF09E3" w:rsidRPr="002F4A24" w:rsidRDefault="00EF09E3" w:rsidP="00FD3EF9">
            <w:pPr>
              <w:spacing w:after="0" w:line="240" w:lineRule="auto"/>
              <w:rPr>
                <w:rFonts w:ascii="Garamond" w:eastAsia="Times New Roman" w:hAnsi="Garamond" w:cs="Times New Roman"/>
                <w:sz w:val="18"/>
                <w:szCs w:val="18"/>
              </w:rPr>
            </w:pPr>
          </w:p>
        </w:tc>
        <w:tc>
          <w:tcPr>
            <w:tcW w:w="603" w:type="pct"/>
            <w:shd w:val="clear" w:color="auto" w:fill="auto"/>
            <w:vAlign w:val="center"/>
          </w:tcPr>
          <w:p w14:paraId="6E25052E"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EA1.2.4</w:t>
            </w:r>
          </w:p>
        </w:tc>
        <w:tc>
          <w:tcPr>
            <w:tcW w:w="2732" w:type="pct"/>
            <w:tcBorders>
              <w:top w:val="nil"/>
              <w:left w:val="single" w:sz="4" w:space="0" w:color="auto"/>
              <w:bottom w:val="single" w:sz="4" w:space="0" w:color="auto"/>
              <w:right w:val="single" w:sz="4" w:space="0" w:color="auto"/>
            </w:tcBorders>
            <w:shd w:val="clear" w:color="auto" w:fill="auto"/>
            <w:vAlign w:val="center"/>
          </w:tcPr>
          <w:p w14:paraId="6E25052F"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 xml:space="preserve">Shkatërrim i qëllimshëm i aseteve </w:t>
            </w:r>
          </w:p>
        </w:tc>
      </w:tr>
      <w:tr w:rsidR="00EF09E3" w:rsidRPr="002F4A24" w14:paraId="6E250535" w14:textId="77777777" w:rsidTr="00D20524">
        <w:tc>
          <w:tcPr>
            <w:tcW w:w="368" w:type="pct"/>
            <w:vMerge/>
            <w:shd w:val="clear" w:color="auto" w:fill="auto"/>
            <w:vAlign w:val="center"/>
          </w:tcPr>
          <w:p w14:paraId="6E250531"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98" w:type="pct"/>
            <w:vMerge/>
            <w:shd w:val="clear" w:color="auto" w:fill="auto"/>
            <w:vAlign w:val="center"/>
          </w:tcPr>
          <w:p w14:paraId="6E250532" w14:textId="77777777" w:rsidR="00EF09E3" w:rsidRPr="002F4A24" w:rsidRDefault="00EF09E3" w:rsidP="00FD3EF9">
            <w:pPr>
              <w:spacing w:after="0" w:line="240" w:lineRule="auto"/>
              <w:rPr>
                <w:rFonts w:ascii="Garamond" w:eastAsia="Times New Roman" w:hAnsi="Garamond" w:cs="Times New Roman"/>
                <w:sz w:val="18"/>
                <w:szCs w:val="18"/>
              </w:rPr>
            </w:pPr>
          </w:p>
        </w:tc>
        <w:tc>
          <w:tcPr>
            <w:tcW w:w="603" w:type="pct"/>
            <w:shd w:val="clear" w:color="auto" w:fill="auto"/>
            <w:vAlign w:val="center"/>
          </w:tcPr>
          <w:p w14:paraId="6E250533"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EA1.2.5</w:t>
            </w:r>
          </w:p>
        </w:tc>
        <w:tc>
          <w:tcPr>
            <w:tcW w:w="2732" w:type="pct"/>
            <w:tcBorders>
              <w:top w:val="nil"/>
              <w:left w:val="single" w:sz="4" w:space="0" w:color="auto"/>
              <w:bottom w:val="single" w:sz="4" w:space="0" w:color="auto"/>
              <w:right w:val="single" w:sz="4" w:space="0" w:color="auto"/>
            </w:tcBorders>
            <w:shd w:val="clear" w:color="auto" w:fill="auto"/>
            <w:vAlign w:val="center"/>
          </w:tcPr>
          <w:p w14:paraId="6E250534"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Falsifikim</w:t>
            </w:r>
          </w:p>
        </w:tc>
      </w:tr>
      <w:tr w:rsidR="00EF09E3" w:rsidRPr="002F4A24" w14:paraId="6E25053A" w14:textId="77777777" w:rsidTr="00D20524">
        <w:tc>
          <w:tcPr>
            <w:tcW w:w="368" w:type="pct"/>
            <w:vMerge/>
            <w:shd w:val="clear" w:color="auto" w:fill="auto"/>
            <w:vAlign w:val="center"/>
          </w:tcPr>
          <w:p w14:paraId="6E250536"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98" w:type="pct"/>
            <w:vMerge/>
            <w:shd w:val="clear" w:color="auto" w:fill="auto"/>
            <w:vAlign w:val="center"/>
          </w:tcPr>
          <w:p w14:paraId="6E250537" w14:textId="77777777" w:rsidR="00EF09E3" w:rsidRPr="002F4A24" w:rsidRDefault="00EF09E3" w:rsidP="00FD3EF9">
            <w:pPr>
              <w:spacing w:after="0" w:line="240" w:lineRule="auto"/>
              <w:rPr>
                <w:rFonts w:ascii="Garamond" w:eastAsia="Times New Roman" w:hAnsi="Garamond" w:cs="Times New Roman"/>
                <w:sz w:val="18"/>
                <w:szCs w:val="18"/>
              </w:rPr>
            </w:pPr>
          </w:p>
        </w:tc>
        <w:tc>
          <w:tcPr>
            <w:tcW w:w="603" w:type="pct"/>
            <w:shd w:val="clear" w:color="auto" w:fill="auto"/>
            <w:vAlign w:val="center"/>
          </w:tcPr>
          <w:p w14:paraId="6E250538"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EA1.2.6</w:t>
            </w:r>
          </w:p>
        </w:tc>
        <w:tc>
          <w:tcPr>
            <w:tcW w:w="2732" w:type="pct"/>
            <w:tcBorders>
              <w:top w:val="nil"/>
              <w:left w:val="single" w:sz="4" w:space="0" w:color="auto"/>
              <w:bottom w:val="single" w:sz="4" w:space="0" w:color="auto"/>
              <w:right w:val="single" w:sz="4" w:space="0" w:color="auto"/>
            </w:tcBorders>
            <w:shd w:val="clear" w:color="auto" w:fill="auto"/>
            <w:vAlign w:val="center"/>
          </w:tcPr>
          <w:p w14:paraId="6E250539"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Mashtrim me çeqet</w:t>
            </w:r>
          </w:p>
        </w:tc>
      </w:tr>
      <w:tr w:rsidR="00EF09E3" w:rsidRPr="002F4A24" w14:paraId="6E25053F" w14:textId="77777777" w:rsidTr="00D20524">
        <w:tc>
          <w:tcPr>
            <w:tcW w:w="368" w:type="pct"/>
            <w:vMerge/>
            <w:shd w:val="clear" w:color="auto" w:fill="auto"/>
            <w:vAlign w:val="center"/>
          </w:tcPr>
          <w:p w14:paraId="6E25053B"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98" w:type="pct"/>
            <w:vMerge/>
            <w:shd w:val="clear" w:color="auto" w:fill="auto"/>
            <w:vAlign w:val="center"/>
          </w:tcPr>
          <w:p w14:paraId="6E25053C" w14:textId="77777777" w:rsidR="00EF09E3" w:rsidRPr="002F4A24" w:rsidRDefault="00EF09E3" w:rsidP="00FD3EF9">
            <w:pPr>
              <w:spacing w:after="0" w:line="240" w:lineRule="auto"/>
              <w:rPr>
                <w:rFonts w:ascii="Garamond" w:eastAsia="Times New Roman" w:hAnsi="Garamond" w:cs="Times New Roman"/>
                <w:sz w:val="18"/>
                <w:szCs w:val="18"/>
              </w:rPr>
            </w:pPr>
          </w:p>
        </w:tc>
        <w:tc>
          <w:tcPr>
            <w:tcW w:w="603" w:type="pct"/>
            <w:shd w:val="clear" w:color="auto" w:fill="auto"/>
            <w:vAlign w:val="center"/>
          </w:tcPr>
          <w:p w14:paraId="6E25053D"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EA1.2.7</w:t>
            </w:r>
          </w:p>
        </w:tc>
        <w:tc>
          <w:tcPr>
            <w:tcW w:w="2732" w:type="pct"/>
            <w:tcBorders>
              <w:top w:val="nil"/>
              <w:left w:val="single" w:sz="4" w:space="0" w:color="auto"/>
              <w:bottom w:val="single" w:sz="4" w:space="0" w:color="auto"/>
              <w:right w:val="single" w:sz="4" w:space="0" w:color="auto"/>
            </w:tcBorders>
            <w:shd w:val="clear" w:color="auto" w:fill="auto"/>
            <w:vAlign w:val="center"/>
          </w:tcPr>
          <w:p w14:paraId="6E25053E"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Korrupsion</w:t>
            </w:r>
          </w:p>
        </w:tc>
      </w:tr>
      <w:tr w:rsidR="00EF09E3" w:rsidRPr="002F4A24" w14:paraId="6E250544" w14:textId="77777777" w:rsidTr="00D20524">
        <w:tc>
          <w:tcPr>
            <w:tcW w:w="368" w:type="pct"/>
            <w:vMerge/>
            <w:shd w:val="clear" w:color="auto" w:fill="auto"/>
            <w:vAlign w:val="center"/>
          </w:tcPr>
          <w:p w14:paraId="6E250540"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98" w:type="pct"/>
            <w:vMerge/>
            <w:shd w:val="clear" w:color="auto" w:fill="auto"/>
            <w:vAlign w:val="center"/>
          </w:tcPr>
          <w:p w14:paraId="6E250541" w14:textId="77777777" w:rsidR="00EF09E3" w:rsidRPr="002F4A24" w:rsidRDefault="00EF09E3" w:rsidP="00FD3EF9">
            <w:pPr>
              <w:spacing w:after="0" w:line="240" w:lineRule="auto"/>
              <w:rPr>
                <w:rFonts w:ascii="Garamond" w:eastAsia="Times New Roman" w:hAnsi="Garamond" w:cs="Times New Roman"/>
                <w:sz w:val="18"/>
                <w:szCs w:val="18"/>
              </w:rPr>
            </w:pPr>
          </w:p>
        </w:tc>
        <w:tc>
          <w:tcPr>
            <w:tcW w:w="603" w:type="pct"/>
            <w:shd w:val="clear" w:color="auto" w:fill="auto"/>
            <w:vAlign w:val="center"/>
          </w:tcPr>
          <w:p w14:paraId="6E250542"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EA1.2.8</w:t>
            </w:r>
          </w:p>
        </w:tc>
        <w:tc>
          <w:tcPr>
            <w:tcW w:w="2732" w:type="pct"/>
            <w:tcBorders>
              <w:top w:val="nil"/>
              <w:left w:val="single" w:sz="4" w:space="0" w:color="auto"/>
              <w:bottom w:val="single" w:sz="4" w:space="0" w:color="auto"/>
              <w:right w:val="single" w:sz="4" w:space="0" w:color="auto"/>
            </w:tcBorders>
            <w:shd w:val="clear" w:color="auto" w:fill="auto"/>
            <w:vAlign w:val="center"/>
          </w:tcPr>
          <w:p w14:paraId="6E250543"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Falsifikim/përvetësim i llogarisë</w:t>
            </w:r>
          </w:p>
        </w:tc>
      </w:tr>
      <w:tr w:rsidR="00EF09E3" w:rsidRPr="002F4A24" w14:paraId="6E250549" w14:textId="77777777" w:rsidTr="00D20524">
        <w:tc>
          <w:tcPr>
            <w:tcW w:w="368" w:type="pct"/>
            <w:vMerge/>
            <w:shd w:val="clear" w:color="auto" w:fill="auto"/>
            <w:vAlign w:val="center"/>
          </w:tcPr>
          <w:p w14:paraId="6E250545"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98" w:type="pct"/>
            <w:vMerge/>
            <w:shd w:val="clear" w:color="auto" w:fill="auto"/>
            <w:vAlign w:val="center"/>
          </w:tcPr>
          <w:p w14:paraId="6E250546" w14:textId="77777777" w:rsidR="00EF09E3" w:rsidRPr="002F4A24" w:rsidRDefault="00EF09E3" w:rsidP="00FD3EF9">
            <w:pPr>
              <w:spacing w:after="0" w:line="240" w:lineRule="auto"/>
              <w:rPr>
                <w:rFonts w:ascii="Garamond" w:eastAsia="Times New Roman" w:hAnsi="Garamond" w:cs="Times New Roman"/>
                <w:sz w:val="18"/>
                <w:szCs w:val="18"/>
              </w:rPr>
            </w:pPr>
          </w:p>
        </w:tc>
        <w:tc>
          <w:tcPr>
            <w:tcW w:w="603" w:type="pct"/>
            <w:shd w:val="clear" w:color="auto" w:fill="auto"/>
            <w:vAlign w:val="center"/>
          </w:tcPr>
          <w:p w14:paraId="6E250547"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EA1.2.9</w:t>
            </w:r>
          </w:p>
        </w:tc>
        <w:tc>
          <w:tcPr>
            <w:tcW w:w="2732" w:type="pct"/>
            <w:tcBorders>
              <w:top w:val="nil"/>
              <w:left w:val="single" w:sz="4" w:space="0" w:color="auto"/>
              <w:bottom w:val="single" w:sz="4" w:space="0" w:color="auto"/>
              <w:right w:val="single" w:sz="4" w:space="0" w:color="auto"/>
            </w:tcBorders>
            <w:shd w:val="clear" w:color="auto" w:fill="auto"/>
            <w:vAlign w:val="center"/>
          </w:tcPr>
          <w:p w14:paraId="6E250548"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Mospërputhshmëri me taksat/evazion fiskal</w:t>
            </w:r>
          </w:p>
        </w:tc>
      </w:tr>
      <w:tr w:rsidR="00EF09E3" w:rsidRPr="002F4A24" w14:paraId="6E25054E" w14:textId="77777777" w:rsidTr="00D20524">
        <w:tc>
          <w:tcPr>
            <w:tcW w:w="368" w:type="pct"/>
            <w:vMerge/>
            <w:shd w:val="clear" w:color="auto" w:fill="auto"/>
            <w:vAlign w:val="center"/>
          </w:tcPr>
          <w:p w14:paraId="6E25054A"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98" w:type="pct"/>
            <w:vMerge/>
            <w:shd w:val="clear" w:color="auto" w:fill="auto"/>
            <w:vAlign w:val="center"/>
          </w:tcPr>
          <w:p w14:paraId="6E25054B" w14:textId="77777777" w:rsidR="00EF09E3" w:rsidRPr="002F4A24" w:rsidRDefault="00EF09E3" w:rsidP="00FD3EF9">
            <w:pPr>
              <w:spacing w:after="0" w:line="240" w:lineRule="auto"/>
              <w:rPr>
                <w:rFonts w:ascii="Garamond" w:eastAsia="Times New Roman" w:hAnsi="Garamond" w:cs="Times New Roman"/>
                <w:sz w:val="18"/>
                <w:szCs w:val="18"/>
              </w:rPr>
            </w:pPr>
          </w:p>
        </w:tc>
        <w:tc>
          <w:tcPr>
            <w:tcW w:w="603" w:type="pct"/>
            <w:shd w:val="clear" w:color="auto" w:fill="auto"/>
            <w:vAlign w:val="center"/>
          </w:tcPr>
          <w:p w14:paraId="6E25054C"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EA1.2.10</w:t>
            </w:r>
          </w:p>
        </w:tc>
        <w:tc>
          <w:tcPr>
            <w:tcW w:w="2732" w:type="pct"/>
            <w:tcBorders>
              <w:top w:val="nil"/>
              <w:left w:val="single" w:sz="4" w:space="0" w:color="auto"/>
              <w:bottom w:val="single" w:sz="4" w:space="0" w:color="auto"/>
              <w:right w:val="single" w:sz="4" w:space="0" w:color="auto"/>
            </w:tcBorders>
            <w:shd w:val="clear" w:color="auto" w:fill="auto"/>
            <w:vAlign w:val="center"/>
          </w:tcPr>
          <w:p w14:paraId="6E25054D"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Shantazhe/ryshfete ose dështim për t’iu përmbajtur rregullave në rastet e përfitimeve (dhurata dhe ftesat e dhëna dhe të marra)</w:t>
            </w:r>
          </w:p>
        </w:tc>
      </w:tr>
      <w:tr w:rsidR="00EF09E3" w:rsidRPr="002F4A24" w14:paraId="6E250553" w14:textId="77777777" w:rsidTr="00D20524">
        <w:tc>
          <w:tcPr>
            <w:tcW w:w="368" w:type="pct"/>
            <w:vMerge/>
            <w:tcBorders>
              <w:bottom w:val="single" w:sz="4" w:space="0" w:color="auto"/>
            </w:tcBorders>
            <w:shd w:val="clear" w:color="auto" w:fill="auto"/>
            <w:vAlign w:val="center"/>
          </w:tcPr>
          <w:p w14:paraId="6E25054F"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98" w:type="pct"/>
            <w:vMerge/>
            <w:tcBorders>
              <w:bottom w:val="single" w:sz="4" w:space="0" w:color="auto"/>
            </w:tcBorders>
            <w:shd w:val="clear" w:color="auto" w:fill="auto"/>
            <w:vAlign w:val="center"/>
          </w:tcPr>
          <w:p w14:paraId="6E250550" w14:textId="77777777" w:rsidR="00EF09E3" w:rsidRPr="002F4A24" w:rsidRDefault="00EF09E3" w:rsidP="00FD3EF9">
            <w:pPr>
              <w:spacing w:after="0" w:line="240" w:lineRule="auto"/>
              <w:rPr>
                <w:rFonts w:ascii="Garamond" w:eastAsia="Times New Roman" w:hAnsi="Garamond" w:cs="Times New Roman"/>
                <w:sz w:val="18"/>
                <w:szCs w:val="18"/>
              </w:rPr>
            </w:pPr>
          </w:p>
        </w:tc>
        <w:tc>
          <w:tcPr>
            <w:tcW w:w="603" w:type="pct"/>
            <w:shd w:val="clear" w:color="auto" w:fill="auto"/>
            <w:vAlign w:val="center"/>
          </w:tcPr>
          <w:p w14:paraId="6E250551"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EA1.2.11</w:t>
            </w:r>
          </w:p>
        </w:tc>
        <w:tc>
          <w:tcPr>
            <w:tcW w:w="2732" w:type="pct"/>
            <w:tcBorders>
              <w:top w:val="nil"/>
              <w:left w:val="single" w:sz="4" w:space="0" w:color="auto"/>
              <w:bottom w:val="single" w:sz="4" w:space="0" w:color="auto"/>
              <w:right w:val="single" w:sz="4" w:space="0" w:color="auto"/>
            </w:tcBorders>
            <w:shd w:val="clear" w:color="auto" w:fill="auto"/>
            <w:vAlign w:val="center"/>
          </w:tcPr>
          <w:p w14:paraId="6E250552"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 xml:space="preserve">Keqpërdorim i llogarive (qëllimisht) </w:t>
            </w:r>
          </w:p>
        </w:tc>
      </w:tr>
    </w:tbl>
    <w:p w14:paraId="6E250554" w14:textId="77777777" w:rsidR="00EF09E3" w:rsidRPr="00474D79" w:rsidRDefault="00EF09E3" w:rsidP="00FD3EF9">
      <w:pPr>
        <w:spacing w:after="0" w:line="240" w:lineRule="auto"/>
        <w:rPr>
          <w:rFonts w:ascii="Garamond" w:hAnsi="Garamond" w:cs="Arial"/>
          <w:b/>
        </w:rPr>
      </w:pPr>
    </w:p>
    <w:p w14:paraId="6E250555" w14:textId="3FD8E768" w:rsidR="00EF09E3" w:rsidRPr="00474D79" w:rsidRDefault="00EF09E3" w:rsidP="00FD3EF9">
      <w:pPr>
        <w:spacing w:after="0" w:line="240" w:lineRule="auto"/>
        <w:rPr>
          <w:rFonts w:ascii="Garamond" w:eastAsia="Times New Roman" w:hAnsi="Garamond" w:cs="Times New Roman"/>
          <w:b/>
          <w:sz w:val="24"/>
          <w:szCs w:val="24"/>
        </w:rPr>
      </w:pPr>
    </w:p>
    <w:p w14:paraId="6E250556" w14:textId="0CB3F275" w:rsidR="00EF09E3" w:rsidRPr="002F4A24" w:rsidRDefault="002F4A24" w:rsidP="002F4A24">
      <w:pPr>
        <w:spacing w:after="0" w:line="240" w:lineRule="auto"/>
        <w:jc w:val="center"/>
        <w:rPr>
          <w:rFonts w:ascii="Garamond" w:eastAsia="Times New Roman" w:hAnsi="Garamond" w:cs="Times New Roman"/>
          <w:sz w:val="24"/>
          <w:szCs w:val="24"/>
        </w:rPr>
      </w:pPr>
      <w:r w:rsidRPr="002F4A24">
        <w:rPr>
          <w:rFonts w:ascii="Garamond" w:eastAsia="Times New Roman" w:hAnsi="Garamond" w:cs="Times New Roman"/>
          <w:sz w:val="24"/>
          <w:szCs w:val="24"/>
        </w:rPr>
        <w:t>ANEKS NR. 8</w:t>
      </w:r>
    </w:p>
    <w:p w14:paraId="6E250557" w14:textId="71A1ABDC" w:rsidR="00EF09E3" w:rsidRPr="002F4A24" w:rsidRDefault="002F4A24" w:rsidP="002F4A24">
      <w:pPr>
        <w:spacing w:after="0" w:line="240" w:lineRule="auto"/>
        <w:jc w:val="center"/>
        <w:rPr>
          <w:rFonts w:ascii="Garamond" w:eastAsia="Times New Roman" w:hAnsi="Garamond" w:cs="Times New Roman"/>
          <w:sz w:val="24"/>
          <w:szCs w:val="24"/>
        </w:rPr>
      </w:pPr>
      <w:r w:rsidRPr="002F4A24">
        <w:rPr>
          <w:rFonts w:ascii="Garamond" w:eastAsia="Times New Roman" w:hAnsi="Garamond" w:cs="Times New Roman"/>
          <w:sz w:val="24"/>
          <w:szCs w:val="24"/>
        </w:rPr>
        <w:t>KLASIFIKIMI I NGJARJES SIPAS LLOJIT, NIVELI 2 DHE 3 I DETAJIMIT</w:t>
      </w:r>
    </w:p>
    <w:p w14:paraId="6E250558" w14:textId="77777777" w:rsidR="00EF09E3" w:rsidRPr="00474D79" w:rsidRDefault="00EF09E3" w:rsidP="00FD3EF9">
      <w:pPr>
        <w:spacing w:after="0" w:line="240" w:lineRule="auto"/>
        <w:rPr>
          <w:rFonts w:ascii="Garamond" w:hAnsi="Garamond" w:cs="Times New Roman"/>
          <w:b/>
          <w:sz w:val="24"/>
          <w:szCs w:val="24"/>
        </w:rPr>
      </w:pPr>
      <w:r w:rsidRPr="00474D79">
        <w:rPr>
          <w:rFonts w:ascii="Garamond" w:eastAsia="Times New Roman" w:hAnsi="Garamond" w:cs="Times New Roman"/>
          <w:b/>
          <w:sz w:val="24"/>
          <w:szCs w:val="24"/>
        </w:rPr>
        <w:t>Lloji i ngjarjes: (EL2) Mashtrimi i jashtëm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2296"/>
        <w:gridCol w:w="1089"/>
        <w:gridCol w:w="4527"/>
      </w:tblGrid>
      <w:tr w:rsidR="00EF09E3" w:rsidRPr="002F4A24" w14:paraId="6E25055D" w14:textId="77777777" w:rsidTr="00FD3EF9">
        <w:tc>
          <w:tcPr>
            <w:tcW w:w="416" w:type="pct"/>
            <w:shd w:val="clear" w:color="auto" w:fill="auto"/>
            <w:vAlign w:val="center"/>
          </w:tcPr>
          <w:p w14:paraId="6E250559"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 xml:space="preserve">Kodi </w:t>
            </w:r>
          </w:p>
        </w:tc>
        <w:tc>
          <w:tcPr>
            <w:tcW w:w="1330" w:type="pct"/>
            <w:shd w:val="clear" w:color="auto" w:fill="auto"/>
            <w:vAlign w:val="center"/>
          </w:tcPr>
          <w:p w14:paraId="6E25055A"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2</w:t>
            </w:r>
          </w:p>
        </w:tc>
        <w:tc>
          <w:tcPr>
            <w:tcW w:w="631" w:type="pct"/>
            <w:shd w:val="clear" w:color="auto" w:fill="auto"/>
            <w:vAlign w:val="center"/>
          </w:tcPr>
          <w:p w14:paraId="6E25055B"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Kodi</w:t>
            </w:r>
          </w:p>
        </w:tc>
        <w:tc>
          <w:tcPr>
            <w:tcW w:w="2623" w:type="pct"/>
            <w:shd w:val="clear" w:color="auto" w:fill="auto"/>
            <w:vAlign w:val="center"/>
          </w:tcPr>
          <w:p w14:paraId="6E25055C"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3</w:t>
            </w:r>
          </w:p>
        </w:tc>
      </w:tr>
      <w:tr w:rsidR="00EF09E3" w:rsidRPr="002F4A24" w14:paraId="6E250562" w14:textId="77777777" w:rsidTr="00FD3EF9">
        <w:tc>
          <w:tcPr>
            <w:tcW w:w="416" w:type="pct"/>
            <w:vMerge w:val="restart"/>
            <w:shd w:val="clear" w:color="auto" w:fill="auto"/>
            <w:vAlign w:val="center"/>
          </w:tcPr>
          <w:p w14:paraId="6E25055E"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EL2.1</w:t>
            </w:r>
          </w:p>
        </w:tc>
        <w:tc>
          <w:tcPr>
            <w:tcW w:w="1330" w:type="pct"/>
            <w:vMerge w:val="restart"/>
            <w:shd w:val="clear" w:color="auto" w:fill="auto"/>
            <w:vAlign w:val="center"/>
          </w:tcPr>
          <w:p w14:paraId="6E25055F"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Vjedhje dhe mashtrim (i jashtëm)</w:t>
            </w:r>
          </w:p>
        </w:tc>
        <w:tc>
          <w:tcPr>
            <w:tcW w:w="631" w:type="pct"/>
            <w:shd w:val="clear" w:color="auto" w:fill="auto"/>
            <w:vAlign w:val="center"/>
          </w:tcPr>
          <w:p w14:paraId="6E250560"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EA2.1.1</w:t>
            </w:r>
          </w:p>
        </w:tc>
        <w:tc>
          <w:tcPr>
            <w:tcW w:w="2623" w:type="pct"/>
            <w:tcBorders>
              <w:top w:val="single" w:sz="4" w:space="0" w:color="auto"/>
              <w:left w:val="single" w:sz="4" w:space="0" w:color="auto"/>
              <w:bottom w:val="single" w:sz="4" w:space="0" w:color="auto"/>
              <w:right w:val="single" w:sz="4" w:space="0" w:color="auto"/>
            </w:tcBorders>
            <w:shd w:val="clear" w:color="auto" w:fill="auto"/>
            <w:vAlign w:val="center"/>
          </w:tcPr>
          <w:p w14:paraId="6E250561"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Vjedhje/grabitje</w:t>
            </w:r>
          </w:p>
        </w:tc>
      </w:tr>
      <w:tr w:rsidR="00EF09E3" w:rsidRPr="002F4A24" w14:paraId="6E250567" w14:textId="77777777" w:rsidTr="00FD3EF9">
        <w:tc>
          <w:tcPr>
            <w:tcW w:w="416" w:type="pct"/>
            <w:vMerge/>
            <w:shd w:val="clear" w:color="auto" w:fill="auto"/>
            <w:vAlign w:val="center"/>
          </w:tcPr>
          <w:p w14:paraId="6E250563"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30" w:type="pct"/>
            <w:vMerge/>
            <w:shd w:val="clear" w:color="auto" w:fill="auto"/>
            <w:vAlign w:val="center"/>
          </w:tcPr>
          <w:p w14:paraId="6E250564" w14:textId="77777777" w:rsidR="00EF09E3" w:rsidRPr="002F4A24" w:rsidRDefault="00EF09E3" w:rsidP="00FD3EF9">
            <w:pPr>
              <w:spacing w:after="0" w:line="240" w:lineRule="auto"/>
              <w:rPr>
                <w:rFonts w:ascii="Garamond" w:eastAsia="Times New Roman" w:hAnsi="Garamond" w:cs="Times New Roman"/>
                <w:sz w:val="18"/>
                <w:szCs w:val="18"/>
              </w:rPr>
            </w:pPr>
          </w:p>
        </w:tc>
        <w:tc>
          <w:tcPr>
            <w:tcW w:w="631" w:type="pct"/>
            <w:shd w:val="clear" w:color="auto" w:fill="auto"/>
            <w:vAlign w:val="center"/>
          </w:tcPr>
          <w:p w14:paraId="6E250565"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EA2.1.2</w:t>
            </w:r>
          </w:p>
        </w:tc>
        <w:tc>
          <w:tcPr>
            <w:tcW w:w="2623" w:type="pct"/>
            <w:tcBorders>
              <w:top w:val="nil"/>
              <w:left w:val="single" w:sz="4" w:space="0" w:color="auto"/>
              <w:bottom w:val="single" w:sz="4" w:space="0" w:color="auto"/>
              <w:right w:val="single" w:sz="4" w:space="0" w:color="auto"/>
            </w:tcBorders>
            <w:shd w:val="clear" w:color="auto" w:fill="auto"/>
            <w:vAlign w:val="center"/>
          </w:tcPr>
          <w:p w14:paraId="6E250566"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Falsifikim</w:t>
            </w:r>
          </w:p>
        </w:tc>
      </w:tr>
      <w:tr w:rsidR="00EF09E3" w:rsidRPr="002F4A24" w14:paraId="6E25056C" w14:textId="77777777" w:rsidTr="00FD3EF9">
        <w:tc>
          <w:tcPr>
            <w:tcW w:w="416" w:type="pct"/>
            <w:vMerge/>
            <w:tcBorders>
              <w:bottom w:val="single" w:sz="4" w:space="0" w:color="auto"/>
            </w:tcBorders>
            <w:shd w:val="clear" w:color="auto" w:fill="auto"/>
            <w:vAlign w:val="center"/>
          </w:tcPr>
          <w:p w14:paraId="6E250568"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30" w:type="pct"/>
            <w:vMerge/>
            <w:tcBorders>
              <w:bottom w:val="single" w:sz="4" w:space="0" w:color="auto"/>
            </w:tcBorders>
            <w:shd w:val="clear" w:color="auto" w:fill="auto"/>
            <w:vAlign w:val="center"/>
          </w:tcPr>
          <w:p w14:paraId="6E250569" w14:textId="77777777" w:rsidR="00EF09E3" w:rsidRPr="002F4A24" w:rsidRDefault="00EF09E3" w:rsidP="00FD3EF9">
            <w:pPr>
              <w:spacing w:after="0" w:line="240" w:lineRule="auto"/>
              <w:rPr>
                <w:rFonts w:ascii="Garamond" w:eastAsia="Times New Roman" w:hAnsi="Garamond" w:cs="Times New Roman"/>
                <w:sz w:val="18"/>
                <w:szCs w:val="18"/>
              </w:rPr>
            </w:pPr>
          </w:p>
        </w:tc>
        <w:tc>
          <w:tcPr>
            <w:tcW w:w="631" w:type="pct"/>
            <w:shd w:val="clear" w:color="auto" w:fill="auto"/>
            <w:vAlign w:val="center"/>
          </w:tcPr>
          <w:p w14:paraId="6E25056A"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EA2.1.3</w:t>
            </w:r>
          </w:p>
        </w:tc>
        <w:tc>
          <w:tcPr>
            <w:tcW w:w="2623" w:type="pct"/>
            <w:tcBorders>
              <w:top w:val="nil"/>
              <w:left w:val="single" w:sz="4" w:space="0" w:color="auto"/>
              <w:bottom w:val="single" w:sz="4" w:space="0" w:color="auto"/>
              <w:right w:val="single" w:sz="4" w:space="0" w:color="auto"/>
            </w:tcBorders>
            <w:shd w:val="clear" w:color="auto" w:fill="auto"/>
            <w:vAlign w:val="center"/>
          </w:tcPr>
          <w:p w14:paraId="6E25056B"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Mashtrim me çeqet</w:t>
            </w:r>
          </w:p>
        </w:tc>
      </w:tr>
      <w:tr w:rsidR="00EF09E3" w:rsidRPr="002F4A24" w14:paraId="6E250571" w14:textId="77777777" w:rsidTr="00FD3EF9">
        <w:tc>
          <w:tcPr>
            <w:tcW w:w="416" w:type="pct"/>
            <w:vMerge w:val="restart"/>
            <w:tcBorders>
              <w:top w:val="single" w:sz="4" w:space="0" w:color="auto"/>
            </w:tcBorders>
            <w:shd w:val="clear" w:color="auto" w:fill="auto"/>
            <w:vAlign w:val="center"/>
          </w:tcPr>
          <w:p w14:paraId="6E25056D"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EL2.2</w:t>
            </w:r>
          </w:p>
        </w:tc>
        <w:tc>
          <w:tcPr>
            <w:tcW w:w="1330" w:type="pct"/>
            <w:vMerge w:val="restart"/>
            <w:tcBorders>
              <w:top w:val="single" w:sz="4" w:space="0" w:color="auto"/>
            </w:tcBorders>
            <w:shd w:val="clear" w:color="auto" w:fill="auto"/>
            <w:vAlign w:val="center"/>
          </w:tcPr>
          <w:p w14:paraId="6E25056E"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Siguria e sistemit (mashtrim i jashtëm)</w:t>
            </w:r>
          </w:p>
        </w:tc>
        <w:tc>
          <w:tcPr>
            <w:tcW w:w="631" w:type="pct"/>
            <w:shd w:val="clear" w:color="auto" w:fill="auto"/>
            <w:vAlign w:val="center"/>
          </w:tcPr>
          <w:p w14:paraId="6E25056F"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EA2.2.1</w:t>
            </w:r>
          </w:p>
        </w:tc>
        <w:tc>
          <w:tcPr>
            <w:tcW w:w="2623" w:type="pct"/>
            <w:tcBorders>
              <w:top w:val="nil"/>
              <w:left w:val="single" w:sz="4" w:space="0" w:color="auto"/>
              <w:bottom w:val="single" w:sz="4" w:space="0" w:color="auto"/>
              <w:right w:val="single" w:sz="4" w:space="0" w:color="auto"/>
            </w:tcBorders>
            <w:shd w:val="clear" w:color="auto" w:fill="auto"/>
            <w:vAlign w:val="center"/>
          </w:tcPr>
          <w:p w14:paraId="6E250570"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Dëmtime nga sulmet kibernetike (</w:t>
            </w:r>
            <w:r w:rsidRPr="002F4A24">
              <w:rPr>
                <w:rFonts w:ascii="Garamond" w:eastAsia="Times New Roman" w:hAnsi="Garamond" w:cs="Times New Roman"/>
                <w:i/>
                <w:sz w:val="18"/>
                <w:szCs w:val="18"/>
              </w:rPr>
              <w:t>hacking)</w:t>
            </w:r>
          </w:p>
        </w:tc>
      </w:tr>
      <w:tr w:rsidR="00EF09E3" w:rsidRPr="002F4A24" w14:paraId="6E250576" w14:textId="77777777" w:rsidTr="00FD3EF9">
        <w:tc>
          <w:tcPr>
            <w:tcW w:w="416" w:type="pct"/>
            <w:vMerge/>
            <w:tcBorders>
              <w:bottom w:val="single" w:sz="4" w:space="0" w:color="auto"/>
            </w:tcBorders>
            <w:shd w:val="clear" w:color="auto" w:fill="auto"/>
            <w:vAlign w:val="center"/>
          </w:tcPr>
          <w:p w14:paraId="6E250572"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30" w:type="pct"/>
            <w:vMerge/>
            <w:tcBorders>
              <w:bottom w:val="single" w:sz="4" w:space="0" w:color="auto"/>
            </w:tcBorders>
            <w:shd w:val="clear" w:color="auto" w:fill="auto"/>
            <w:vAlign w:val="center"/>
          </w:tcPr>
          <w:p w14:paraId="6E250573" w14:textId="77777777" w:rsidR="00EF09E3" w:rsidRPr="002F4A24" w:rsidRDefault="00EF09E3" w:rsidP="00FD3EF9">
            <w:pPr>
              <w:spacing w:after="0" w:line="240" w:lineRule="auto"/>
              <w:rPr>
                <w:rFonts w:ascii="Garamond" w:eastAsia="Times New Roman" w:hAnsi="Garamond" w:cs="Times New Roman"/>
                <w:sz w:val="18"/>
                <w:szCs w:val="18"/>
              </w:rPr>
            </w:pPr>
          </w:p>
        </w:tc>
        <w:tc>
          <w:tcPr>
            <w:tcW w:w="631" w:type="pct"/>
            <w:shd w:val="clear" w:color="auto" w:fill="auto"/>
            <w:vAlign w:val="center"/>
          </w:tcPr>
          <w:p w14:paraId="6E250574"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EA2.2.2</w:t>
            </w:r>
          </w:p>
        </w:tc>
        <w:tc>
          <w:tcPr>
            <w:tcW w:w="2623" w:type="pct"/>
            <w:tcBorders>
              <w:top w:val="nil"/>
              <w:left w:val="single" w:sz="4" w:space="0" w:color="auto"/>
              <w:bottom w:val="single" w:sz="4" w:space="0" w:color="auto"/>
              <w:right w:val="single" w:sz="4" w:space="0" w:color="auto"/>
            </w:tcBorders>
            <w:shd w:val="clear" w:color="auto" w:fill="auto"/>
            <w:vAlign w:val="center"/>
          </w:tcPr>
          <w:p w14:paraId="6E250575"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Vjedhje dhe publikim i të dhënave konfidenciale</w:t>
            </w:r>
          </w:p>
        </w:tc>
      </w:tr>
    </w:tbl>
    <w:p w14:paraId="6E250577" w14:textId="77777777" w:rsidR="00FD3EF9" w:rsidRPr="00474D79" w:rsidRDefault="00FD3EF9" w:rsidP="00FD3EF9">
      <w:pPr>
        <w:spacing w:after="0" w:line="240" w:lineRule="auto"/>
        <w:rPr>
          <w:rFonts w:ascii="Garamond" w:eastAsia="Times New Roman" w:hAnsi="Garamond" w:cs="Times New Roman"/>
          <w:sz w:val="24"/>
          <w:szCs w:val="24"/>
        </w:rPr>
      </w:pPr>
    </w:p>
    <w:p w14:paraId="6E250579" w14:textId="0AECCC06" w:rsidR="00EF09E3" w:rsidRPr="002F4A24" w:rsidRDefault="002F4A24" w:rsidP="002F4A24">
      <w:pPr>
        <w:jc w:val="center"/>
        <w:rPr>
          <w:rFonts w:ascii="Garamond" w:eastAsia="Times New Roman" w:hAnsi="Garamond" w:cs="Times New Roman"/>
          <w:sz w:val="24"/>
          <w:szCs w:val="24"/>
        </w:rPr>
      </w:pPr>
      <w:r w:rsidRPr="002F4A24">
        <w:rPr>
          <w:rFonts w:ascii="Garamond" w:eastAsia="Times New Roman" w:hAnsi="Garamond" w:cs="Times New Roman"/>
          <w:sz w:val="24"/>
          <w:szCs w:val="24"/>
        </w:rPr>
        <w:t>ANEKS NR. 9</w:t>
      </w:r>
    </w:p>
    <w:p w14:paraId="6E25057A" w14:textId="0DE6A8AA" w:rsidR="00EF09E3" w:rsidRPr="002F4A24" w:rsidRDefault="002F4A24" w:rsidP="002F4A24">
      <w:pPr>
        <w:spacing w:after="0" w:line="240" w:lineRule="auto"/>
        <w:jc w:val="center"/>
        <w:rPr>
          <w:rFonts w:ascii="Garamond" w:eastAsia="Times New Roman" w:hAnsi="Garamond" w:cs="Times New Roman"/>
          <w:sz w:val="24"/>
          <w:szCs w:val="24"/>
        </w:rPr>
      </w:pPr>
      <w:r w:rsidRPr="002F4A24">
        <w:rPr>
          <w:rFonts w:ascii="Garamond" w:eastAsia="Times New Roman" w:hAnsi="Garamond" w:cs="Times New Roman"/>
          <w:sz w:val="24"/>
          <w:szCs w:val="24"/>
        </w:rPr>
        <w:t>KLASIFIKIMI I NGJARJES SIPAS LLOJIT, NIVELI 2 DHE 3 I DETAJIMIT</w:t>
      </w:r>
    </w:p>
    <w:p w14:paraId="6E25057B" w14:textId="77777777" w:rsidR="00EF09E3" w:rsidRPr="00474D79" w:rsidRDefault="00EF09E3" w:rsidP="00FD3EF9">
      <w:pPr>
        <w:spacing w:after="0" w:line="240" w:lineRule="auto"/>
        <w:rPr>
          <w:rFonts w:ascii="Garamond" w:hAnsi="Garamond" w:cs="Times New Roman"/>
          <w:b/>
          <w:sz w:val="24"/>
          <w:szCs w:val="24"/>
        </w:rPr>
      </w:pPr>
      <w:r w:rsidRPr="00474D79">
        <w:rPr>
          <w:rFonts w:ascii="Garamond" w:eastAsia="Times New Roman" w:hAnsi="Garamond" w:cs="Times New Roman"/>
          <w:b/>
          <w:sz w:val="24"/>
          <w:szCs w:val="24"/>
        </w:rPr>
        <w:t>Lloji i ngjarjes: (EL3) Praktikat e punësimit dhe të sigurisë në punë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289"/>
        <w:gridCol w:w="1089"/>
        <w:gridCol w:w="4529"/>
      </w:tblGrid>
      <w:tr w:rsidR="00EF09E3" w:rsidRPr="002F4A24" w14:paraId="6E250580" w14:textId="77777777" w:rsidTr="00FD3EF9">
        <w:tc>
          <w:tcPr>
            <w:tcW w:w="419" w:type="pct"/>
            <w:shd w:val="clear" w:color="auto" w:fill="auto"/>
            <w:vAlign w:val="center"/>
          </w:tcPr>
          <w:p w14:paraId="6E25057C"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 xml:space="preserve">Kodi </w:t>
            </w:r>
          </w:p>
        </w:tc>
        <w:tc>
          <w:tcPr>
            <w:tcW w:w="1326" w:type="pct"/>
            <w:shd w:val="clear" w:color="auto" w:fill="auto"/>
            <w:vAlign w:val="center"/>
          </w:tcPr>
          <w:p w14:paraId="6E25057D"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2</w:t>
            </w:r>
          </w:p>
        </w:tc>
        <w:tc>
          <w:tcPr>
            <w:tcW w:w="631" w:type="pct"/>
            <w:tcBorders>
              <w:bottom w:val="single" w:sz="4" w:space="0" w:color="auto"/>
            </w:tcBorders>
            <w:vAlign w:val="center"/>
          </w:tcPr>
          <w:p w14:paraId="6E25057E"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Kodi</w:t>
            </w:r>
          </w:p>
        </w:tc>
        <w:tc>
          <w:tcPr>
            <w:tcW w:w="2623" w:type="pct"/>
            <w:tcBorders>
              <w:bottom w:val="single" w:sz="4" w:space="0" w:color="auto"/>
            </w:tcBorders>
            <w:shd w:val="clear" w:color="auto" w:fill="auto"/>
            <w:vAlign w:val="center"/>
          </w:tcPr>
          <w:p w14:paraId="6E25057F"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3</w:t>
            </w:r>
          </w:p>
        </w:tc>
      </w:tr>
      <w:tr w:rsidR="00EF09E3" w:rsidRPr="002F4A24" w14:paraId="6E250585" w14:textId="77777777" w:rsidTr="00FD3EF9">
        <w:tc>
          <w:tcPr>
            <w:tcW w:w="419" w:type="pct"/>
            <w:vMerge w:val="restart"/>
            <w:shd w:val="clear" w:color="auto" w:fill="auto"/>
            <w:vAlign w:val="center"/>
          </w:tcPr>
          <w:p w14:paraId="6E250581"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EL3.1</w:t>
            </w:r>
          </w:p>
        </w:tc>
        <w:tc>
          <w:tcPr>
            <w:tcW w:w="1326" w:type="pct"/>
            <w:vMerge w:val="restart"/>
            <w:shd w:val="clear" w:color="auto" w:fill="auto"/>
            <w:vAlign w:val="center"/>
          </w:tcPr>
          <w:p w14:paraId="6E250582"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Marrëdhëniet me punonjësit</w:t>
            </w:r>
          </w:p>
        </w:tc>
        <w:tc>
          <w:tcPr>
            <w:tcW w:w="631" w:type="pct"/>
            <w:tcBorders>
              <w:top w:val="single" w:sz="4" w:space="0" w:color="auto"/>
              <w:left w:val="nil"/>
              <w:bottom w:val="single" w:sz="4" w:space="0" w:color="auto"/>
              <w:right w:val="single" w:sz="4" w:space="0" w:color="auto"/>
            </w:tcBorders>
            <w:vAlign w:val="center"/>
          </w:tcPr>
          <w:p w14:paraId="6E250583"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EA3.1.1</w:t>
            </w:r>
          </w:p>
        </w:tc>
        <w:tc>
          <w:tcPr>
            <w:tcW w:w="2623" w:type="pct"/>
            <w:tcBorders>
              <w:top w:val="single" w:sz="4" w:space="0" w:color="auto"/>
              <w:left w:val="single" w:sz="4" w:space="0" w:color="auto"/>
              <w:bottom w:val="single" w:sz="4" w:space="0" w:color="auto"/>
              <w:right w:val="single" w:sz="4" w:space="0" w:color="auto"/>
            </w:tcBorders>
            <w:shd w:val="clear" w:color="auto" w:fill="auto"/>
            <w:vAlign w:val="center"/>
          </w:tcPr>
          <w:p w14:paraId="6E250584"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Problematika lidhur me kompensime, përfitime dhe shkëputje nga puna</w:t>
            </w:r>
          </w:p>
        </w:tc>
      </w:tr>
      <w:tr w:rsidR="00EF09E3" w:rsidRPr="002F4A24" w14:paraId="6E25058A" w14:textId="77777777" w:rsidTr="00FD3EF9">
        <w:tc>
          <w:tcPr>
            <w:tcW w:w="419" w:type="pct"/>
            <w:vMerge/>
            <w:tcBorders>
              <w:bottom w:val="single" w:sz="4" w:space="0" w:color="auto"/>
            </w:tcBorders>
            <w:shd w:val="clear" w:color="auto" w:fill="auto"/>
            <w:vAlign w:val="center"/>
          </w:tcPr>
          <w:p w14:paraId="6E250586"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26" w:type="pct"/>
            <w:vMerge/>
            <w:tcBorders>
              <w:bottom w:val="single" w:sz="4" w:space="0" w:color="auto"/>
            </w:tcBorders>
            <w:shd w:val="clear" w:color="auto" w:fill="auto"/>
            <w:vAlign w:val="center"/>
          </w:tcPr>
          <w:p w14:paraId="6E250587" w14:textId="77777777" w:rsidR="00EF09E3" w:rsidRPr="002F4A24" w:rsidRDefault="00EF09E3" w:rsidP="00FD3EF9">
            <w:pPr>
              <w:spacing w:after="0" w:line="240" w:lineRule="auto"/>
              <w:rPr>
                <w:rFonts w:ascii="Garamond" w:eastAsia="Times New Roman" w:hAnsi="Garamond" w:cs="Times New Roman"/>
                <w:sz w:val="18"/>
                <w:szCs w:val="18"/>
              </w:rPr>
            </w:pPr>
          </w:p>
        </w:tc>
        <w:tc>
          <w:tcPr>
            <w:tcW w:w="631" w:type="pct"/>
            <w:tcBorders>
              <w:top w:val="single" w:sz="4" w:space="0" w:color="auto"/>
              <w:bottom w:val="single" w:sz="4" w:space="0" w:color="auto"/>
              <w:right w:val="single" w:sz="4" w:space="0" w:color="auto"/>
            </w:tcBorders>
            <w:vAlign w:val="center"/>
          </w:tcPr>
          <w:p w14:paraId="6E250588"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EA3.1.2</w:t>
            </w:r>
          </w:p>
        </w:tc>
        <w:tc>
          <w:tcPr>
            <w:tcW w:w="2623" w:type="pct"/>
            <w:tcBorders>
              <w:top w:val="single" w:sz="4" w:space="0" w:color="auto"/>
              <w:left w:val="single" w:sz="4" w:space="0" w:color="auto"/>
              <w:bottom w:val="single" w:sz="4" w:space="0" w:color="auto"/>
              <w:right w:val="single" w:sz="4" w:space="0" w:color="auto"/>
            </w:tcBorders>
            <w:shd w:val="clear" w:color="auto" w:fill="auto"/>
            <w:vAlign w:val="center"/>
          </w:tcPr>
          <w:p w14:paraId="6E250589"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 xml:space="preserve">Aktivitete (greva, protesta) të organizuara të punonjësve </w:t>
            </w:r>
          </w:p>
        </w:tc>
      </w:tr>
      <w:tr w:rsidR="00EF09E3" w:rsidRPr="002F4A24" w14:paraId="6E25058F" w14:textId="77777777" w:rsidTr="00FD3EF9">
        <w:tc>
          <w:tcPr>
            <w:tcW w:w="419" w:type="pct"/>
            <w:vMerge w:val="restart"/>
            <w:tcBorders>
              <w:top w:val="single" w:sz="4" w:space="0" w:color="auto"/>
            </w:tcBorders>
            <w:shd w:val="clear" w:color="auto" w:fill="auto"/>
            <w:vAlign w:val="center"/>
          </w:tcPr>
          <w:p w14:paraId="6E25058B"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EL3.2</w:t>
            </w:r>
          </w:p>
        </w:tc>
        <w:tc>
          <w:tcPr>
            <w:tcW w:w="1326" w:type="pct"/>
            <w:vMerge w:val="restart"/>
            <w:tcBorders>
              <w:top w:val="single" w:sz="4" w:space="0" w:color="auto"/>
            </w:tcBorders>
            <w:shd w:val="clear" w:color="auto" w:fill="auto"/>
            <w:vAlign w:val="center"/>
          </w:tcPr>
          <w:p w14:paraId="6E25058C"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Mjedis i sigurt</w:t>
            </w:r>
          </w:p>
        </w:tc>
        <w:tc>
          <w:tcPr>
            <w:tcW w:w="631" w:type="pct"/>
            <w:tcBorders>
              <w:top w:val="single" w:sz="4" w:space="0" w:color="auto"/>
              <w:left w:val="nil"/>
              <w:bottom w:val="single" w:sz="4" w:space="0" w:color="auto"/>
              <w:right w:val="single" w:sz="4" w:space="0" w:color="auto"/>
            </w:tcBorders>
            <w:vAlign w:val="center"/>
          </w:tcPr>
          <w:p w14:paraId="6E25058D"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EA3.2.1</w:t>
            </w:r>
          </w:p>
        </w:tc>
        <w:tc>
          <w:tcPr>
            <w:tcW w:w="2623" w:type="pct"/>
            <w:tcBorders>
              <w:top w:val="single" w:sz="4" w:space="0" w:color="auto"/>
              <w:left w:val="single" w:sz="4" w:space="0" w:color="auto"/>
              <w:bottom w:val="single" w:sz="4" w:space="0" w:color="auto"/>
              <w:right w:val="single" w:sz="4" w:space="0" w:color="auto"/>
            </w:tcBorders>
            <w:shd w:val="clear" w:color="auto" w:fill="auto"/>
            <w:vAlign w:val="center"/>
          </w:tcPr>
          <w:p w14:paraId="6E25058E"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Detyrime/përgjegjësi të përgjithshme lidhur me sigurinë në punë</w:t>
            </w:r>
          </w:p>
        </w:tc>
      </w:tr>
      <w:tr w:rsidR="00EF09E3" w:rsidRPr="002F4A24" w14:paraId="6E250594" w14:textId="77777777" w:rsidTr="00FD3EF9">
        <w:tc>
          <w:tcPr>
            <w:tcW w:w="419" w:type="pct"/>
            <w:vMerge/>
            <w:shd w:val="clear" w:color="auto" w:fill="auto"/>
            <w:vAlign w:val="center"/>
          </w:tcPr>
          <w:p w14:paraId="6E250590"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26" w:type="pct"/>
            <w:vMerge/>
            <w:shd w:val="clear" w:color="auto" w:fill="auto"/>
            <w:vAlign w:val="center"/>
          </w:tcPr>
          <w:p w14:paraId="6E250591" w14:textId="77777777" w:rsidR="00EF09E3" w:rsidRPr="002F4A24" w:rsidRDefault="00EF09E3" w:rsidP="00FD3EF9">
            <w:pPr>
              <w:spacing w:after="0" w:line="240" w:lineRule="auto"/>
              <w:rPr>
                <w:rFonts w:ascii="Garamond" w:eastAsia="Times New Roman" w:hAnsi="Garamond" w:cs="Times New Roman"/>
                <w:sz w:val="18"/>
                <w:szCs w:val="18"/>
              </w:rPr>
            </w:pPr>
          </w:p>
        </w:tc>
        <w:tc>
          <w:tcPr>
            <w:tcW w:w="631" w:type="pct"/>
            <w:tcBorders>
              <w:top w:val="single" w:sz="4" w:space="0" w:color="auto"/>
              <w:bottom w:val="single" w:sz="4" w:space="0" w:color="auto"/>
              <w:right w:val="single" w:sz="4" w:space="0" w:color="auto"/>
            </w:tcBorders>
            <w:vAlign w:val="center"/>
          </w:tcPr>
          <w:p w14:paraId="6E250592"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EA3.2.2</w:t>
            </w:r>
          </w:p>
        </w:tc>
        <w:tc>
          <w:tcPr>
            <w:tcW w:w="2623" w:type="pct"/>
            <w:tcBorders>
              <w:top w:val="single" w:sz="4" w:space="0" w:color="auto"/>
              <w:left w:val="single" w:sz="4" w:space="0" w:color="auto"/>
              <w:bottom w:val="single" w:sz="4" w:space="0" w:color="auto"/>
              <w:right w:val="single" w:sz="4" w:space="0" w:color="auto"/>
            </w:tcBorders>
            <w:shd w:val="clear" w:color="auto" w:fill="auto"/>
            <w:vAlign w:val="center"/>
          </w:tcPr>
          <w:p w14:paraId="6E250593"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Problematika të rregullores së sigurisë dhe shëndetit</w:t>
            </w:r>
          </w:p>
        </w:tc>
      </w:tr>
      <w:tr w:rsidR="00EF09E3" w:rsidRPr="002F4A24" w14:paraId="6E250599" w14:textId="77777777" w:rsidTr="00FD3EF9">
        <w:tc>
          <w:tcPr>
            <w:tcW w:w="419" w:type="pct"/>
            <w:vMerge/>
            <w:tcBorders>
              <w:bottom w:val="single" w:sz="4" w:space="0" w:color="auto"/>
            </w:tcBorders>
            <w:shd w:val="clear" w:color="auto" w:fill="auto"/>
            <w:vAlign w:val="center"/>
          </w:tcPr>
          <w:p w14:paraId="6E250595"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26" w:type="pct"/>
            <w:vMerge/>
            <w:tcBorders>
              <w:bottom w:val="single" w:sz="4" w:space="0" w:color="auto"/>
            </w:tcBorders>
            <w:shd w:val="clear" w:color="auto" w:fill="auto"/>
            <w:vAlign w:val="center"/>
          </w:tcPr>
          <w:p w14:paraId="6E250596" w14:textId="77777777" w:rsidR="00EF09E3" w:rsidRPr="002F4A24" w:rsidRDefault="00EF09E3" w:rsidP="00FD3EF9">
            <w:pPr>
              <w:spacing w:after="0" w:line="240" w:lineRule="auto"/>
              <w:rPr>
                <w:rFonts w:ascii="Garamond" w:eastAsia="Times New Roman" w:hAnsi="Garamond" w:cs="Times New Roman"/>
                <w:sz w:val="18"/>
                <w:szCs w:val="18"/>
              </w:rPr>
            </w:pPr>
          </w:p>
        </w:tc>
        <w:tc>
          <w:tcPr>
            <w:tcW w:w="631" w:type="pct"/>
            <w:tcBorders>
              <w:top w:val="single" w:sz="4" w:space="0" w:color="auto"/>
              <w:bottom w:val="single" w:sz="4" w:space="0" w:color="auto"/>
              <w:right w:val="single" w:sz="4" w:space="0" w:color="auto"/>
            </w:tcBorders>
            <w:vAlign w:val="center"/>
          </w:tcPr>
          <w:p w14:paraId="6E250597"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EA3.2.3</w:t>
            </w:r>
          </w:p>
        </w:tc>
        <w:tc>
          <w:tcPr>
            <w:tcW w:w="2623" w:type="pct"/>
            <w:tcBorders>
              <w:top w:val="single" w:sz="4" w:space="0" w:color="auto"/>
              <w:left w:val="single" w:sz="4" w:space="0" w:color="auto"/>
              <w:bottom w:val="single" w:sz="4" w:space="0" w:color="auto"/>
              <w:right w:val="single" w:sz="4" w:space="0" w:color="auto"/>
            </w:tcBorders>
            <w:shd w:val="clear" w:color="auto" w:fill="auto"/>
            <w:vAlign w:val="center"/>
          </w:tcPr>
          <w:p w14:paraId="6E250598"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Kompensime për punonjësit</w:t>
            </w:r>
          </w:p>
        </w:tc>
      </w:tr>
      <w:tr w:rsidR="00EF09E3" w:rsidRPr="002F4A24" w14:paraId="6E25059E" w14:textId="77777777" w:rsidTr="00FD3EF9">
        <w:trPr>
          <w:trHeight w:val="449"/>
        </w:trPr>
        <w:tc>
          <w:tcPr>
            <w:tcW w:w="419" w:type="pct"/>
            <w:tcBorders>
              <w:top w:val="single" w:sz="4" w:space="0" w:color="auto"/>
            </w:tcBorders>
            <w:shd w:val="clear" w:color="auto" w:fill="auto"/>
            <w:vAlign w:val="center"/>
          </w:tcPr>
          <w:p w14:paraId="6E25059A"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EL3.3</w:t>
            </w:r>
          </w:p>
        </w:tc>
        <w:tc>
          <w:tcPr>
            <w:tcW w:w="1326" w:type="pct"/>
            <w:tcBorders>
              <w:top w:val="single" w:sz="4" w:space="0" w:color="auto"/>
            </w:tcBorders>
            <w:shd w:val="clear" w:color="auto" w:fill="auto"/>
            <w:vAlign w:val="center"/>
          </w:tcPr>
          <w:p w14:paraId="6E25059B"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Diversiteti dhe diskriminimi</w:t>
            </w:r>
          </w:p>
        </w:tc>
        <w:tc>
          <w:tcPr>
            <w:tcW w:w="631" w:type="pct"/>
            <w:tcBorders>
              <w:top w:val="single" w:sz="4" w:space="0" w:color="auto"/>
              <w:left w:val="nil"/>
              <w:bottom w:val="single" w:sz="4" w:space="0" w:color="auto"/>
              <w:right w:val="single" w:sz="4" w:space="0" w:color="auto"/>
            </w:tcBorders>
            <w:vAlign w:val="center"/>
          </w:tcPr>
          <w:p w14:paraId="6E25059C"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EA3.3.1</w:t>
            </w:r>
          </w:p>
        </w:tc>
        <w:tc>
          <w:tcPr>
            <w:tcW w:w="2623" w:type="pct"/>
            <w:tcBorders>
              <w:top w:val="single" w:sz="4" w:space="0" w:color="auto"/>
              <w:left w:val="single" w:sz="4" w:space="0" w:color="auto"/>
              <w:bottom w:val="single" w:sz="4" w:space="0" w:color="auto"/>
              <w:right w:val="single" w:sz="4" w:space="0" w:color="auto"/>
            </w:tcBorders>
            <w:shd w:val="clear" w:color="auto" w:fill="auto"/>
            <w:vAlign w:val="center"/>
          </w:tcPr>
          <w:p w14:paraId="6E25059D"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 xml:space="preserve">Të gjitha llojet e diskriminimit </w:t>
            </w:r>
          </w:p>
        </w:tc>
      </w:tr>
    </w:tbl>
    <w:p w14:paraId="6E25059F" w14:textId="77777777" w:rsidR="00EF09E3" w:rsidRPr="00474D79" w:rsidRDefault="00EF09E3" w:rsidP="00FD3EF9">
      <w:pPr>
        <w:spacing w:after="0" w:line="240" w:lineRule="auto"/>
        <w:rPr>
          <w:rFonts w:ascii="Garamond" w:hAnsi="Garamond" w:cs="Arial"/>
          <w:b/>
        </w:rPr>
      </w:pPr>
    </w:p>
    <w:p w14:paraId="6E2505A0" w14:textId="2CE3E85C" w:rsidR="00EF09E3" w:rsidRPr="00474D79" w:rsidRDefault="00EF09E3" w:rsidP="00FD3EF9">
      <w:pPr>
        <w:spacing w:after="0" w:line="240" w:lineRule="auto"/>
        <w:rPr>
          <w:rFonts w:ascii="Garamond" w:eastAsia="Times New Roman" w:hAnsi="Garamond" w:cs="Times New Roman"/>
          <w:b/>
          <w:sz w:val="24"/>
          <w:szCs w:val="24"/>
        </w:rPr>
      </w:pPr>
    </w:p>
    <w:p w14:paraId="6E2505A1" w14:textId="395BAACB" w:rsidR="00EF09E3" w:rsidRPr="002F4A24" w:rsidRDefault="002F4A24" w:rsidP="002F4A24">
      <w:pPr>
        <w:spacing w:after="0" w:line="240" w:lineRule="auto"/>
        <w:jc w:val="center"/>
        <w:rPr>
          <w:rFonts w:ascii="Garamond" w:eastAsia="Times New Roman" w:hAnsi="Garamond" w:cs="Times New Roman"/>
          <w:sz w:val="24"/>
          <w:szCs w:val="24"/>
        </w:rPr>
      </w:pPr>
      <w:r w:rsidRPr="002F4A24">
        <w:rPr>
          <w:rFonts w:ascii="Garamond" w:eastAsia="Times New Roman" w:hAnsi="Garamond" w:cs="Times New Roman"/>
          <w:sz w:val="24"/>
          <w:szCs w:val="24"/>
        </w:rPr>
        <w:t>ANEKS NR.</w:t>
      </w:r>
      <w:r w:rsidRPr="002F4A24">
        <w:rPr>
          <w:rFonts w:ascii="Garamond" w:hAnsi="Garamond" w:cs="Times New Roman"/>
          <w:sz w:val="24"/>
          <w:szCs w:val="24"/>
        </w:rPr>
        <w:t xml:space="preserve"> </w:t>
      </w:r>
      <w:r w:rsidRPr="002F4A24">
        <w:rPr>
          <w:rFonts w:ascii="Garamond" w:eastAsia="Times New Roman" w:hAnsi="Garamond" w:cs="Times New Roman"/>
          <w:sz w:val="24"/>
          <w:szCs w:val="24"/>
        </w:rPr>
        <w:t>10</w:t>
      </w:r>
    </w:p>
    <w:p w14:paraId="6E2505A2" w14:textId="0B9CE263" w:rsidR="00EF09E3" w:rsidRPr="002F4A24" w:rsidRDefault="002F4A24" w:rsidP="002F4A24">
      <w:pPr>
        <w:spacing w:after="0" w:line="240" w:lineRule="auto"/>
        <w:jc w:val="center"/>
        <w:rPr>
          <w:rFonts w:ascii="Garamond" w:eastAsia="Times New Roman" w:hAnsi="Garamond" w:cs="Times New Roman"/>
          <w:sz w:val="24"/>
          <w:szCs w:val="24"/>
        </w:rPr>
      </w:pPr>
      <w:r w:rsidRPr="002F4A24">
        <w:rPr>
          <w:rFonts w:ascii="Garamond" w:eastAsia="Times New Roman" w:hAnsi="Garamond" w:cs="Times New Roman"/>
          <w:sz w:val="24"/>
          <w:szCs w:val="24"/>
        </w:rPr>
        <w:t>KLASIFIKIMI I NGJARJES SIPAS LLOJIT, NIVELI 2 DHE 3 I DETAJIMIT</w:t>
      </w:r>
    </w:p>
    <w:p w14:paraId="6E2505A3" w14:textId="77777777" w:rsidR="00EF09E3" w:rsidRPr="00474D79" w:rsidRDefault="00EF09E3" w:rsidP="00FD3EF9">
      <w:pPr>
        <w:spacing w:after="0" w:line="240" w:lineRule="auto"/>
        <w:rPr>
          <w:rFonts w:ascii="Garamond" w:eastAsia="Times New Roman" w:hAnsi="Garamond" w:cs="Times New Roman"/>
          <w:b/>
          <w:sz w:val="24"/>
          <w:szCs w:val="24"/>
          <w:lang w:eastAsia="sq-AL"/>
        </w:rPr>
      </w:pPr>
      <w:r w:rsidRPr="00474D79">
        <w:rPr>
          <w:rFonts w:ascii="Garamond" w:eastAsia="Times New Roman" w:hAnsi="Garamond" w:cs="Times New Roman"/>
          <w:b/>
          <w:sz w:val="24"/>
          <w:szCs w:val="24"/>
        </w:rPr>
        <w:t>Lloji i ngjarjes: (EL4) Klientët, produktet dhe praktika të veprimtarive</w:t>
      </w: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299"/>
        <w:gridCol w:w="1089"/>
        <w:gridCol w:w="4825"/>
      </w:tblGrid>
      <w:tr w:rsidR="00EF09E3" w:rsidRPr="002F4A24" w14:paraId="6E2505A8" w14:textId="77777777" w:rsidTr="00D20524">
        <w:tc>
          <w:tcPr>
            <w:tcW w:w="399" w:type="pct"/>
            <w:shd w:val="clear" w:color="auto" w:fill="auto"/>
            <w:vAlign w:val="center"/>
          </w:tcPr>
          <w:p w14:paraId="6E2505A4"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 xml:space="preserve">Kodi </w:t>
            </w:r>
          </w:p>
        </w:tc>
        <w:tc>
          <w:tcPr>
            <w:tcW w:w="1288" w:type="pct"/>
            <w:shd w:val="clear" w:color="auto" w:fill="auto"/>
            <w:vAlign w:val="center"/>
          </w:tcPr>
          <w:p w14:paraId="6E2505A5"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2</w:t>
            </w:r>
          </w:p>
        </w:tc>
        <w:tc>
          <w:tcPr>
            <w:tcW w:w="610" w:type="pct"/>
            <w:shd w:val="clear" w:color="auto" w:fill="auto"/>
            <w:vAlign w:val="center"/>
          </w:tcPr>
          <w:p w14:paraId="6E2505A6"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Kodi</w:t>
            </w:r>
          </w:p>
        </w:tc>
        <w:tc>
          <w:tcPr>
            <w:tcW w:w="2703" w:type="pct"/>
            <w:shd w:val="clear" w:color="auto" w:fill="auto"/>
            <w:vAlign w:val="center"/>
          </w:tcPr>
          <w:p w14:paraId="6E2505A7"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3</w:t>
            </w:r>
          </w:p>
        </w:tc>
      </w:tr>
      <w:tr w:rsidR="00EF09E3" w:rsidRPr="002F4A24" w14:paraId="6E2505AD" w14:textId="77777777" w:rsidTr="00D20524">
        <w:tc>
          <w:tcPr>
            <w:tcW w:w="399" w:type="pct"/>
            <w:vMerge w:val="restart"/>
            <w:shd w:val="clear" w:color="auto" w:fill="auto"/>
            <w:vAlign w:val="center"/>
          </w:tcPr>
          <w:p w14:paraId="6E2505A9"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EL4.1</w:t>
            </w:r>
          </w:p>
        </w:tc>
        <w:tc>
          <w:tcPr>
            <w:tcW w:w="1288" w:type="pct"/>
            <w:vMerge w:val="restart"/>
            <w:shd w:val="clear" w:color="auto" w:fill="auto"/>
            <w:vAlign w:val="center"/>
          </w:tcPr>
          <w:p w14:paraId="6E2505AA"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Përshtatshmëria, publikimi dhe mirëbesimi</w:t>
            </w:r>
          </w:p>
        </w:tc>
        <w:tc>
          <w:tcPr>
            <w:tcW w:w="610" w:type="pct"/>
            <w:tcBorders>
              <w:top w:val="single" w:sz="8" w:space="0" w:color="auto"/>
              <w:left w:val="single" w:sz="4" w:space="0" w:color="auto"/>
              <w:bottom w:val="single" w:sz="4" w:space="0" w:color="auto"/>
              <w:right w:val="single" w:sz="4" w:space="0" w:color="auto"/>
            </w:tcBorders>
            <w:shd w:val="clear" w:color="auto" w:fill="auto"/>
            <w:vAlign w:val="center"/>
          </w:tcPr>
          <w:p w14:paraId="6E2505AB"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EA4.1.1</w:t>
            </w:r>
          </w:p>
        </w:tc>
        <w:tc>
          <w:tcPr>
            <w:tcW w:w="2703" w:type="pct"/>
            <w:tcBorders>
              <w:top w:val="single" w:sz="4" w:space="0" w:color="auto"/>
              <w:left w:val="nil"/>
              <w:bottom w:val="single" w:sz="4" w:space="0" w:color="auto"/>
              <w:right w:val="single" w:sz="4" w:space="0" w:color="auto"/>
            </w:tcBorders>
            <w:shd w:val="clear" w:color="auto" w:fill="auto"/>
            <w:vAlign w:val="center"/>
          </w:tcPr>
          <w:p w14:paraId="6E2505AC"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Thyerje të rregullave, të mirëbesimit</w:t>
            </w:r>
          </w:p>
        </w:tc>
      </w:tr>
      <w:tr w:rsidR="00EF09E3" w:rsidRPr="002F4A24" w14:paraId="6E2505B2" w14:textId="77777777" w:rsidTr="00D20524">
        <w:tc>
          <w:tcPr>
            <w:tcW w:w="399" w:type="pct"/>
            <w:vMerge/>
            <w:shd w:val="clear" w:color="auto" w:fill="auto"/>
            <w:vAlign w:val="center"/>
          </w:tcPr>
          <w:p w14:paraId="6E2505AE"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shd w:val="clear" w:color="auto" w:fill="auto"/>
            <w:vAlign w:val="center"/>
          </w:tcPr>
          <w:p w14:paraId="6E2505AF"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5B0"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EA4.1.2</w:t>
            </w:r>
          </w:p>
        </w:tc>
        <w:tc>
          <w:tcPr>
            <w:tcW w:w="2703" w:type="pct"/>
            <w:tcBorders>
              <w:top w:val="nil"/>
              <w:left w:val="nil"/>
              <w:bottom w:val="single" w:sz="4" w:space="0" w:color="auto"/>
              <w:right w:val="single" w:sz="4" w:space="0" w:color="auto"/>
            </w:tcBorders>
            <w:shd w:val="clear" w:color="auto" w:fill="auto"/>
            <w:vAlign w:val="center"/>
          </w:tcPr>
          <w:p w14:paraId="6E2505B1"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Problematika në përshtatshmërinë dhe zbulimin e të dhënave të klientit, etj.</w:t>
            </w:r>
          </w:p>
        </w:tc>
      </w:tr>
      <w:tr w:rsidR="00EF09E3" w:rsidRPr="002F4A24" w14:paraId="6E2505B7" w14:textId="77777777" w:rsidTr="00D20524">
        <w:tc>
          <w:tcPr>
            <w:tcW w:w="399" w:type="pct"/>
            <w:vMerge/>
            <w:shd w:val="clear" w:color="auto" w:fill="auto"/>
            <w:vAlign w:val="center"/>
          </w:tcPr>
          <w:p w14:paraId="6E2505B3"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shd w:val="clear" w:color="auto" w:fill="auto"/>
            <w:vAlign w:val="center"/>
          </w:tcPr>
          <w:p w14:paraId="6E2505B4"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5B5"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EA4.1.3</w:t>
            </w:r>
          </w:p>
        </w:tc>
        <w:tc>
          <w:tcPr>
            <w:tcW w:w="2703" w:type="pct"/>
            <w:tcBorders>
              <w:top w:val="nil"/>
              <w:left w:val="nil"/>
              <w:bottom w:val="single" w:sz="4" w:space="0" w:color="auto"/>
              <w:right w:val="single" w:sz="4" w:space="0" w:color="auto"/>
            </w:tcBorders>
            <w:shd w:val="clear" w:color="auto" w:fill="auto"/>
            <w:vAlign w:val="center"/>
          </w:tcPr>
          <w:p w14:paraId="6E2505B6"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Shkelje e masave mbrojtëse për publikimin e të dhënave të klientëve</w:t>
            </w:r>
          </w:p>
        </w:tc>
      </w:tr>
      <w:tr w:rsidR="00EF09E3" w:rsidRPr="002F4A24" w14:paraId="6E2505BC" w14:textId="77777777" w:rsidTr="00D20524">
        <w:tc>
          <w:tcPr>
            <w:tcW w:w="399" w:type="pct"/>
            <w:vMerge/>
            <w:shd w:val="clear" w:color="auto" w:fill="auto"/>
            <w:vAlign w:val="center"/>
          </w:tcPr>
          <w:p w14:paraId="6E2505B8"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shd w:val="clear" w:color="auto" w:fill="auto"/>
            <w:vAlign w:val="center"/>
          </w:tcPr>
          <w:p w14:paraId="6E2505B9"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5BA"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EA4.1.4</w:t>
            </w:r>
          </w:p>
        </w:tc>
        <w:tc>
          <w:tcPr>
            <w:tcW w:w="2703" w:type="pct"/>
            <w:tcBorders>
              <w:top w:val="nil"/>
              <w:left w:val="nil"/>
              <w:bottom w:val="single" w:sz="4" w:space="0" w:color="auto"/>
              <w:right w:val="single" w:sz="4" w:space="0" w:color="auto"/>
            </w:tcBorders>
            <w:shd w:val="clear" w:color="auto" w:fill="auto"/>
            <w:vAlign w:val="center"/>
          </w:tcPr>
          <w:p w14:paraId="6E2505BB"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Shkelje e privatësisë</w:t>
            </w:r>
          </w:p>
        </w:tc>
      </w:tr>
      <w:tr w:rsidR="00EF09E3" w:rsidRPr="002F4A24" w14:paraId="6E2505C1" w14:textId="77777777" w:rsidTr="00D20524">
        <w:tc>
          <w:tcPr>
            <w:tcW w:w="399" w:type="pct"/>
            <w:vMerge/>
            <w:shd w:val="clear" w:color="auto" w:fill="auto"/>
            <w:vAlign w:val="center"/>
          </w:tcPr>
          <w:p w14:paraId="6E2505BD"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shd w:val="clear" w:color="auto" w:fill="auto"/>
            <w:vAlign w:val="center"/>
          </w:tcPr>
          <w:p w14:paraId="6E2505BE"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5BF"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EA4.1.5</w:t>
            </w:r>
          </w:p>
        </w:tc>
        <w:tc>
          <w:tcPr>
            <w:tcW w:w="2703" w:type="pct"/>
            <w:tcBorders>
              <w:top w:val="nil"/>
              <w:left w:val="nil"/>
              <w:bottom w:val="single" w:sz="4" w:space="0" w:color="auto"/>
              <w:right w:val="single" w:sz="4" w:space="0" w:color="auto"/>
            </w:tcBorders>
            <w:shd w:val="clear" w:color="auto" w:fill="auto"/>
            <w:vAlign w:val="center"/>
          </w:tcPr>
          <w:p w14:paraId="6E2505C0"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Praktika të papërshtatshme shitjeje</w:t>
            </w:r>
          </w:p>
        </w:tc>
      </w:tr>
      <w:tr w:rsidR="00EF09E3" w:rsidRPr="002F4A24" w14:paraId="6E2505C6" w14:textId="77777777" w:rsidTr="00D20524">
        <w:tc>
          <w:tcPr>
            <w:tcW w:w="399" w:type="pct"/>
            <w:vMerge/>
            <w:shd w:val="clear" w:color="auto" w:fill="auto"/>
            <w:vAlign w:val="center"/>
          </w:tcPr>
          <w:p w14:paraId="6E2505C2"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shd w:val="clear" w:color="auto" w:fill="auto"/>
            <w:vAlign w:val="center"/>
          </w:tcPr>
          <w:p w14:paraId="6E2505C3"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5C4"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EA4.1.6</w:t>
            </w:r>
          </w:p>
        </w:tc>
        <w:tc>
          <w:tcPr>
            <w:tcW w:w="2703" w:type="pct"/>
            <w:tcBorders>
              <w:top w:val="nil"/>
              <w:left w:val="nil"/>
              <w:bottom w:val="single" w:sz="4" w:space="0" w:color="auto"/>
              <w:right w:val="single" w:sz="4" w:space="0" w:color="auto"/>
            </w:tcBorders>
            <w:shd w:val="clear" w:color="auto" w:fill="auto"/>
            <w:vAlign w:val="center"/>
          </w:tcPr>
          <w:p w14:paraId="6E2505C5"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Abuzim me të drejtat e llogarisë</w:t>
            </w:r>
          </w:p>
        </w:tc>
      </w:tr>
      <w:tr w:rsidR="00EF09E3" w:rsidRPr="002F4A24" w14:paraId="6E2505CB" w14:textId="77777777" w:rsidTr="00D20524">
        <w:tc>
          <w:tcPr>
            <w:tcW w:w="399" w:type="pct"/>
            <w:vMerge/>
            <w:shd w:val="clear" w:color="auto" w:fill="auto"/>
            <w:vAlign w:val="center"/>
          </w:tcPr>
          <w:p w14:paraId="6E2505C7"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shd w:val="clear" w:color="auto" w:fill="auto"/>
            <w:vAlign w:val="center"/>
          </w:tcPr>
          <w:p w14:paraId="6E2505C8"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5C9"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EA4.1.7</w:t>
            </w:r>
          </w:p>
        </w:tc>
        <w:tc>
          <w:tcPr>
            <w:tcW w:w="2703" w:type="pct"/>
            <w:tcBorders>
              <w:top w:val="nil"/>
              <w:left w:val="nil"/>
              <w:bottom w:val="single" w:sz="4" w:space="0" w:color="auto"/>
              <w:right w:val="single" w:sz="4" w:space="0" w:color="auto"/>
            </w:tcBorders>
            <w:shd w:val="clear" w:color="auto" w:fill="auto"/>
            <w:vAlign w:val="center"/>
          </w:tcPr>
          <w:p w14:paraId="6E2505CA"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Shpërdorim i informacionit konfidencial</w:t>
            </w:r>
          </w:p>
        </w:tc>
      </w:tr>
      <w:tr w:rsidR="00EF09E3" w:rsidRPr="002F4A24" w14:paraId="6E2505D0" w14:textId="77777777" w:rsidTr="00D20524">
        <w:tc>
          <w:tcPr>
            <w:tcW w:w="399" w:type="pct"/>
            <w:vMerge/>
            <w:tcBorders>
              <w:bottom w:val="single" w:sz="4" w:space="0" w:color="auto"/>
            </w:tcBorders>
            <w:shd w:val="clear" w:color="auto" w:fill="auto"/>
            <w:vAlign w:val="center"/>
          </w:tcPr>
          <w:p w14:paraId="6E2505CC"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tcBorders>
              <w:bottom w:val="single" w:sz="4" w:space="0" w:color="auto"/>
            </w:tcBorders>
            <w:shd w:val="clear" w:color="auto" w:fill="auto"/>
            <w:vAlign w:val="center"/>
          </w:tcPr>
          <w:p w14:paraId="6E2505CD"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5CE"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EA4.1.8</w:t>
            </w:r>
          </w:p>
        </w:tc>
        <w:tc>
          <w:tcPr>
            <w:tcW w:w="2703" w:type="pct"/>
            <w:tcBorders>
              <w:top w:val="nil"/>
              <w:left w:val="nil"/>
              <w:bottom w:val="single" w:sz="4" w:space="0" w:color="auto"/>
              <w:right w:val="single" w:sz="4" w:space="0" w:color="auto"/>
            </w:tcBorders>
            <w:shd w:val="clear" w:color="auto" w:fill="auto"/>
            <w:vAlign w:val="center"/>
          </w:tcPr>
          <w:p w14:paraId="6E2505CF"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Detyrim/përgjegjësi e huadhënësit (</w:t>
            </w:r>
            <w:r w:rsidRPr="002F4A24">
              <w:rPr>
                <w:rFonts w:ascii="Garamond" w:eastAsia="Times New Roman" w:hAnsi="Garamond" w:cs="Times New Roman"/>
                <w:i/>
                <w:sz w:val="18"/>
                <w:szCs w:val="18"/>
              </w:rPr>
              <w:t>lender liability</w:t>
            </w:r>
            <w:r w:rsidRPr="002F4A24">
              <w:rPr>
                <w:rFonts w:ascii="Garamond" w:eastAsia="Times New Roman" w:hAnsi="Garamond" w:cs="Times New Roman"/>
                <w:sz w:val="18"/>
                <w:szCs w:val="18"/>
              </w:rPr>
              <w:t>)</w:t>
            </w:r>
          </w:p>
        </w:tc>
      </w:tr>
      <w:tr w:rsidR="00EF09E3" w:rsidRPr="002F4A24" w14:paraId="6E2505D5" w14:textId="77777777" w:rsidTr="00D20524">
        <w:tc>
          <w:tcPr>
            <w:tcW w:w="399" w:type="pct"/>
            <w:vMerge w:val="restart"/>
            <w:tcBorders>
              <w:top w:val="single" w:sz="4" w:space="0" w:color="auto"/>
            </w:tcBorders>
            <w:shd w:val="clear" w:color="auto" w:fill="auto"/>
            <w:vAlign w:val="center"/>
          </w:tcPr>
          <w:p w14:paraId="6E2505D1"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EL4.2</w:t>
            </w:r>
          </w:p>
        </w:tc>
        <w:tc>
          <w:tcPr>
            <w:tcW w:w="1288" w:type="pct"/>
            <w:vMerge w:val="restart"/>
            <w:tcBorders>
              <w:top w:val="single" w:sz="4" w:space="0" w:color="auto"/>
            </w:tcBorders>
            <w:shd w:val="clear" w:color="auto" w:fill="auto"/>
            <w:vAlign w:val="center"/>
          </w:tcPr>
          <w:p w14:paraId="6E2505D2"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Praktika të papërshtatshme biznesi dhe tregu</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6E2505D3"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EA4.2.1</w:t>
            </w:r>
          </w:p>
        </w:tc>
        <w:tc>
          <w:tcPr>
            <w:tcW w:w="2703" w:type="pct"/>
            <w:tcBorders>
              <w:top w:val="single" w:sz="4" w:space="0" w:color="auto"/>
              <w:left w:val="nil"/>
              <w:bottom w:val="single" w:sz="4" w:space="0" w:color="auto"/>
              <w:right w:val="single" w:sz="4" w:space="0" w:color="auto"/>
            </w:tcBorders>
            <w:shd w:val="clear" w:color="auto" w:fill="auto"/>
            <w:vAlign w:val="center"/>
          </w:tcPr>
          <w:p w14:paraId="6E2505D4" w14:textId="77777777" w:rsidR="00EF09E3" w:rsidRPr="002F4A24" w:rsidRDefault="00EF09E3" w:rsidP="00FD3EF9">
            <w:pPr>
              <w:spacing w:after="0" w:line="240" w:lineRule="auto"/>
              <w:rPr>
                <w:rFonts w:ascii="Garamond" w:eastAsia="Times New Roman" w:hAnsi="Garamond" w:cs="Times New Roman"/>
                <w:i/>
                <w:sz w:val="18"/>
                <w:szCs w:val="18"/>
              </w:rPr>
            </w:pPr>
            <w:r w:rsidRPr="002F4A24">
              <w:rPr>
                <w:rFonts w:ascii="Garamond" w:eastAsia="Times New Roman" w:hAnsi="Garamond" w:cs="Times New Roman"/>
                <w:i/>
                <w:sz w:val="18"/>
                <w:szCs w:val="18"/>
              </w:rPr>
              <w:t>Antitrust</w:t>
            </w:r>
          </w:p>
        </w:tc>
      </w:tr>
      <w:tr w:rsidR="00EF09E3" w:rsidRPr="002F4A24" w14:paraId="6E2505DA" w14:textId="77777777" w:rsidTr="00D20524">
        <w:tc>
          <w:tcPr>
            <w:tcW w:w="399" w:type="pct"/>
            <w:vMerge/>
            <w:shd w:val="clear" w:color="auto" w:fill="auto"/>
            <w:vAlign w:val="center"/>
          </w:tcPr>
          <w:p w14:paraId="6E2505D6"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shd w:val="clear" w:color="auto" w:fill="auto"/>
            <w:vAlign w:val="center"/>
          </w:tcPr>
          <w:p w14:paraId="6E2505D7"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5D8"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EA4.2.2</w:t>
            </w:r>
          </w:p>
        </w:tc>
        <w:tc>
          <w:tcPr>
            <w:tcW w:w="2703" w:type="pct"/>
            <w:tcBorders>
              <w:top w:val="nil"/>
              <w:left w:val="nil"/>
              <w:bottom w:val="single" w:sz="4" w:space="0" w:color="auto"/>
              <w:right w:val="single" w:sz="4" w:space="0" w:color="auto"/>
            </w:tcBorders>
            <w:shd w:val="clear" w:color="auto" w:fill="auto"/>
            <w:vAlign w:val="center"/>
          </w:tcPr>
          <w:p w14:paraId="6E2505D9"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Praktika të papërshtatshme të biznesit</w:t>
            </w:r>
          </w:p>
        </w:tc>
      </w:tr>
      <w:tr w:rsidR="00EF09E3" w:rsidRPr="002F4A24" w14:paraId="6E2505DF" w14:textId="77777777" w:rsidTr="00D20524">
        <w:tc>
          <w:tcPr>
            <w:tcW w:w="399" w:type="pct"/>
            <w:vMerge/>
            <w:shd w:val="clear" w:color="auto" w:fill="auto"/>
            <w:vAlign w:val="center"/>
          </w:tcPr>
          <w:p w14:paraId="6E2505DB"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shd w:val="clear" w:color="auto" w:fill="auto"/>
            <w:vAlign w:val="center"/>
          </w:tcPr>
          <w:p w14:paraId="6E2505DC"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5DD"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EA4.2.3</w:t>
            </w:r>
          </w:p>
        </w:tc>
        <w:tc>
          <w:tcPr>
            <w:tcW w:w="2703" w:type="pct"/>
            <w:tcBorders>
              <w:top w:val="nil"/>
              <w:left w:val="nil"/>
              <w:bottom w:val="single" w:sz="4" w:space="0" w:color="auto"/>
              <w:right w:val="single" w:sz="4" w:space="0" w:color="auto"/>
            </w:tcBorders>
            <w:shd w:val="clear" w:color="auto" w:fill="auto"/>
            <w:vAlign w:val="center"/>
          </w:tcPr>
          <w:p w14:paraId="6E2505DE"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Reklamim manipulues</w:t>
            </w:r>
          </w:p>
        </w:tc>
      </w:tr>
      <w:tr w:rsidR="00EF09E3" w:rsidRPr="002F4A24" w14:paraId="6E2505E4" w14:textId="77777777" w:rsidTr="00D20524">
        <w:tc>
          <w:tcPr>
            <w:tcW w:w="399" w:type="pct"/>
            <w:vMerge/>
            <w:shd w:val="clear" w:color="auto" w:fill="auto"/>
            <w:vAlign w:val="center"/>
          </w:tcPr>
          <w:p w14:paraId="6E2505E0"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shd w:val="clear" w:color="auto" w:fill="auto"/>
            <w:vAlign w:val="center"/>
          </w:tcPr>
          <w:p w14:paraId="6E2505E1"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5E2"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EA4.2.4</w:t>
            </w:r>
          </w:p>
        </w:tc>
        <w:tc>
          <w:tcPr>
            <w:tcW w:w="2703" w:type="pct"/>
            <w:tcBorders>
              <w:top w:val="nil"/>
              <w:left w:val="nil"/>
              <w:bottom w:val="single" w:sz="4" w:space="0" w:color="auto"/>
              <w:right w:val="single" w:sz="4" w:space="0" w:color="auto"/>
            </w:tcBorders>
            <w:shd w:val="clear" w:color="auto" w:fill="auto"/>
            <w:vAlign w:val="center"/>
          </w:tcPr>
          <w:p w14:paraId="6E2505E3"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Tregtim i brendshëm (</w:t>
            </w:r>
            <w:r w:rsidRPr="002F4A24">
              <w:rPr>
                <w:rFonts w:ascii="Garamond" w:eastAsia="Times New Roman" w:hAnsi="Garamond" w:cs="Times New Roman"/>
                <w:i/>
                <w:sz w:val="18"/>
                <w:szCs w:val="18"/>
              </w:rPr>
              <w:t>insider trading</w:t>
            </w:r>
            <w:r w:rsidRPr="002F4A24">
              <w:rPr>
                <w:rFonts w:ascii="Garamond" w:eastAsia="Times New Roman" w:hAnsi="Garamond" w:cs="Times New Roman"/>
                <w:sz w:val="18"/>
                <w:szCs w:val="18"/>
              </w:rPr>
              <w:t>)</w:t>
            </w:r>
          </w:p>
        </w:tc>
      </w:tr>
      <w:tr w:rsidR="00EF09E3" w:rsidRPr="002F4A24" w14:paraId="6E2505E9" w14:textId="77777777" w:rsidTr="00D20524">
        <w:tc>
          <w:tcPr>
            <w:tcW w:w="399" w:type="pct"/>
            <w:vMerge/>
            <w:shd w:val="clear" w:color="auto" w:fill="auto"/>
            <w:vAlign w:val="center"/>
          </w:tcPr>
          <w:p w14:paraId="6E2505E5"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shd w:val="clear" w:color="auto" w:fill="auto"/>
            <w:vAlign w:val="center"/>
          </w:tcPr>
          <w:p w14:paraId="6E2505E6"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5E7"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EA4.2.5</w:t>
            </w:r>
          </w:p>
        </w:tc>
        <w:tc>
          <w:tcPr>
            <w:tcW w:w="2703" w:type="pct"/>
            <w:tcBorders>
              <w:top w:val="nil"/>
              <w:left w:val="nil"/>
              <w:bottom w:val="single" w:sz="4" w:space="0" w:color="auto"/>
              <w:right w:val="single" w:sz="4" w:space="0" w:color="auto"/>
            </w:tcBorders>
            <w:shd w:val="clear" w:color="auto" w:fill="auto"/>
            <w:vAlign w:val="center"/>
          </w:tcPr>
          <w:p w14:paraId="6E2505E8"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Aktivitet i palicencuar</w:t>
            </w:r>
          </w:p>
        </w:tc>
      </w:tr>
      <w:tr w:rsidR="00EF09E3" w:rsidRPr="002F4A24" w14:paraId="6E2505EE" w14:textId="77777777" w:rsidTr="00D20524">
        <w:tc>
          <w:tcPr>
            <w:tcW w:w="399" w:type="pct"/>
            <w:vMerge/>
            <w:tcBorders>
              <w:bottom w:val="single" w:sz="4" w:space="0" w:color="auto"/>
            </w:tcBorders>
            <w:shd w:val="clear" w:color="auto" w:fill="auto"/>
            <w:vAlign w:val="center"/>
          </w:tcPr>
          <w:p w14:paraId="6E2505EA"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tcBorders>
              <w:bottom w:val="single" w:sz="4" w:space="0" w:color="auto"/>
            </w:tcBorders>
            <w:shd w:val="clear" w:color="auto" w:fill="auto"/>
            <w:vAlign w:val="center"/>
          </w:tcPr>
          <w:p w14:paraId="6E2505EB"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5EC"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EA4.2.6</w:t>
            </w:r>
          </w:p>
        </w:tc>
        <w:tc>
          <w:tcPr>
            <w:tcW w:w="2703" w:type="pct"/>
            <w:tcBorders>
              <w:top w:val="nil"/>
              <w:left w:val="nil"/>
              <w:bottom w:val="single" w:sz="4" w:space="0" w:color="auto"/>
              <w:right w:val="single" w:sz="4" w:space="0" w:color="auto"/>
            </w:tcBorders>
            <w:shd w:val="clear" w:color="auto" w:fill="auto"/>
            <w:vAlign w:val="center"/>
          </w:tcPr>
          <w:p w14:paraId="6E2505ED"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 xml:space="preserve">Pastrim parash </w:t>
            </w:r>
          </w:p>
        </w:tc>
      </w:tr>
      <w:tr w:rsidR="00EF09E3" w:rsidRPr="002F4A24" w14:paraId="6E2505F3" w14:textId="77777777" w:rsidTr="00D20524">
        <w:tc>
          <w:tcPr>
            <w:tcW w:w="399" w:type="pct"/>
            <w:vMerge w:val="restart"/>
            <w:tcBorders>
              <w:top w:val="single" w:sz="4" w:space="0" w:color="auto"/>
            </w:tcBorders>
            <w:shd w:val="clear" w:color="auto" w:fill="auto"/>
            <w:vAlign w:val="center"/>
          </w:tcPr>
          <w:p w14:paraId="6E2505EF"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EL4.3</w:t>
            </w:r>
          </w:p>
        </w:tc>
        <w:tc>
          <w:tcPr>
            <w:tcW w:w="1288" w:type="pct"/>
            <w:vMerge w:val="restart"/>
            <w:tcBorders>
              <w:top w:val="single" w:sz="4" w:space="0" w:color="auto"/>
            </w:tcBorders>
            <w:shd w:val="clear" w:color="auto" w:fill="auto"/>
            <w:vAlign w:val="center"/>
          </w:tcPr>
          <w:p w14:paraId="6E2505F0"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Mangësitë e produktit</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6E2505F1"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EA4.3.1</w:t>
            </w:r>
          </w:p>
        </w:tc>
        <w:tc>
          <w:tcPr>
            <w:tcW w:w="2703" w:type="pct"/>
            <w:tcBorders>
              <w:top w:val="single" w:sz="4" w:space="0" w:color="auto"/>
              <w:left w:val="nil"/>
              <w:bottom w:val="single" w:sz="4" w:space="0" w:color="auto"/>
              <w:right w:val="single" w:sz="4" w:space="0" w:color="auto"/>
            </w:tcBorders>
            <w:shd w:val="clear" w:color="auto" w:fill="auto"/>
            <w:vAlign w:val="center"/>
          </w:tcPr>
          <w:p w14:paraId="6E2505F2"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Produkte defektive</w:t>
            </w:r>
          </w:p>
        </w:tc>
      </w:tr>
      <w:tr w:rsidR="00EF09E3" w:rsidRPr="002F4A24" w14:paraId="6E2505F8" w14:textId="77777777" w:rsidTr="00D20524">
        <w:tc>
          <w:tcPr>
            <w:tcW w:w="399" w:type="pct"/>
            <w:vMerge/>
            <w:tcBorders>
              <w:bottom w:val="single" w:sz="4" w:space="0" w:color="auto"/>
            </w:tcBorders>
            <w:shd w:val="clear" w:color="auto" w:fill="auto"/>
            <w:vAlign w:val="center"/>
          </w:tcPr>
          <w:p w14:paraId="6E2505F4"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tcBorders>
              <w:bottom w:val="single" w:sz="4" w:space="0" w:color="auto"/>
            </w:tcBorders>
            <w:shd w:val="clear" w:color="auto" w:fill="auto"/>
            <w:vAlign w:val="center"/>
          </w:tcPr>
          <w:p w14:paraId="6E2505F5"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5F6"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EA4.3.2</w:t>
            </w:r>
          </w:p>
        </w:tc>
        <w:tc>
          <w:tcPr>
            <w:tcW w:w="2703" w:type="pct"/>
            <w:tcBorders>
              <w:top w:val="nil"/>
              <w:left w:val="nil"/>
              <w:bottom w:val="single" w:sz="4" w:space="0" w:color="auto"/>
              <w:right w:val="single" w:sz="4" w:space="0" w:color="auto"/>
            </w:tcBorders>
            <w:shd w:val="clear" w:color="auto" w:fill="auto"/>
            <w:vAlign w:val="center"/>
          </w:tcPr>
          <w:p w14:paraId="6E2505F7"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Gabime në modele</w:t>
            </w:r>
          </w:p>
        </w:tc>
      </w:tr>
      <w:tr w:rsidR="00EF09E3" w:rsidRPr="002F4A24" w14:paraId="6E2505FD" w14:textId="77777777" w:rsidTr="00D20524">
        <w:tc>
          <w:tcPr>
            <w:tcW w:w="399" w:type="pct"/>
            <w:vMerge w:val="restart"/>
            <w:tcBorders>
              <w:top w:val="single" w:sz="4" w:space="0" w:color="auto"/>
            </w:tcBorders>
            <w:shd w:val="clear" w:color="auto" w:fill="auto"/>
            <w:vAlign w:val="center"/>
          </w:tcPr>
          <w:p w14:paraId="6E2505F9"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EL4.4</w:t>
            </w:r>
          </w:p>
        </w:tc>
        <w:tc>
          <w:tcPr>
            <w:tcW w:w="1288" w:type="pct"/>
            <w:vMerge w:val="restart"/>
            <w:tcBorders>
              <w:top w:val="single" w:sz="4" w:space="0" w:color="auto"/>
            </w:tcBorders>
            <w:shd w:val="clear" w:color="auto" w:fill="auto"/>
            <w:vAlign w:val="center"/>
          </w:tcPr>
          <w:p w14:paraId="6E2505FA"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Seleksionimi, sponsorizimi/financimi dhe ekspozimi</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6E2505FB"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EA4.4.1</w:t>
            </w:r>
          </w:p>
        </w:tc>
        <w:tc>
          <w:tcPr>
            <w:tcW w:w="2703" w:type="pct"/>
            <w:tcBorders>
              <w:top w:val="single" w:sz="4" w:space="0" w:color="auto"/>
              <w:left w:val="nil"/>
              <w:bottom w:val="single" w:sz="4" w:space="0" w:color="auto"/>
              <w:right w:val="single" w:sz="4" w:space="0" w:color="auto"/>
            </w:tcBorders>
            <w:shd w:val="clear" w:color="auto" w:fill="auto"/>
            <w:vAlign w:val="center"/>
          </w:tcPr>
          <w:p w14:paraId="6E2505FC" w14:textId="6230386C"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Dështim për të investiguar klientin sipas udhëzimeve/</w:t>
            </w:r>
            <w:r w:rsidR="002F4A24" w:rsidRPr="002F4A24">
              <w:rPr>
                <w:rFonts w:ascii="Garamond" w:eastAsia="Times New Roman" w:hAnsi="Garamond" w:cs="Times New Roman"/>
                <w:sz w:val="18"/>
                <w:szCs w:val="18"/>
              </w:rPr>
              <w:t xml:space="preserve"> </w:t>
            </w:r>
            <w:r w:rsidRPr="002F4A24">
              <w:rPr>
                <w:rFonts w:ascii="Garamond" w:eastAsia="Times New Roman" w:hAnsi="Garamond" w:cs="Times New Roman"/>
                <w:sz w:val="18"/>
                <w:szCs w:val="18"/>
              </w:rPr>
              <w:t>rregulloreve/mungesë e njohjes së klientit</w:t>
            </w:r>
          </w:p>
        </w:tc>
      </w:tr>
      <w:tr w:rsidR="00EF09E3" w:rsidRPr="002F4A24" w14:paraId="6E250602" w14:textId="77777777" w:rsidTr="00D20524">
        <w:tc>
          <w:tcPr>
            <w:tcW w:w="399" w:type="pct"/>
            <w:vMerge/>
            <w:tcBorders>
              <w:bottom w:val="single" w:sz="4" w:space="0" w:color="auto"/>
            </w:tcBorders>
            <w:shd w:val="clear" w:color="auto" w:fill="auto"/>
            <w:vAlign w:val="center"/>
          </w:tcPr>
          <w:p w14:paraId="6E2505FE" w14:textId="77777777" w:rsidR="00EF09E3" w:rsidRPr="002F4A24" w:rsidRDefault="00EF09E3" w:rsidP="00FD3EF9">
            <w:pPr>
              <w:spacing w:after="0" w:line="240" w:lineRule="auto"/>
              <w:rPr>
                <w:rFonts w:ascii="Garamond" w:eastAsia="Times New Roman" w:hAnsi="Garamond" w:cs="Times New Roman"/>
                <w:sz w:val="18"/>
                <w:szCs w:val="18"/>
              </w:rPr>
            </w:pPr>
          </w:p>
        </w:tc>
        <w:tc>
          <w:tcPr>
            <w:tcW w:w="1288" w:type="pct"/>
            <w:vMerge/>
            <w:tcBorders>
              <w:bottom w:val="single" w:sz="4" w:space="0" w:color="auto"/>
            </w:tcBorders>
            <w:shd w:val="clear" w:color="auto" w:fill="auto"/>
            <w:vAlign w:val="center"/>
          </w:tcPr>
          <w:p w14:paraId="6E2505FF" w14:textId="77777777" w:rsidR="00EF09E3" w:rsidRPr="002F4A24" w:rsidRDefault="00EF09E3" w:rsidP="00FD3EF9">
            <w:pPr>
              <w:spacing w:after="0" w:line="240" w:lineRule="auto"/>
              <w:rPr>
                <w:rFonts w:ascii="Garamond" w:eastAsia="Times New Roman" w:hAnsi="Garamond" w:cs="Times New Roman"/>
                <w:sz w:val="18"/>
                <w:szCs w:val="18"/>
              </w:rPr>
            </w:pPr>
          </w:p>
        </w:tc>
        <w:tc>
          <w:tcPr>
            <w:tcW w:w="610" w:type="pct"/>
            <w:tcBorders>
              <w:top w:val="nil"/>
              <w:bottom w:val="single" w:sz="4" w:space="0" w:color="auto"/>
              <w:right w:val="single" w:sz="4" w:space="0" w:color="auto"/>
            </w:tcBorders>
            <w:shd w:val="clear" w:color="auto" w:fill="auto"/>
            <w:vAlign w:val="center"/>
          </w:tcPr>
          <w:p w14:paraId="6E250600"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EA4.4.2</w:t>
            </w:r>
          </w:p>
        </w:tc>
        <w:tc>
          <w:tcPr>
            <w:tcW w:w="2703" w:type="pct"/>
            <w:tcBorders>
              <w:top w:val="nil"/>
              <w:left w:val="nil"/>
              <w:bottom w:val="single" w:sz="4" w:space="0" w:color="auto"/>
              <w:right w:val="single" w:sz="4" w:space="0" w:color="auto"/>
            </w:tcBorders>
            <w:shd w:val="clear" w:color="auto" w:fill="auto"/>
            <w:vAlign w:val="center"/>
          </w:tcPr>
          <w:p w14:paraId="6E250601"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Tejkalim i limiteve të ekspozimit të klientëve</w:t>
            </w:r>
          </w:p>
        </w:tc>
      </w:tr>
      <w:tr w:rsidR="00EF09E3" w:rsidRPr="002F4A24" w14:paraId="6E250607" w14:textId="77777777" w:rsidTr="00D20524">
        <w:tc>
          <w:tcPr>
            <w:tcW w:w="399" w:type="pct"/>
            <w:tcBorders>
              <w:top w:val="single" w:sz="4" w:space="0" w:color="auto"/>
            </w:tcBorders>
            <w:shd w:val="clear" w:color="auto" w:fill="auto"/>
            <w:vAlign w:val="center"/>
          </w:tcPr>
          <w:p w14:paraId="6E250603"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EL4.5</w:t>
            </w:r>
          </w:p>
        </w:tc>
        <w:tc>
          <w:tcPr>
            <w:tcW w:w="1288" w:type="pct"/>
            <w:tcBorders>
              <w:top w:val="single" w:sz="4" w:space="0" w:color="auto"/>
            </w:tcBorders>
            <w:shd w:val="clear" w:color="auto" w:fill="auto"/>
            <w:vAlign w:val="center"/>
          </w:tcPr>
          <w:p w14:paraId="6E250604"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Aktivitete këshilluese</w:t>
            </w:r>
          </w:p>
        </w:tc>
        <w:tc>
          <w:tcPr>
            <w:tcW w:w="610" w:type="pct"/>
            <w:tcBorders>
              <w:top w:val="nil"/>
              <w:left w:val="single" w:sz="4" w:space="0" w:color="auto"/>
              <w:bottom w:val="single" w:sz="4" w:space="0" w:color="auto"/>
              <w:right w:val="single" w:sz="4" w:space="0" w:color="auto"/>
            </w:tcBorders>
            <w:shd w:val="clear" w:color="auto" w:fill="auto"/>
            <w:vAlign w:val="center"/>
          </w:tcPr>
          <w:p w14:paraId="6E250605"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EA4.5.1</w:t>
            </w:r>
          </w:p>
        </w:tc>
        <w:tc>
          <w:tcPr>
            <w:tcW w:w="2703" w:type="pct"/>
            <w:tcBorders>
              <w:top w:val="nil"/>
              <w:left w:val="nil"/>
              <w:bottom w:val="single" w:sz="4" w:space="0" w:color="auto"/>
              <w:right w:val="single" w:sz="4" w:space="0" w:color="auto"/>
            </w:tcBorders>
            <w:shd w:val="clear" w:color="auto" w:fill="auto"/>
            <w:vAlign w:val="center"/>
          </w:tcPr>
          <w:p w14:paraId="6E250606"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Mosmarrëveshje mbi performancën e aktiviteteve këshilluese</w:t>
            </w:r>
          </w:p>
        </w:tc>
      </w:tr>
    </w:tbl>
    <w:p w14:paraId="6E250608" w14:textId="77777777" w:rsidR="00EF09E3" w:rsidRPr="00474D79" w:rsidRDefault="00EF09E3" w:rsidP="00FD3EF9">
      <w:pPr>
        <w:spacing w:after="0" w:line="240" w:lineRule="auto"/>
        <w:rPr>
          <w:rFonts w:ascii="Garamond" w:eastAsia="Times New Roman" w:hAnsi="Garamond" w:cs="Arial"/>
        </w:rPr>
      </w:pPr>
    </w:p>
    <w:p w14:paraId="29BB4057" w14:textId="77777777" w:rsidR="00BC1CAE" w:rsidRDefault="00BC1CAE" w:rsidP="002F4A24">
      <w:pPr>
        <w:spacing w:after="0" w:line="240" w:lineRule="auto"/>
        <w:jc w:val="center"/>
        <w:rPr>
          <w:rFonts w:ascii="Garamond" w:eastAsia="Times New Roman" w:hAnsi="Garamond" w:cs="Times New Roman"/>
          <w:sz w:val="24"/>
          <w:szCs w:val="24"/>
        </w:rPr>
      </w:pPr>
    </w:p>
    <w:p w14:paraId="0BA25EEE" w14:textId="77777777" w:rsidR="00BC1CAE" w:rsidRDefault="00BC1CAE" w:rsidP="002F4A24">
      <w:pPr>
        <w:spacing w:after="0" w:line="240" w:lineRule="auto"/>
        <w:jc w:val="center"/>
        <w:rPr>
          <w:rFonts w:ascii="Garamond" w:eastAsia="Times New Roman" w:hAnsi="Garamond" w:cs="Times New Roman"/>
          <w:sz w:val="24"/>
          <w:szCs w:val="24"/>
        </w:rPr>
      </w:pPr>
    </w:p>
    <w:p w14:paraId="6E25060A" w14:textId="0FA01716" w:rsidR="00EF09E3" w:rsidRPr="002F4A24" w:rsidRDefault="002F4A24" w:rsidP="002F4A24">
      <w:pPr>
        <w:spacing w:after="0" w:line="240" w:lineRule="auto"/>
        <w:jc w:val="center"/>
        <w:rPr>
          <w:rFonts w:ascii="Garamond" w:eastAsia="Times New Roman" w:hAnsi="Garamond" w:cs="Times New Roman"/>
          <w:sz w:val="24"/>
          <w:szCs w:val="24"/>
        </w:rPr>
      </w:pPr>
      <w:r w:rsidRPr="002F4A24">
        <w:rPr>
          <w:rFonts w:ascii="Garamond" w:eastAsia="Times New Roman" w:hAnsi="Garamond" w:cs="Times New Roman"/>
          <w:sz w:val="24"/>
          <w:szCs w:val="24"/>
        </w:rPr>
        <w:lastRenderedPageBreak/>
        <w:t>ANEKS NR. 11</w:t>
      </w:r>
    </w:p>
    <w:p w14:paraId="6E25060B" w14:textId="3723B5E3" w:rsidR="00EF09E3" w:rsidRPr="002F4A24" w:rsidRDefault="002F4A24" w:rsidP="002F4A24">
      <w:pPr>
        <w:spacing w:after="0" w:line="240" w:lineRule="auto"/>
        <w:jc w:val="center"/>
        <w:rPr>
          <w:rFonts w:ascii="Garamond" w:eastAsia="Times New Roman" w:hAnsi="Garamond" w:cs="Times New Roman"/>
          <w:sz w:val="24"/>
          <w:szCs w:val="24"/>
        </w:rPr>
      </w:pPr>
      <w:r w:rsidRPr="002F4A24">
        <w:rPr>
          <w:rFonts w:ascii="Garamond" w:eastAsia="Times New Roman" w:hAnsi="Garamond" w:cs="Times New Roman"/>
          <w:sz w:val="24"/>
          <w:szCs w:val="24"/>
        </w:rPr>
        <w:t>KLASIFIKIMI I NGJARJES SIPAS LLOJIT, NIVELI 2 DHE 3 I DETAJIMIT</w:t>
      </w:r>
    </w:p>
    <w:p w14:paraId="6E25060C" w14:textId="77777777" w:rsidR="00EF09E3" w:rsidRPr="00474D79" w:rsidRDefault="00EF09E3" w:rsidP="00FD3EF9">
      <w:pPr>
        <w:spacing w:after="0" w:line="240" w:lineRule="auto"/>
        <w:rPr>
          <w:rFonts w:ascii="Garamond" w:hAnsi="Garamond" w:cs="Times New Roman"/>
          <w:b/>
          <w:sz w:val="24"/>
          <w:szCs w:val="24"/>
        </w:rPr>
      </w:pPr>
      <w:r w:rsidRPr="00474D79">
        <w:rPr>
          <w:rFonts w:ascii="Garamond" w:eastAsia="Times New Roman" w:hAnsi="Garamond" w:cs="Times New Roman"/>
          <w:b/>
          <w:sz w:val="24"/>
          <w:szCs w:val="24"/>
        </w:rPr>
        <w:t>Lloji i ngjarjes: (EL5) Dëmtime fizike të aktiveve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297"/>
        <w:gridCol w:w="1089"/>
        <w:gridCol w:w="4527"/>
      </w:tblGrid>
      <w:tr w:rsidR="00EF09E3" w:rsidRPr="002F4A24" w14:paraId="6E250611" w14:textId="77777777" w:rsidTr="00FD3EF9">
        <w:tc>
          <w:tcPr>
            <w:tcW w:w="415" w:type="pct"/>
            <w:shd w:val="clear" w:color="auto" w:fill="auto"/>
            <w:vAlign w:val="center"/>
          </w:tcPr>
          <w:p w14:paraId="6E25060D"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 xml:space="preserve">Kodi </w:t>
            </w:r>
          </w:p>
        </w:tc>
        <w:tc>
          <w:tcPr>
            <w:tcW w:w="1331" w:type="pct"/>
            <w:shd w:val="clear" w:color="auto" w:fill="auto"/>
            <w:vAlign w:val="center"/>
          </w:tcPr>
          <w:p w14:paraId="6E25060E"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2</w:t>
            </w:r>
          </w:p>
        </w:tc>
        <w:tc>
          <w:tcPr>
            <w:tcW w:w="631" w:type="pct"/>
            <w:shd w:val="clear" w:color="auto" w:fill="auto"/>
            <w:vAlign w:val="center"/>
          </w:tcPr>
          <w:p w14:paraId="6E25060F"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Kodi</w:t>
            </w:r>
          </w:p>
        </w:tc>
        <w:tc>
          <w:tcPr>
            <w:tcW w:w="2623" w:type="pct"/>
            <w:shd w:val="clear" w:color="auto" w:fill="auto"/>
            <w:vAlign w:val="center"/>
          </w:tcPr>
          <w:p w14:paraId="6E250610"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3</w:t>
            </w:r>
          </w:p>
        </w:tc>
      </w:tr>
      <w:tr w:rsidR="00EF09E3" w:rsidRPr="002F4A24" w14:paraId="6E250616" w14:textId="77777777" w:rsidTr="00FD3EF9">
        <w:tc>
          <w:tcPr>
            <w:tcW w:w="415" w:type="pct"/>
            <w:vMerge w:val="restart"/>
            <w:shd w:val="clear" w:color="auto" w:fill="auto"/>
            <w:vAlign w:val="center"/>
          </w:tcPr>
          <w:p w14:paraId="6E250612"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EL5.1</w:t>
            </w:r>
          </w:p>
        </w:tc>
        <w:tc>
          <w:tcPr>
            <w:tcW w:w="1331" w:type="pct"/>
            <w:vMerge w:val="restart"/>
            <w:shd w:val="clear" w:color="auto" w:fill="auto"/>
            <w:vAlign w:val="center"/>
          </w:tcPr>
          <w:p w14:paraId="6E250613" w14:textId="669B498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Ngjarje katastrofike dhe të tjera</w:t>
            </w:r>
            <w:r w:rsidR="002F4A24">
              <w:rPr>
                <w:rFonts w:ascii="Garamond" w:eastAsia="Times New Roman" w:hAnsi="Garamond" w:cs="Times New Roman"/>
                <w:sz w:val="18"/>
                <w:szCs w:val="18"/>
              </w:rPr>
              <w:t xml:space="preserve"> </w:t>
            </w:r>
          </w:p>
        </w:tc>
        <w:tc>
          <w:tcPr>
            <w:tcW w:w="631" w:type="pct"/>
            <w:tcBorders>
              <w:top w:val="single" w:sz="8" w:space="0" w:color="auto"/>
              <w:left w:val="single" w:sz="4" w:space="0" w:color="auto"/>
              <w:bottom w:val="single" w:sz="4" w:space="0" w:color="auto"/>
              <w:right w:val="single" w:sz="4" w:space="0" w:color="auto"/>
            </w:tcBorders>
            <w:shd w:val="clear" w:color="auto" w:fill="auto"/>
            <w:vAlign w:val="center"/>
          </w:tcPr>
          <w:p w14:paraId="6E250614"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EA5.1.1</w:t>
            </w:r>
          </w:p>
        </w:tc>
        <w:tc>
          <w:tcPr>
            <w:tcW w:w="2623" w:type="pct"/>
            <w:tcBorders>
              <w:top w:val="single" w:sz="4" w:space="0" w:color="auto"/>
              <w:left w:val="nil"/>
              <w:bottom w:val="single" w:sz="4" w:space="0" w:color="auto"/>
              <w:right w:val="single" w:sz="4" w:space="0" w:color="auto"/>
            </w:tcBorders>
            <w:shd w:val="clear" w:color="auto" w:fill="auto"/>
            <w:vAlign w:val="center"/>
          </w:tcPr>
          <w:p w14:paraId="6E250615"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Humbje nga katastrofa natyrore</w:t>
            </w:r>
          </w:p>
        </w:tc>
      </w:tr>
      <w:tr w:rsidR="00EF09E3" w:rsidRPr="002F4A24" w14:paraId="6E25061B" w14:textId="77777777" w:rsidTr="00FD3EF9">
        <w:tc>
          <w:tcPr>
            <w:tcW w:w="415" w:type="pct"/>
            <w:vMerge/>
            <w:tcBorders>
              <w:bottom w:val="single" w:sz="4" w:space="0" w:color="auto"/>
            </w:tcBorders>
            <w:shd w:val="clear" w:color="auto" w:fill="auto"/>
            <w:vAlign w:val="center"/>
          </w:tcPr>
          <w:p w14:paraId="6E250617"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31" w:type="pct"/>
            <w:vMerge/>
            <w:tcBorders>
              <w:bottom w:val="single" w:sz="4" w:space="0" w:color="auto"/>
            </w:tcBorders>
            <w:shd w:val="clear" w:color="auto" w:fill="auto"/>
            <w:vAlign w:val="center"/>
          </w:tcPr>
          <w:p w14:paraId="6E250618" w14:textId="77777777" w:rsidR="00EF09E3" w:rsidRPr="002F4A24" w:rsidRDefault="00EF09E3" w:rsidP="00FD3EF9">
            <w:pPr>
              <w:spacing w:after="0" w:line="240" w:lineRule="auto"/>
              <w:rPr>
                <w:rFonts w:ascii="Garamond" w:eastAsia="Times New Roman" w:hAnsi="Garamond" w:cs="Times New Roman"/>
                <w:sz w:val="18"/>
                <w:szCs w:val="18"/>
              </w:rPr>
            </w:pPr>
          </w:p>
        </w:tc>
        <w:tc>
          <w:tcPr>
            <w:tcW w:w="631" w:type="pct"/>
            <w:tcBorders>
              <w:top w:val="nil"/>
              <w:bottom w:val="single" w:sz="8" w:space="0" w:color="auto"/>
              <w:right w:val="single" w:sz="4" w:space="0" w:color="auto"/>
            </w:tcBorders>
            <w:shd w:val="clear" w:color="auto" w:fill="auto"/>
            <w:vAlign w:val="center"/>
          </w:tcPr>
          <w:p w14:paraId="6E250619"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EA5.1.2</w:t>
            </w:r>
          </w:p>
        </w:tc>
        <w:tc>
          <w:tcPr>
            <w:tcW w:w="2623" w:type="pct"/>
            <w:tcBorders>
              <w:top w:val="nil"/>
              <w:left w:val="nil"/>
              <w:bottom w:val="single" w:sz="4" w:space="0" w:color="auto"/>
              <w:right w:val="single" w:sz="4" w:space="0" w:color="auto"/>
            </w:tcBorders>
            <w:shd w:val="clear" w:color="auto" w:fill="auto"/>
            <w:vAlign w:val="center"/>
          </w:tcPr>
          <w:p w14:paraId="6E25061A"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Humbje njerëzore nga ngjarje madhore si terrorizëm, vandalizëm etj.</w:t>
            </w:r>
          </w:p>
        </w:tc>
      </w:tr>
    </w:tbl>
    <w:p w14:paraId="6E25061C" w14:textId="77777777" w:rsidR="00FD3EF9" w:rsidRPr="00474D79" w:rsidRDefault="00FD3EF9" w:rsidP="00FD3EF9">
      <w:pPr>
        <w:spacing w:after="0" w:line="240" w:lineRule="auto"/>
        <w:rPr>
          <w:rFonts w:ascii="Garamond" w:eastAsia="Times New Roman" w:hAnsi="Garamond" w:cs="Times New Roman"/>
          <w:sz w:val="24"/>
          <w:szCs w:val="24"/>
        </w:rPr>
      </w:pPr>
    </w:p>
    <w:p w14:paraId="6E25061E" w14:textId="1DCF9681" w:rsidR="00EF09E3" w:rsidRPr="002F4A24" w:rsidRDefault="002F4A24" w:rsidP="002F4A24">
      <w:pPr>
        <w:spacing w:after="0" w:line="240" w:lineRule="auto"/>
        <w:jc w:val="center"/>
        <w:rPr>
          <w:rFonts w:ascii="Garamond" w:eastAsia="Times New Roman" w:hAnsi="Garamond" w:cs="Times New Roman"/>
          <w:sz w:val="24"/>
          <w:szCs w:val="24"/>
        </w:rPr>
      </w:pPr>
      <w:r w:rsidRPr="002F4A24">
        <w:rPr>
          <w:rFonts w:ascii="Garamond" w:eastAsia="Times New Roman" w:hAnsi="Garamond" w:cs="Times New Roman"/>
          <w:sz w:val="24"/>
          <w:szCs w:val="24"/>
        </w:rPr>
        <w:t>ANEKS NR. 12</w:t>
      </w:r>
    </w:p>
    <w:p w14:paraId="6E25061F" w14:textId="53DE4212" w:rsidR="00EF09E3" w:rsidRPr="002F4A24" w:rsidRDefault="002F4A24" w:rsidP="002F4A24">
      <w:pPr>
        <w:spacing w:after="0" w:line="240" w:lineRule="auto"/>
        <w:jc w:val="center"/>
        <w:rPr>
          <w:rFonts w:ascii="Garamond" w:eastAsia="Times New Roman" w:hAnsi="Garamond" w:cs="Times New Roman"/>
          <w:sz w:val="24"/>
          <w:szCs w:val="24"/>
        </w:rPr>
      </w:pPr>
      <w:r w:rsidRPr="002F4A24">
        <w:rPr>
          <w:rFonts w:ascii="Garamond" w:eastAsia="Times New Roman" w:hAnsi="Garamond" w:cs="Times New Roman"/>
          <w:sz w:val="24"/>
          <w:szCs w:val="24"/>
        </w:rPr>
        <w:t>KLASIFIKIMI I NGJARJES SIPAS LLOJIT, NIVELI 2 DHE 3 I DETAJIMIT</w:t>
      </w:r>
    </w:p>
    <w:p w14:paraId="6E250620" w14:textId="77777777" w:rsidR="00EF09E3" w:rsidRPr="00474D79" w:rsidRDefault="00EF09E3" w:rsidP="00FD3EF9">
      <w:pPr>
        <w:spacing w:after="0" w:line="240" w:lineRule="auto"/>
        <w:rPr>
          <w:rFonts w:ascii="Garamond" w:hAnsi="Garamond" w:cs="Times New Roman"/>
          <w:b/>
          <w:sz w:val="24"/>
          <w:szCs w:val="24"/>
        </w:rPr>
      </w:pPr>
      <w:r w:rsidRPr="00474D79">
        <w:rPr>
          <w:rFonts w:ascii="Garamond" w:eastAsia="Times New Roman" w:hAnsi="Garamond" w:cs="Times New Roman"/>
          <w:b/>
          <w:sz w:val="24"/>
          <w:szCs w:val="24"/>
        </w:rPr>
        <w:t>Lloji i ngjarjes: (EL6) Ndërprerja e aktivitetit dhe dështimi i sistemeve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297"/>
        <w:gridCol w:w="1089"/>
        <w:gridCol w:w="4529"/>
      </w:tblGrid>
      <w:tr w:rsidR="00EF09E3" w:rsidRPr="002F4A24" w14:paraId="6E250625" w14:textId="77777777" w:rsidTr="00FD3EF9">
        <w:tc>
          <w:tcPr>
            <w:tcW w:w="414" w:type="pct"/>
            <w:shd w:val="clear" w:color="auto" w:fill="auto"/>
            <w:vAlign w:val="center"/>
          </w:tcPr>
          <w:p w14:paraId="6E250621"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 xml:space="preserve">Kodi </w:t>
            </w:r>
          </w:p>
        </w:tc>
        <w:tc>
          <w:tcPr>
            <w:tcW w:w="1331" w:type="pct"/>
            <w:shd w:val="clear" w:color="auto" w:fill="auto"/>
            <w:vAlign w:val="center"/>
          </w:tcPr>
          <w:p w14:paraId="6E250622"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2</w:t>
            </w:r>
          </w:p>
        </w:tc>
        <w:tc>
          <w:tcPr>
            <w:tcW w:w="631" w:type="pct"/>
            <w:shd w:val="clear" w:color="auto" w:fill="auto"/>
            <w:vAlign w:val="center"/>
          </w:tcPr>
          <w:p w14:paraId="6E250623"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Kodi</w:t>
            </w:r>
          </w:p>
        </w:tc>
        <w:tc>
          <w:tcPr>
            <w:tcW w:w="2623" w:type="pct"/>
            <w:shd w:val="clear" w:color="auto" w:fill="auto"/>
            <w:vAlign w:val="center"/>
          </w:tcPr>
          <w:p w14:paraId="6E250624"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3</w:t>
            </w:r>
          </w:p>
        </w:tc>
      </w:tr>
      <w:tr w:rsidR="00EF09E3" w:rsidRPr="002F4A24" w14:paraId="6E25062A" w14:textId="77777777" w:rsidTr="00FD3EF9">
        <w:tc>
          <w:tcPr>
            <w:tcW w:w="414" w:type="pct"/>
            <w:vMerge w:val="restart"/>
            <w:shd w:val="clear" w:color="auto" w:fill="auto"/>
            <w:vAlign w:val="center"/>
          </w:tcPr>
          <w:p w14:paraId="6E250626"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EL6.1</w:t>
            </w:r>
          </w:p>
        </w:tc>
        <w:tc>
          <w:tcPr>
            <w:tcW w:w="1331" w:type="pct"/>
            <w:vMerge w:val="restart"/>
            <w:shd w:val="clear" w:color="auto" w:fill="auto"/>
            <w:vAlign w:val="center"/>
          </w:tcPr>
          <w:p w14:paraId="6E250627"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Sistemet</w:t>
            </w:r>
          </w:p>
        </w:tc>
        <w:tc>
          <w:tcPr>
            <w:tcW w:w="631" w:type="pct"/>
            <w:tcBorders>
              <w:top w:val="single" w:sz="8" w:space="0" w:color="auto"/>
              <w:left w:val="single" w:sz="4" w:space="0" w:color="auto"/>
              <w:bottom w:val="single" w:sz="4" w:space="0" w:color="auto"/>
              <w:right w:val="single" w:sz="4" w:space="0" w:color="auto"/>
            </w:tcBorders>
            <w:shd w:val="clear" w:color="auto" w:fill="auto"/>
            <w:vAlign w:val="center"/>
          </w:tcPr>
          <w:p w14:paraId="6E250628"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EA6.1.1</w:t>
            </w:r>
          </w:p>
        </w:tc>
        <w:tc>
          <w:tcPr>
            <w:tcW w:w="2623" w:type="pct"/>
            <w:tcBorders>
              <w:top w:val="single" w:sz="4" w:space="0" w:color="auto"/>
              <w:left w:val="nil"/>
              <w:bottom w:val="single" w:sz="4" w:space="0" w:color="auto"/>
              <w:right w:val="single" w:sz="4" w:space="0" w:color="auto"/>
            </w:tcBorders>
            <w:shd w:val="clear" w:color="auto" w:fill="auto"/>
            <w:vAlign w:val="center"/>
          </w:tcPr>
          <w:p w14:paraId="6E250629" w14:textId="77777777" w:rsidR="00EF09E3" w:rsidRPr="002F4A24" w:rsidRDefault="00EF09E3" w:rsidP="00FD3EF9">
            <w:pPr>
              <w:spacing w:after="0" w:line="240" w:lineRule="auto"/>
              <w:rPr>
                <w:rFonts w:ascii="Garamond" w:eastAsia="Times New Roman" w:hAnsi="Garamond" w:cs="Times New Roman"/>
                <w:i/>
                <w:sz w:val="18"/>
                <w:szCs w:val="18"/>
              </w:rPr>
            </w:pPr>
            <w:r w:rsidRPr="002F4A24">
              <w:rPr>
                <w:rFonts w:ascii="Garamond" w:eastAsia="Times New Roman" w:hAnsi="Garamond" w:cs="Times New Roman"/>
                <w:i/>
                <w:sz w:val="18"/>
                <w:szCs w:val="18"/>
              </w:rPr>
              <w:t>Hardware</w:t>
            </w:r>
          </w:p>
        </w:tc>
      </w:tr>
      <w:tr w:rsidR="00EF09E3" w:rsidRPr="002F4A24" w14:paraId="6E25062F" w14:textId="77777777" w:rsidTr="00FD3EF9">
        <w:tc>
          <w:tcPr>
            <w:tcW w:w="414" w:type="pct"/>
            <w:vMerge/>
            <w:shd w:val="clear" w:color="auto" w:fill="auto"/>
            <w:vAlign w:val="center"/>
          </w:tcPr>
          <w:p w14:paraId="6E25062B"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31" w:type="pct"/>
            <w:vMerge/>
            <w:shd w:val="clear" w:color="auto" w:fill="auto"/>
            <w:vAlign w:val="center"/>
          </w:tcPr>
          <w:p w14:paraId="6E25062C" w14:textId="77777777" w:rsidR="00EF09E3" w:rsidRPr="002F4A24" w:rsidRDefault="00EF09E3" w:rsidP="00FD3EF9">
            <w:pPr>
              <w:spacing w:after="0" w:line="240" w:lineRule="auto"/>
              <w:rPr>
                <w:rFonts w:ascii="Garamond" w:eastAsia="Times New Roman" w:hAnsi="Garamond" w:cs="Times New Roman"/>
                <w:sz w:val="18"/>
                <w:szCs w:val="18"/>
              </w:rPr>
            </w:pPr>
          </w:p>
        </w:tc>
        <w:tc>
          <w:tcPr>
            <w:tcW w:w="631" w:type="pct"/>
            <w:tcBorders>
              <w:top w:val="nil"/>
              <w:bottom w:val="single" w:sz="4" w:space="0" w:color="auto"/>
              <w:right w:val="single" w:sz="4" w:space="0" w:color="auto"/>
            </w:tcBorders>
            <w:shd w:val="clear" w:color="auto" w:fill="auto"/>
            <w:vAlign w:val="center"/>
          </w:tcPr>
          <w:p w14:paraId="6E25062D"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EA6.1.2</w:t>
            </w:r>
          </w:p>
        </w:tc>
        <w:tc>
          <w:tcPr>
            <w:tcW w:w="2623" w:type="pct"/>
            <w:tcBorders>
              <w:top w:val="nil"/>
              <w:left w:val="nil"/>
              <w:bottom w:val="single" w:sz="4" w:space="0" w:color="auto"/>
              <w:right w:val="single" w:sz="4" w:space="0" w:color="auto"/>
            </w:tcBorders>
            <w:shd w:val="clear" w:color="auto" w:fill="auto"/>
            <w:vAlign w:val="center"/>
          </w:tcPr>
          <w:p w14:paraId="6E25062E" w14:textId="77777777" w:rsidR="00EF09E3" w:rsidRPr="002F4A24" w:rsidRDefault="00EF09E3" w:rsidP="00FD3EF9">
            <w:pPr>
              <w:spacing w:after="0" w:line="240" w:lineRule="auto"/>
              <w:rPr>
                <w:rFonts w:ascii="Garamond" w:eastAsia="Times New Roman" w:hAnsi="Garamond" w:cs="Times New Roman"/>
                <w:i/>
                <w:sz w:val="18"/>
                <w:szCs w:val="18"/>
              </w:rPr>
            </w:pPr>
            <w:r w:rsidRPr="002F4A24">
              <w:rPr>
                <w:rFonts w:ascii="Garamond" w:eastAsia="Times New Roman" w:hAnsi="Garamond" w:cs="Times New Roman"/>
                <w:i/>
                <w:sz w:val="18"/>
                <w:szCs w:val="18"/>
              </w:rPr>
              <w:t>Software</w:t>
            </w:r>
          </w:p>
        </w:tc>
      </w:tr>
      <w:tr w:rsidR="00EF09E3" w:rsidRPr="002F4A24" w14:paraId="6E250634" w14:textId="77777777" w:rsidTr="00FD3EF9">
        <w:tc>
          <w:tcPr>
            <w:tcW w:w="414" w:type="pct"/>
            <w:vMerge/>
            <w:shd w:val="clear" w:color="auto" w:fill="auto"/>
            <w:vAlign w:val="center"/>
          </w:tcPr>
          <w:p w14:paraId="6E250630"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31" w:type="pct"/>
            <w:vMerge/>
            <w:shd w:val="clear" w:color="auto" w:fill="auto"/>
            <w:vAlign w:val="center"/>
          </w:tcPr>
          <w:p w14:paraId="6E250631" w14:textId="77777777" w:rsidR="00EF09E3" w:rsidRPr="002F4A24" w:rsidRDefault="00EF09E3" w:rsidP="00FD3EF9">
            <w:pPr>
              <w:spacing w:after="0" w:line="240" w:lineRule="auto"/>
              <w:rPr>
                <w:rFonts w:ascii="Garamond" w:eastAsia="Times New Roman" w:hAnsi="Garamond" w:cs="Times New Roman"/>
                <w:sz w:val="18"/>
                <w:szCs w:val="18"/>
              </w:rPr>
            </w:pPr>
          </w:p>
        </w:tc>
        <w:tc>
          <w:tcPr>
            <w:tcW w:w="631" w:type="pct"/>
            <w:tcBorders>
              <w:top w:val="nil"/>
              <w:bottom w:val="single" w:sz="4" w:space="0" w:color="auto"/>
              <w:right w:val="single" w:sz="4" w:space="0" w:color="auto"/>
            </w:tcBorders>
            <w:shd w:val="clear" w:color="auto" w:fill="auto"/>
            <w:vAlign w:val="center"/>
          </w:tcPr>
          <w:p w14:paraId="6E250632"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EA6.1.3</w:t>
            </w:r>
          </w:p>
        </w:tc>
        <w:tc>
          <w:tcPr>
            <w:tcW w:w="2623" w:type="pct"/>
            <w:tcBorders>
              <w:top w:val="nil"/>
              <w:left w:val="nil"/>
              <w:bottom w:val="single" w:sz="4" w:space="0" w:color="auto"/>
              <w:right w:val="single" w:sz="4" w:space="0" w:color="auto"/>
            </w:tcBorders>
            <w:shd w:val="clear" w:color="auto" w:fill="auto"/>
            <w:vAlign w:val="center"/>
          </w:tcPr>
          <w:p w14:paraId="6E250633"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Telekomunikacioni</w:t>
            </w:r>
          </w:p>
        </w:tc>
      </w:tr>
      <w:tr w:rsidR="00EF09E3" w:rsidRPr="002F4A24" w14:paraId="6E250639" w14:textId="77777777" w:rsidTr="00FD3EF9">
        <w:tc>
          <w:tcPr>
            <w:tcW w:w="414" w:type="pct"/>
            <w:vMerge/>
            <w:tcBorders>
              <w:bottom w:val="single" w:sz="4" w:space="0" w:color="auto"/>
            </w:tcBorders>
            <w:shd w:val="clear" w:color="auto" w:fill="auto"/>
            <w:vAlign w:val="center"/>
          </w:tcPr>
          <w:p w14:paraId="6E250635"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31" w:type="pct"/>
            <w:vMerge/>
            <w:tcBorders>
              <w:bottom w:val="single" w:sz="4" w:space="0" w:color="auto"/>
            </w:tcBorders>
            <w:shd w:val="clear" w:color="auto" w:fill="auto"/>
            <w:vAlign w:val="center"/>
          </w:tcPr>
          <w:p w14:paraId="6E250636" w14:textId="77777777" w:rsidR="00EF09E3" w:rsidRPr="002F4A24" w:rsidRDefault="00EF09E3" w:rsidP="00FD3EF9">
            <w:pPr>
              <w:spacing w:after="0" w:line="240" w:lineRule="auto"/>
              <w:rPr>
                <w:rFonts w:ascii="Garamond" w:eastAsia="Times New Roman" w:hAnsi="Garamond" w:cs="Times New Roman"/>
                <w:sz w:val="18"/>
                <w:szCs w:val="18"/>
              </w:rPr>
            </w:pPr>
          </w:p>
        </w:tc>
        <w:tc>
          <w:tcPr>
            <w:tcW w:w="631" w:type="pct"/>
            <w:tcBorders>
              <w:top w:val="nil"/>
              <w:bottom w:val="single" w:sz="8" w:space="0" w:color="auto"/>
              <w:right w:val="single" w:sz="4" w:space="0" w:color="auto"/>
            </w:tcBorders>
            <w:shd w:val="clear" w:color="auto" w:fill="auto"/>
            <w:vAlign w:val="center"/>
          </w:tcPr>
          <w:p w14:paraId="6E250637"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EA6.1.4</w:t>
            </w:r>
          </w:p>
        </w:tc>
        <w:tc>
          <w:tcPr>
            <w:tcW w:w="2623" w:type="pct"/>
            <w:tcBorders>
              <w:top w:val="nil"/>
              <w:left w:val="nil"/>
              <w:bottom w:val="single" w:sz="4" w:space="0" w:color="auto"/>
              <w:right w:val="single" w:sz="4" w:space="0" w:color="auto"/>
            </w:tcBorders>
            <w:shd w:val="clear" w:color="auto" w:fill="auto"/>
            <w:vAlign w:val="center"/>
          </w:tcPr>
          <w:p w14:paraId="6E250638"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Dështime të utiliteteve (energjia, transporti...)</w:t>
            </w:r>
          </w:p>
        </w:tc>
      </w:tr>
    </w:tbl>
    <w:p w14:paraId="6E25063A" w14:textId="107ACDF7" w:rsidR="00EF09E3" w:rsidRPr="00474D79" w:rsidRDefault="00D20524" w:rsidP="00FD3EF9">
      <w:pPr>
        <w:tabs>
          <w:tab w:val="left" w:pos="1650"/>
        </w:tabs>
        <w:spacing w:after="0" w:line="240" w:lineRule="auto"/>
        <w:rPr>
          <w:rFonts w:ascii="Garamond" w:hAnsi="Garamond" w:cs="Times New Roman"/>
          <w:b/>
          <w:sz w:val="24"/>
          <w:szCs w:val="24"/>
        </w:rPr>
      </w:pPr>
      <w:r w:rsidRPr="00474D79">
        <w:rPr>
          <w:rFonts w:ascii="Garamond" w:hAnsi="Garamond" w:cs="Times New Roman"/>
          <w:b/>
          <w:sz w:val="24"/>
          <w:szCs w:val="24"/>
        </w:rPr>
        <w:t xml:space="preserve"> </w:t>
      </w:r>
    </w:p>
    <w:p w14:paraId="6E25063C" w14:textId="41AA9526" w:rsidR="00EF09E3" w:rsidRPr="002F4A24" w:rsidRDefault="002F4A24" w:rsidP="002F4A24">
      <w:pPr>
        <w:spacing w:after="0" w:line="240" w:lineRule="auto"/>
        <w:jc w:val="center"/>
        <w:rPr>
          <w:rFonts w:ascii="Garamond" w:eastAsia="Times New Roman" w:hAnsi="Garamond" w:cs="Times New Roman"/>
          <w:sz w:val="24"/>
          <w:szCs w:val="24"/>
        </w:rPr>
      </w:pPr>
      <w:r w:rsidRPr="002F4A24">
        <w:rPr>
          <w:rFonts w:ascii="Garamond" w:eastAsia="Times New Roman" w:hAnsi="Garamond" w:cs="Times New Roman"/>
          <w:sz w:val="24"/>
          <w:szCs w:val="24"/>
        </w:rPr>
        <w:t>ANEKS NR. 13</w:t>
      </w:r>
    </w:p>
    <w:p w14:paraId="6E25063D" w14:textId="05DB1B15" w:rsidR="00EF09E3" w:rsidRPr="002F4A24" w:rsidRDefault="002F4A24" w:rsidP="002F4A24">
      <w:pPr>
        <w:spacing w:after="0" w:line="240" w:lineRule="auto"/>
        <w:jc w:val="center"/>
        <w:rPr>
          <w:rFonts w:ascii="Garamond" w:eastAsia="Times New Roman" w:hAnsi="Garamond" w:cs="Times New Roman"/>
          <w:sz w:val="24"/>
          <w:szCs w:val="24"/>
        </w:rPr>
      </w:pPr>
      <w:r w:rsidRPr="002F4A24">
        <w:rPr>
          <w:rFonts w:ascii="Garamond" w:eastAsia="Times New Roman" w:hAnsi="Garamond" w:cs="Times New Roman"/>
          <w:sz w:val="24"/>
          <w:szCs w:val="24"/>
        </w:rPr>
        <w:t>KLASIFIKIMI I NGJARJES SIPAS LLOJIT, NIVELI 2 DHE 3 I DETAJIMIT</w:t>
      </w:r>
    </w:p>
    <w:p w14:paraId="6E25063E" w14:textId="77777777" w:rsidR="00EF09E3" w:rsidRPr="00474D79" w:rsidRDefault="00EF09E3" w:rsidP="00FD3EF9">
      <w:pPr>
        <w:spacing w:after="0" w:line="240" w:lineRule="auto"/>
        <w:rPr>
          <w:rFonts w:ascii="Garamond" w:hAnsi="Garamond" w:cs="Times New Roman"/>
          <w:b/>
          <w:sz w:val="24"/>
          <w:szCs w:val="24"/>
        </w:rPr>
      </w:pPr>
      <w:r w:rsidRPr="00474D79">
        <w:rPr>
          <w:rFonts w:ascii="Garamond" w:eastAsia="Times New Roman" w:hAnsi="Garamond" w:cs="Times New Roman"/>
          <w:b/>
          <w:sz w:val="24"/>
          <w:szCs w:val="24"/>
        </w:rPr>
        <w:t>Lloji i ngjarjes: (EL7) Ekzekutimi, shpërndarja dhe administrimi i proceseve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359"/>
        <w:gridCol w:w="1162"/>
        <w:gridCol w:w="4401"/>
      </w:tblGrid>
      <w:tr w:rsidR="00EF09E3" w:rsidRPr="002F4A24" w14:paraId="6E250643" w14:textId="77777777" w:rsidTr="00FD3EF9">
        <w:tc>
          <w:tcPr>
            <w:tcW w:w="410" w:type="pct"/>
            <w:shd w:val="clear" w:color="auto" w:fill="auto"/>
            <w:vAlign w:val="center"/>
          </w:tcPr>
          <w:p w14:paraId="6E25063F"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 xml:space="preserve">Kodi </w:t>
            </w:r>
          </w:p>
        </w:tc>
        <w:tc>
          <w:tcPr>
            <w:tcW w:w="1367" w:type="pct"/>
            <w:shd w:val="clear" w:color="auto" w:fill="auto"/>
            <w:vAlign w:val="center"/>
          </w:tcPr>
          <w:p w14:paraId="6E250640"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2</w:t>
            </w:r>
          </w:p>
        </w:tc>
        <w:tc>
          <w:tcPr>
            <w:tcW w:w="673" w:type="pct"/>
            <w:shd w:val="clear" w:color="auto" w:fill="auto"/>
            <w:vAlign w:val="center"/>
          </w:tcPr>
          <w:p w14:paraId="6E250641"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Kodi</w:t>
            </w:r>
          </w:p>
        </w:tc>
        <w:tc>
          <w:tcPr>
            <w:tcW w:w="2549" w:type="pct"/>
            <w:shd w:val="clear" w:color="auto" w:fill="auto"/>
            <w:vAlign w:val="center"/>
          </w:tcPr>
          <w:p w14:paraId="6E250642" w14:textId="77777777" w:rsidR="00EF09E3" w:rsidRPr="002F4A24" w:rsidRDefault="00EF09E3" w:rsidP="00FD3EF9">
            <w:pPr>
              <w:spacing w:after="0" w:line="240" w:lineRule="auto"/>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3</w:t>
            </w:r>
          </w:p>
        </w:tc>
      </w:tr>
      <w:tr w:rsidR="00EF09E3" w:rsidRPr="002F4A24" w14:paraId="6E250648" w14:textId="77777777" w:rsidTr="00FD3EF9">
        <w:tc>
          <w:tcPr>
            <w:tcW w:w="410" w:type="pct"/>
            <w:vMerge w:val="restart"/>
            <w:shd w:val="clear" w:color="auto" w:fill="auto"/>
            <w:vAlign w:val="center"/>
          </w:tcPr>
          <w:p w14:paraId="6E250644"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EL7.1</w:t>
            </w:r>
          </w:p>
        </w:tc>
        <w:tc>
          <w:tcPr>
            <w:tcW w:w="1367" w:type="pct"/>
            <w:vMerge w:val="restart"/>
            <w:shd w:val="clear" w:color="auto" w:fill="auto"/>
            <w:vAlign w:val="center"/>
          </w:tcPr>
          <w:p w14:paraId="6E250645"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Njohja, ekzekutimi dhe mirëmbajtja e transaksioneve</w:t>
            </w:r>
          </w:p>
        </w:tc>
        <w:tc>
          <w:tcPr>
            <w:tcW w:w="673" w:type="pct"/>
            <w:tcBorders>
              <w:top w:val="single" w:sz="8" w:space="0" w:color="auto"/>
              <w:left w:val="single" w:sz="4" w:space="0" w:color="auto"/>
              <w:bottom w:val="single" w:sz="4" w:space="0" w:color="auto"/>
              <w:right w:val="single" w:sz="4" w:space="0" w:color="auto"/>
            </w:tcBorders>
            <w:shd w:val="clear" w:color="auto" w:fill="auto"/>
            <w:vAlign w:val="center"/>
          </w:tcPr>
          <w:p w14:paraId="6E250646"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EA7.1.1</w:t>
            </w:r>
          </w:p>
        </w:tc>
        <w:tc>
          <w:tcPr>
            <w:tcW w:w="2549" w:type="pct"/>
            <w:tcBorders>
              <w:top w:val="single" w:sz="4" w:space="0" w:color="auto"/>
              <w:left w:val="nil"/>
              <w:bottom w:val="single" w:sz="4" w:space="0" w:color="auto"/>
              <w:right w:val="single" w:sz="4" w:space="0" w:color="auto"/>
            </w:tcBorders>
            <w:shd w:val="clear" w:color="auto" w:fill="auto"/>
            <w:vAlign w:val="center"/>
          </w:tcPr>
          <w:p w14:paraId="6E250647"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Komunikim i gabuar</w:t>
            </w:r>
          </w:p>
        </w:tc>
      </w:tr>
      <w:tr w:rsidR="00EF09E3" w:rsidRPr="002F4A24" w14:paraId="6E25064D" w14:textId="77777777" w:rsidTr="00FD3EF9">
        <w:tc>
          <w:tcPr>
            <w:tcW w:w="410" w:type="pct"/>
            <w:vMerge/>
            <w:shd w:val="clear" w:color="auto" w:fill="auto"/>
            <w:vAlign w:val="center"/>
          </w:tcPr>
          <w:p w14:paraId="6E250649"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67" w:type="pct"/>
            <w:vMerge/>
            <w:shd w:val="clear" w:color="auto" w:fill="auto"/>
            <w:vAlign w:val="center"/>
          </w:tcPr>
          <w:p w14:paraId="6E25064A" w14:textId="77777777" w:rsidR="00EF09E3" w:rsidRPr="002F4A24" w:rsidRDefault="00EF09E3" w:rsidP="00FD3EF9">
            <w:pPr>
              <w:spacing w:after="0" w:line="240" w:lineRule="auto"/>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4B"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EA7.1.2</w:t>
            </w:r>
          </w:p>
        </w:tc>
        <w:tc>
          <w:tcPr>
            <w:tcW w:w="2549" w:type="pct"/>
            <w:tcBorders>
              <w:top w:val="nil"/>
              <w:left w:val="nil"/>
              <w:bottom w:val="single" w:sz="4" w:space="0" w:color="auto"/>
              <w:right w:val="single" w:sz="4" w:space="0" w:color="auto"/>
            </w:tcBorders>
            <w:shd w:val="clear" w:color="auto" w:fill="auto"/>
            <w:vAlign w:val="center"/>
          </w:tcPr>
          <w:p w14:paraId="6E25064C"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Gabime në regjistrimin e të dhënave, mirëmbajtje dhe gabime në ngarkim (</w:t>
            </w:r>
            <w:r w:rsidRPr="002F4A24">
              <w:rPr>
                <w:rFonts w:ascii="Garamond" w:eastAsia="Times New Roman" w:hAnsi="Garamond" w:cs="Times New Roman"/>
                <w:i/>
                <w:sz w:val="18"/>
                <w:szCs w:val="18"/>
              </w:rPr>
              <w:t>loading</w:t>
            </w:r>
            <w:r w:rsidRPr="002F4A24">
              <w:rPr>
                <w:rFonts w:ascii="Garamond" w:eastAsia="Times New Roman" w:hAnsi="Garamond" w:cs="Times New Roman"/>
                <w:sz w:val="18"/>
                <w:szCs w:val="18"/>
              </w:rPr>
              <w:t>)</w:t>
            </w:r>
          </w:p>
        </w:tc>
      </w:tr>
      <w:tr w:rsidR="00EF09E3" w:rsidRPr="002F4A24" w14:paraId="6E250652" w14:textId="77777777" w:rsidTr="00FD3EF9">
        <w:tc>
          <w:tcPr>
            <w:tcW w:w="410" w:type="pct"/>
            <w:vMerge/>
            <w:shd w:val="clear" w:color="auto" w:fill="auto"/>
            <w:vAlign w:val="center"/>
          </w:tcPr>
          <w:p w14:paraId="6E25064E"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67" w:type="pct"/>
            <w:vMerge/>
            <w:shd w:val="clear" w:color="auto" w:fill="auto"/>
            <w:vAlign w:val="center"/>
          </w:tcPr>
          <w:p w14:paraId="6E25064F" w14:textId="77777777" w:rsidR="00EF09E3" w:rsidRPr="002F4A24" w:rsidRDefault="00EF09E3" w:rsidP="00FD3EF9">
            <w:pPr>
              <w:spacing w:after="0" w:line="240" w:lineRule="auto"/>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50"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EA7.1.3</w:t>
            </w:r>
          </w:p>
        </w:tc>
        <w:tc>
          <w:tcPr>
            <w:tcW w:w="2549" w:type="pct"/>
            <w:tcBorders>
              <w:top w:val="nil"/>
              <w:left w:val="nil"/>
              <w:bottom w:val="single" w:sz="4" w:space="0" w:color="auto"/>
              <w:right w:val="single" w:sz="4" w:space="0" w:color="auto"/>
            </w:tcBorders>
            <w:shd w:val="clear" w:color="auto" w:fill="auto"/>
            <w:vAlign w:val="center"/>
          </w:tcPr>
          <w:p w14:paraId="6E250651"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Dështim në përmbushjen e afateve apo përgjegjësive</w:t>
            </w:r>
          </w:p>
        </w:tc>
      </w:tr>
      <w:tr w:rsidR="00EF09E3" w:rsidRPr="002F4A24" w14:paraId="6E250657" w14:textId="77777777" w:rsidTr="00FD3EF9">
        <w:tc>
          <w:tcPr>
            <w:tcW w:w="410" w:type="pct"/>
            <w:vMerge/>
            <w:shd w:val="clear" w:color="auto" w:fill="auto"/>
            <w:vAlign w:val="center"/>
          </w:tcPr>
          <w:p w14:paraId="6E250653"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67" w:type="pct"/>
            <w:vMerge/>
            <w:shd w:val="clear" w:color="auto" w:fill="auto"/>
            <w:vAlign w:val="center"/>
          </w:tcPr>
          <w:p w14:paraId="6E250654" w14:textId="77777777" w:rsidR="00EF09E3" w:rsidRPr="002F4A24" w:rsidRDefault="00EF09E3" w:rsidP="00FD3EF9">
            <w:pPr>
              <w:spacing w:after="0" w:line="240" w:lineRule="auto"/>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55"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EA7.1.4</w:t>
            </w:r>
          </w:p>
        </w:tc>
        <w:tc>
          <w:tcPr>
            <w:tcW w:w="2549" w:type="pct"/>
            <w:tcBorders>
              <w:top w:val="nil"/>
              <w:left w:val="nil"/>
              <w:bottom w:val="single" w:sz="4" w:space="0" w:color="auto"/>
              <w:right w:val="single" w:sz="4" w:space="0" w:color="auto"/>
            </w:tcBorders>
            <w:shd w:val="clear" w:color="auto" w:fill="auto"/>
            <w:vAlign w:val="center"/>
          </w:tcPr>
          <w:p w14:paraId="6E250656"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Keqfunksionim i modeleve/sistemeve</w:t>
            </w:r>
          </w:p>
        </w:tc>
      </w:tr>
      <w:tr w:rsidR="00EF09E3" w:rsidRPr="002F4A24" w14:paraId="6E25065C" w14:textId="77777777" w:rsidTr="00FD3EF9">
        <w:tc>
          <w:tcPr>
            <w:tcW w:w="410" w:type="pct"/>
            <w:vMerge/>
            <w:shd w:val="clear" w:color="auto" w:fill="auto"/>
            <w:vAlign w:val="center"/>
          </w:tcPr>
          <w:p w14:paraId="6E250658"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67" w:type="pct"/>
            <w:vMerge/>
            <w:shd w:val="clear" w:color="auto" w:fill="auto"/>
            <w:vAlign w:val="center"/>
          </w:tcPr>
          <w:p w14:paraId="6E250659" w14:textId="77777777" w:rsidR="00EF09E3" w:rsidRPr="002F4A24" w:rsidRDefault="00EF09E3" w:rsidP="00FD3EF9">
            <w:pPr>
              <w:spacing w:after="0" w:line="240" w:lineRule="auto"/>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5A"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EA7.1.5</w:t>
            </w:r>
          </w:p>
        </w:tc>
        <w:tc>
          <w:tcPr>
            <w:tcW w:w="2549" w:type="pct"/>
            <w:tcBorders>
              <w:top w:val="nil"/>
              <w:left w:val="nil"/>
              <w:bottom w:val="single" w:sz="4" w:space="0" w:color="auto"/>
              <w:right w:val="single" w:sz="4" w:space="0" w:color="auto"/>
            </w:tcBorders>
            <w:shd w:val="clear" w:color="auto" w:fill="auto"/>
            <w:vAlign w:val="center"/>
          </w:tcPr>
          <w:p w14:paraId="6E25065B"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Gabime në kontabilizim</w:t>
            </w:r>
          </w:p>
        </w:tc>
      </w:tr>
      <w:tr w:rsidR="00EF09E3" w:rsidRPr="002F4A24" w14:paraId="6E250661" w14:textId="77777777" w:rsidTr="00FD3EF9">
        <w:tc>
          <w:tcPr>
            <w:tcW w:w="410" w:type="pct"/>
            <w:vMerge/>
            <w:shd w:val="clear" w:color="auto" w:fill="auto"/>
            <w:vAlign w:val="center"/>
          </w:tcPr>
          <w:p w14:paraId="6E25065D"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67" w:type="pct"/>
            <w:vMerge/>
            <w:shd w:val="clear" w:color="auto" w:fill="auto"/>
            <w:vAlign w:val="center"/>
          </w:tcPr>
          <w:p w14:paraId="6E25065E" w14:textId="77777777" w:rsidR="00EF09E3" w:rsidRPr="002F4A24" w:rsidRDefault="00EF09E3" w:rsidP="00FD3EF9">
            <w:pPr>
              <w:spacing w:after="0" w:line="240" w:lineRule="auto"/>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5F"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EA7.1.6</w:t>
            </w:r>
          </w:p>
        </w:tc>
        <w:tc>
          <w:tcPr>
            <w:tcW w:w="2549" w:type="pct"/>
            <w:tcBorders>
              <w:top w:val="nil"/>
              <w:left w:val="nil"/>
              <w:bottom w:val="single" w:sz="4" w:space="0" w:color="auto"/>
              <w:right w:val="single" w:sz="4" w:space="0" w:color="auto"/>
            </w:tcBorders>
            <w:shd w:val="clear" w:color="auto" w:fill="auto"/>
            <w:vAlign w:val="center"/>
          </w:tcPr>
          <w:p w14:paraId="6E250660"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Keqfunksionim i detyrave të tjera</w:t>
            </w:r>
          </w:p>
        </w:tc>
      </w:tr>
      <w:tr w:rsidR="00EF09E3" w:rsidRPr="002F4A24" w14:paraId="6E250666" w14:textId="77777777" w:rsidTr="00FD3EF9">
        <w:tc>
          <w:tcPr>
            <w:tcW w:w="410" w:type="pct"/>
            <w:vMerge/>
            <w:shd w:val="clear" w:color="auto" w:fill="auto"/>
            <w:vAlign w:val="center"/>
          </w:tcPr>
          <w:p w14:paraId="6E250662"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67" w:type="pct"/>
            <w:vMerge/>
            <w:shd w:val="clear" w:color="auto" w:fill="auto"/>
            <w:vAlign w:val="center"/>
          </w:tcPr>
          <w:p w14:paraId="6E250663" w14:textId="77777777" w:rsidR="00EF09E3" w:rsidRPr="002F4A24" w:rsidRDefault="00EF09E3" w:rsidP="00FD3EF9">
            <w:pPr>
              <w:spacing w:after="0" w:line="240" w:lineRule="auto"/>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64"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EA7.1.7</w:t>
            </w:r>
          </w:p>
        </w:tc>
        <w:tc>
          <w:tcPr>
            <w:tcW w:w="2549" w:type="pct"/>
            <w:tcBorders>
              <w:top w:val="nil"/>
              <w:left w:val="nil"/>
              <w:bottom w:val="single" w:sz="4" w:space="0" w:color="auto"/>
              <w:right w:val="single" w:sz="4" w:space="0" w:color="auto"/>
            </w:tcBorders>
            <w:shd w:val="clear" w:color="auto" w:fill="auto"/>
            <w:vAlign w:val="center"/>
          </w:tcPr>
          <w:p w14:paraId="6E250665"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Dështim gjatë vendosjes në përdorim (</w:t>
            </w:r>
            <w:r w:rsidRPr="002F4A24">
              <w:rPr>
                <w:rFonts w:ascii="Garamond" w:eastAsia="Times New Roman" w:hAnsi="Garamond" w:cs="Times New Roman"/>
                <w:i/>
                <w:sz w:val="18"/>
                <w:szCs w:val="18"/>
              </w:rPr>
              <w:t>delivery failure</w:t>
            </w:r>
            <w:r w:rsidRPr="002F4A24">
              <w:rPr>
                <w:rFonts w:ascii="Garamond" w:eastAsia="Times New Roman" w:hAnsi="Garamond" w:cs="Times New Roman"/>
                <w:sz w:val="18"/>
                <w:szCs w:val="18"/>
              </w:rPr>
              <w:t>)</w:t>
            </w:r>
          </w:p>
        </w:tc>
      </w:tr>
      <w:tr w:rsidR="00EF09E3" w:rsidRPr="002F4A24" w14:paraId="6E25066B" w14:textId="77777777" w:rsidTr="00FD3EF9">
        <w:tc>
          <w:tcPr>
            <w:tcW w:w="410" w:type="pct"/>
            <w:vMerge/>
            <w:shd w:val="clear" w:color="auto" w:fill="auto"/>
            <w:vAlign w:val="center"/>
          </w:tcPr>
          <w:p w14:paraId="6E250667"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67" w:type="pct"/>
            <w:vMerge/>
            <w:shd w:val="clear" w:color="auto" w:fill="auto"/>
            <w:vAlign w:val="center"/>
          </w:tcPr>
          <w:p w14:paraId="6E250668" w14:textId="77777777" w:rsidR="00EF09E3" w:rsidRPr="002F4A24" w:rsidRDefault="00EF09E3" w:rsidP="00FD3EF9">
            <w:pPr>
              <w:spacing w:after="0" w:line="240" w:lineRule="auto"/>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69"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EA7.1.8</w:t>
            </w:r>
          </w:p>
        </w:tc>
        <w:tc>
          <w:tcPr>
            <w:tcW w:w="2549" w:type="pct"/>
            <w:tcBorders>
              <w:top w:val="nil"/>
              <w:left w:val="nil"/>
              <w:bottom w:val="single" w:sz="4" w:space="0" w:color="auto"/>
              <w:right w:val="single" w:sz="4" w:space="0" w:color="auto"/>
            </w:tcBorders>
            <w:shd w:val="clear" w:color="auto" w:fill="auto"/>
            <w:vAlign w:val="center"/>
          </w:tcPr>
          <w:p w14:paraId="6E25066A"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Dështim në administrimin e kolateralit</w:t>
            </w:r>
          </w:p>
        </w:tc>
      </w:tr>
      <w:tr w:rsidR="00EF09E3" w:rsidRPr="002F4A24" w14:paraId="6E250670" w14:textId="77777777" w:rsidTr="00FD3EF9">
        <w:tc>
          <w:tcPr>
            <w:tcW w:w="410" w:type="pct"/>
            <w:vMerge/>
            <w:tcBorders>
              <w:bottom w:val="single" w:sz="4" w:space="0" w:color="auto"/>
            </w:tcBorders>
            <w:shd w:val="clear" w:color="auto" w:fill="auto"/>
            <w:vAlign w:val="center"/>
          </w:tcPr>
          <w:p w14:paraId="6E25066C"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67" w:type="pct"/>
            <w:vMerge/>
            <w:tcBorders>
              <w:bottom w:val="single" w:sz="4" w:space="0" w:color="auto"/>
            </w:tcBorders>
            <w:shd w:val="clear" w:color="auto" w:fill="auto"/>
            <w:vAlign w:val="center"/>
          </w:tcPr>
          <w:p w14:paraId="6E25066D" w14:textId="77777777" w:rsidR="00EF09E3" w:rsidRPr="002F4A24" w:rsidRDefault="00EF09E3" w:rsidP="00FD3EF9">
            <w:pPr>
              <w:spacing w:after="0" w:line="240" w:lineRule="auto"/>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6E"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EA7.1.9</w:t>
            </w:r>
          </w:p>
        </w:tc>
        <w:tc>
          <w:tcPr>
            <w:tcW w:w="2549" w:type="pct"/>
            <w:tcBorders>
              <w:top w:val="nil"/>
              <w:left w:val="nil"/>
              <w:bottom w:val="single" w:sz="4" w:space="0" w:color="auto"/>
              <w:right w:val="single" w:sz="4" w:space="0" w:color="auto"/>
            </w:tcBorders>
            <w:shd w:val="clear" w:color="auto" w:fill="auto"/>
            <w:vAlign w:val="center"/>
          </w:tcPr>
          <w:p w14:paraId="6E25066F"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Mangësi në mirëmbajtjen e të dhënave referuese</w:t>
            </w:r>
          </w:p>
        </w:tc>
      </w:tr>
      <w:tr w:rsidR="00EF09E3" w:rsidRPr="002F4A24" w14:paraId="6E250675" w14:textId="77777777" w:rsidTr="00FD3EF9">
        <w:tc>
          <w:tcPr>
            <w:tcW w:w="410" w:type="pct"/>
            <w:vMerge w:val="restart"/>
            <w:tcBorders>
              <w:top w:val="single" w:sz="4" w:space="0" w:color="auto"/>
            </w:tcBorders>
            <w:shd w:val="clear" w:color="auto" w:fill="auto"/>
            <w:vAlign w:val="center"/>
          </w:tcPr>
          <w:p w14:paraId="6E250671"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EL7.2</w:t>
            </w:r>
          </w:p>
        </w:tc>
        <w:tc>
          <w:tcPr>
            <w:tcW w:w="1367" w:type="pct"/>
            <w:vMerge w:val="restart"/>
            <w:tcBorders>
              <w:top w:val="single" w:sz="4" w:space="0" w:color="auto"/>
            </w:tcBorders>
            <w:shd w:val="clear" w:color="auto" w:fill="auto"/>
            <w:vAlign w:val="center"/>
          </w:tcPr>
          <w:p w14:paraId="6E250672"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Monitorimi dhe raportimi</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6E250673"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EA7.2.1</w:t>
            </w:r>
          </w:p>
        </w:tc>
        <w:tc>
          <w:tcPr>
            <w:tcW w:w="2549" w:type="pct"/>
            <w:tcBorders>
              <w:top w:val="single" w:sz="4" w:space="0" w:color="auto"/>
              <w:left w:val="nil"/>
              <w:bottom w:val="single" w:sz="4" w:space="0" w:color="auto"/>
              <w:right w:val="single" w:sz="4" w:space="0" w:color="auto"/>
            </w:tcBorders>
            <w:shd w:val="clear" w:color="auto" w:fill="auto"/>
            <w:vAlign w:val="center"/>
          </w:tcPr>
          <w:p w14:paraId="6E250674"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Dështim në përputhshmërinë me kërkesat për raportim (raporte financiare ose rregullatore)</w:t>
            </w:r>
          </w:p>
        </w:tc>
      </w:tr>
      <w:tr w:rsidR="00EF09E3" w:rsidRPr="002F4A24" w14:paraId="6E25067A" w14:textId="77777777" w:rsidTr="00FD3EF9">
        <w:tc>
          <w:tcPr>
            <w:tcW w:w="410" w:type="pct"/>
            <w:vMerge/>
            <w:tcBorders>
              <w:bottom w:val="single" w:sz="4" w:space="0" w:color="auto"/>
            </w:tcBorders>
            <w:shd w:val="clear" w:color="auto" w:fill="auto"/>
            <w:vAlign w:val="center"/>
          </w:tcPr>
          <w:p w14:paraId="6E250676"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67" w:type="pct"/>
            <w:vMerge/>
            <w:tcBorders>
              <w:bottom w:val="single" w:sz="4" w:space="0" w:color="auto"/>
            </w:tcBorders>
            <w:shd w:val="clear" w:color="auto" w:fill="auto"/>
            <w:vAlign w:val="center"/>
          </w:tcPr>
          <w:p w14:paraId="6E250677" w14:textId="77777777" w:rsidR="00EF09E3" w:rsidRPr="002F4A24" w:rsidRDefault="00EF09E3" w:rsidP="00FD3EF9">
            <w:pPr>
              <w:spacing w:after="0" w:line="240" w:lineRule="auto"/>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78"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EA7.2.2</w:t>
            </w:r>
          </w:p>
        </w:tc>
        <w:tc>
          <w:tcPr>
            <w:tcW w:w="2549" w:type="pct"/>
            <w:tcBorders>
              <w:top w:val="nil"/>
              <w:left w:val="nil"/>
              <w:bottom w:val="single" w:sz="4" w:space="0" w:color="auto"/>
              <w:right w:val="single" w:sz="4" w:space="0" w:color="auto"/>
            </w:tcBorders>
            <w:shd w:val="clear" w:color="auto" w:fill="auto"/>
            <w:vAlign w:val="center"/>
          </w:tcPr>
          <w:p w14:paraId="6E250679"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Raportime të jashtme të papërshtatshme (humbje të ndodhura)</w:t>
            </w:r>
          </w:p>
        </w:tc>
      </w:tr>
      <w:tr w:rsidR="00EF09E3" w:rsidRPr="002F4A24" w14:paraId="6E25067F" w14:textId="77777777" w:rsidTr="00FD3EF9">
        <w:tc>
          <w:tcPr>
            <w:tcW w:w="410" w:type="pct"/>
            <w:vMerge w:val="restart"/>
            <w:tcBorders>
              <w:top w:val="single" w:sz="4" w:space="0" w:color="auto"/>
            </w:tcBorders>
            <w:shd w:val="clear" w:color="auto" w:fill="auto"/>
            <w:vAlign w:val="center"/>
          </w:tcPr>
          <w:p w14:paraId="6E25067B"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EL7.3</w:t>
            </w:r>
          </w:p>
        </w:tc>
        <w:tc>
          <w:tcPr>
            <w:tcW w:w="1367" w:type="pct"/>
            <w:vMerge w:val="restart"/>
            <w:tcBorders>
              <w:top w:val="single" w:sz="4" w:space="0" w:color="auto"/>
            </w:tcBorders>
            <w:shd w:val="clear" w:color="auto" w:fill="auto"/>
            <w:vAlign w:val="center"/>
          </w:tcPr>
          <w:p w14:paraId="6E25067C"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Regjistrimi i klientëve dhe dokumentimi</w:t>
            </w:r>
          </w:p>
        </w:tc>
        <w:tc>
          <w:tcPr>
            <w:tcW w:w="673" w:type="pct"/>
            <w:tcBorders>
              <w:top w:val="nil"/>
              <w:left w:val="single" w:sz="4" w:space="0" w:color="auto"/>
              <w:bottom w:val="single" w:sz="4" w:space="0" w:color="auto"/>
              <w:right w:val="single" w:sz="4" w:space="0" w:color="auto"/>
            </w:tcBorders>
            <w:shd w:val="clear" w:color="auto" w:fill="auto"/>
            <w:vAlign w:val="center"/>
          </w:tcPr>
          <w:p w14:paraId="6E25067D"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EA7.3.1</w:t>
            </w:r>
          </w:p>
        </w:tc>
        <w:tc>
          <w:tcPr>
            <w:tcW w:w="2549" w:type="pct"/>
            <w:tcBorders>
              <w:top w:val="nil"/>
              <w:left w:val="nil"/>
              <w:bottom w:val="single" w:sz="4" w:space="0" w:color="auto"/>
              <w:right w:val="single" w:sz="4" w:space="0" w:color="auto"/>
            </w:tcBorders>
            <w:shd w:val="clear" w:color="auto" w:fill="auto"/>
            <w:vAlign w:val="center"/>
          </w:tcPr>
          <w:p w14:paraId="6E25067E"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Pëlqimi i klientit/mungesa e refuzimit</w:t>
            </w:r>
          </w:p>
        </w:tc>
      </w:tr>
      <w:tr w:rsidR="00EF09E3" w:rsidRPr="002F4A24" w14:paraId="6E250684" w14:textId="77777777" w:rsidTr="00FD3EF9">
        <w:tc>
          <w:tcPr>
            <w:tcW w:w="410" w:type="pct"/>
            <w:vMerge/>
            <w:tcBorders>
              <w:bottom w:val="single" w:sz="4" w:space="0" w:color="auto"/>
            </w:tcBorders>
            <w:shd w:val="clear" w:color="auto" w:fill="auto"/>
            <w:vAlign w:val="center"/>
          </w:tcPr>
          <w:p w14:paraId="6E250680"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67" w:type="pct"/>
            <w:vMerge/>
            <w:tcBorders>
              <w:bottom w:val="single" w:sz="4" w:space="0" w:color="auto"/>
            </w:tcBorders>
            <w:shd w:val="clear" w:color="auto" w:fill="auto"/>
            <w:vAlign w:val="center"/>
          </w:tcPr>
          <w:p w14:paraId="6E250681" w14:textId="77777777" w:rsidR="00EF09E3" w:rsidRPr="002F4A24" w:rsidRDefault="00EF09E3" w:rsidP="00FD3EF9">
            <w:pPr>
              <w:spacing w:after="0" w:line="240" w:lineRule="auto"/>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82"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EA7.3.2</w:t>
            </w:r>
          </w:p>
        </w:tc>
        <w:tc>
          <w:tcPr>
            <w:tcW w:w="2549" w:type="pct"/>
            <w:tcBorders>
              <w:top w:val="nil"/>
              <w:left w:val="nil"/>
              <w:bottom w:val="single" w:sz="4" w:space="0" w:color="auto"/>
              <w:right w:val="single" w:sz="4" w:space="0" w:color="auto"/>
            </w:tcBorders>
            <w:shd w:val="clear" w:color="auto" w:fill="auto"/>
            <w:vAlign w:val="center"/>
          </w:tcPr>
          <w:p w14:paraId="6E250683"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Mungesa e dokumenteve ligjore/të paplotësuara</w:t>
            </w:r>
          </w:p>
        </w:tc>
      </w:tr>
      <w:tr w:rsidR="00EF09E3" w:rsidRPr="002F4A24" w14:paraId="6E250689" w14:textId="77777777" w:rsidTr="00FD3EF9">
        <w:tc>
          <w:tcPr>
            <w:tcW w:w="410" w:type="pct"/>
            <w:vMerge w:val="restart"/>
            <w:tcBorders>
              <w:top w:val="single" w:sz="4" w:space="0" w:color="auto"/>
            </w:tcBorders>
            <w:shd w:val="clear" w:color="auto" w:fill="auto"/>
            <w:vAlign w:val="center"/>
          </w:tcPr>
          <w:p w14:paraId="6E250685"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EL7.4</w:t>
            </w:r>
          </w:p>
        </w:tc>
        <w:tc>
          <w:tcPr>
            <w:tcW w:w="1367" w:type="pct"/>
            <w:vMerge w:val="restart"/>
            <w:tcBorders>
              <w:top w:val="single" w:sz="4" w:space="0" w:color="auto"/>
            </w:tcBorders>
            <w:shd w:val="clear" w:color="auto" w:fill="auto"/>
            <w:vAlign w:val="center"/>
          </w:tcPr>
          <w:p w14:paraId="6E250686"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Menaxhimi i llogarive të klientëve</w:t>
            </w:r>
          </w:p>
        </w:tc>
        <w:tc>
          <w:tcPr>
            <w:tcW w:w="673" w:type="pct"/>
            <w:tcBorders>
              <w:top w:val="nil"/>
              <w:left w:val="single" w:sz="4" w:space="0" w:color="auto"/>
              <w:bottom w:val="single" w:sz="4" w:space="0" w:color="auto"/>
              <w:right w:val="single" w:sz="4" w:space="0" w:color="auto"/>
            </w:tcBorders>
            <w:shd w:val="clear" w:color="auto" w:fill="auto"/>
            <w:vAlign w:val="center"/>
          </w:tcPr>
          <w:p w14:paraId="6E250687"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EA7.4.1</w:t>
            </w:r>
          </w:p>
        </w:tc>
        <w:tc>
          <w:tcPr>
            <w:tcW w:w="2549" w:type="pct"/>
            <w:tcBorders>
              <w:top w:val="nil"/>
              <w:left w:val="nil"/>
              <w:bottom w:val="single" w:sz="4" w:space="0" w:color="auto"/>
              <w:right w:val="single" w:sz="4" w:space="0" w:color="auto"/>
            </w:tcBorders>
            <w:shd w:val="clear" w:color="auto" w:fill="auto"/>
            <w:vAlign w:val="center"/>
          </w:tcPr>
          <w:p w14:paraId="6E250688"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Akses i paaprovuar dhënë llogarive të klientëve</w:t>
            </w:r>
          </w:p>
        </w:tc>
      </w:tr>
      <w:tr w:rsidR="00EF09E3" w:rsidRPr="002F4A24" w14:paraId="6E25068E" w14:textId="77777777" w:rsidTr="00FD3EF9">
        <w:tc>
          <w:tcPr>
            <w:tcW w:w="410" w:type="pct"/>
            <w:vMerge/>
            <w:shd w:val="clear" w:color="auto" w:fill="auto"/>
            <w:vAlign w:val="center"/>
          </w:tcPr>
          <w:p w14:paraId="6E25068A"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67" w:type="pct"/>
            <w:vMerge/>
            <w:shd w:val="clear" w:color="auto" w:fill="auto"/>
            <w:vAlign w:val="center"/>
          </w:tcPr>
          <w:p w14:paraId="6E25068B" w14:textId="77777777" w:rsidR="00EF09E3" w:rsidRPr="002F4A24" w:rsidRDefault="00EF09E3" w:rsidP="00FD3EF9">
            <w:pPr>
              <w:spacing w:after="0" w:line="240" w:lineRule="auto"/>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8C"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EA7.4.2</w:t>
            </w:r>
          </w:p>
        </w:tc>
        <w:tc>
          <w:tcPr>
            <w:tcW w:w="2549" w:type="pct"/>
            <w:tcBorders>
              <w:top w:val="nil"/>
              <w:left w:val="nil"/>
              <w:bottom w:val="single" w:sz="4" w:space="0" w:color="auto"/>
              <w:right w:val="single" w:sz="4" w:space="0" w:color="auto"/>
            </w:tcBorders>
            <w:shd w:val="clear" w:color="auto" w:fill="auto"/>
            <w:vAlign w:val="center"/>
          </w:tcPr>
          <w:p w14:paraId="6E25068D"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Regjistrim i pasaktë i klientëve</w:t>
            </w:r>
          </w:p>
        </w:tc>
      </w:tr>
      <w:tr w:rsidR="00EF09E3" w:rsidRPr="002F4A24" w14:paraId="6E250693" w14:textId="77777777" w:rsidTr="00FD3EF9">
        <w:tc>
          <w:tcPr>
            <w:tcW w:w="410" w:type="pct"/>
            <w:vMerge/>
            <w:tcBorders>
              <w:bottom w:val="single" w:sz="4" w:space="0" w:color="auto"/>
            </w:tcBorders>
            <w:shd w:val="clear" w:color="auto" w:fill="auto"/>
            <w:vAlign w:val="center"/>
          </w:tcPr>
          <w:p w14:paraId="6E25068F"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67" w:type="pct"/>
            <w:vMerge/>
            <w:tcBorders>
              <w:bottom w:val="single" w:sz="4" w:space="0" w:color="auto"/>
            </w:tcBorders>
            <w:shd w:val="clear" w:color="auto" w:fill="auto"/>
            <w:vAlign w:val="center"/>
          </w:tcPr>
          <w:p w14:paraId="6E250690" w14:textId="77777777" w:rsidR="00EF09E3" w:rsidRPr="002F4A24" w:rsidRDefault="00EF09E3" w:rsidP="00FD3EF9">
            <w:pPr>
              <w:spacing w:after="0" w:line="240" w:lineRule="auto"/>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91"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EA7.4.3</w:t>
            </w:r>
          </w:p>
        </w:tc>
        <w:tc>
          <w:tcPr>
            <w:tcW w:w="2549" w:type="pct"/>
            <w:tcBorders>
              <w:top w:val="nil"/>
              <w:left w:val="nil"/>
              <w:bottom w:val="single" w:sz="4" w:space="0" w:color="auto"/>
              <w:right w:val="single" w:sz="4" w:space="0" w:color="auto"/>
            </w:tcBorders>
            <w:shd w:val="clear" w:color="auto" w:fill="auto"/>
            <w:vAlign w:val="center"/>
          </w:tcPr>
          <w:p w14:paraId="6E250692"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 xml:space="preserve">Humbje apo dëmtim i aseteve të klientëve si pasojë e neglizhencës </w:t>
            </w:r>
          </w:p>
        </w:tc>
      </w:tr>
      <w:tr w:rsidR="00EF09E3" w:rsidRPr="002F4A24" w14:paraId="6E250698" w14:textId="77777777" w:rsidTr="00FD3EF9">
        <w:tc>
          <w:tcPr>
            <w:tcW w:w="410" w:type="pct"/>
            <w:vMerge w:val="restart"/>
            <w:tcBorders>
              <w:top w:val="single" w:sz="4" w:space="0" w:color="auto"/>
            </w:tcBorders>
            <w:shd w:val="clear" w:color="auto" w:fill="auto"/>
            <w:vAlign w:val="center"/>
          </w:tcPr>
          <w:p w14:paraId="6E250694"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EL7.5</w:t>
            </w:r>
          </w:p>
        </w:tc>
        <w:tc>
          <w:tcPr>
            <w:tcW w:w="1367" w:type="pct"/>
            <w:vMerge w:val="restart"/>
            <w:tcBorders>
              <w:top w:val="single" w:sz="4" w:space="0" w:color="auto"/>
            </w:tcBorders>
            <w:shd w:val="clear" w:color="auto" w:fill="auto"/>
            <w:vAlign w:val="center"/>
          </w:tcPr>
          <w:p w14:paraId="6E250695"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Palët e treta tregtare</w:t>
            </w:r>
          </w:p>
        </w:tc>
        <w:tc>
          <w:tcPr>
            <w:tcW w:w="673" w:type="pct"/>
            <w:tcBorders>
              <w:top w:val="nil"/>
              <w:left w:val="single" w:sz="4" w:space="0" w:color="auto"/>
              <w:bottom w:val="single" w:sz="4" w:space="0" w:color="auto"/>
              <w:right w:val="single" w:sz="4" w:space="0" w:color="auto"/>
            </w:tcBorders>
            <w:shd w:val="clear" w:color="auto" w:fill="auto"/>
            <w:vAlign w:val="center"/>
          </w:tcPr>
          <w:p w14:paraId="6E250696"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EA7.5.1</w:t>
            </w:r>
          </w:p>
        </w:tc>
        <w:tc>
          <w:tcPr>
            <w:tcW w:w="2549" w:type="pct"/>
            <w:tcBorders>
              <w:top w:val="nil"/>
              <w:left w:val="nil"/>
              <w:bottom w:val="single" w:sz="4" w:space="0" w:color="auto"/>
              <w:right w:val="single" w:sz="4" w:space="0" w:color="auto"/>
            </w:tcBorders>
            <w:shd w:val="clear" w:color="auto" w:fill="auto"/>
            <w:vAlign w:val="center"/>
          </w:tcPr>
          <w:p w14:paraId="6E250697"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Keqperformancë e palëve të treta joklientë</w:t>
            </w:r>
          </w:p>
        </w:tc>
      </w:tr>
      <w:tr w:rsidR="00EF09E3" w:rsidRPr="002F4A24" w14:paraId="6E25069D" w14:textId="77777777" w:rsidTr="00FD3EF9">
        <w:tc>
          <w:tcPr>
            <w:tcW w:w="410" w:type="pct"/>
            <w:vMerge/>
            <w:tcBorders>
              <w:bottom w:val="single" w:sz="4" w:space="0" w:color="auto"/>
            </w:tcBorders>
            <w:shd w:val="clear" w:color="auto" w:fill="auto"/>
            <w:vAlign w:val="center"/>
          </w:tcPr>
          <w:p w14:paraId="6E250699" w14:textId="77777777" w:rsidR="00EF09E3" w:rsidRPr="002F4A24" w:rsidRDefault="00EF09E3" w:rsidP="00FD3EF9">
            <w:pPr>
              <w:spacing w:after="0" w:line="240" w:lineRule="auto"/>
              <w:rPr>
                <w:rFonts w:ascii="Garamond" w:eastAsia="Times New Roman" w:hAnsi="Garamond" w:cs="Times New Roman"/>
                <w:sz w:val="18"/>
                <w:szCs w:val="18"/>
              </w:rPr>
            </w:pPr>
          </w:p>
        </w:tc>
        <w:tc>
          <w:tcPr>
            <w:tcW w:w="1367" w:type="pct"/>
            <w:vMerge/>
            <w:tcBorders>
              <w:bottom w:val="single" w:sz="4" w:space="0" w:color="auto"/>
            </w:tcBorders>
            <w:shd w:val="clear" w:color="auto" w:fill="auto"/>
            <w:vAlign w:val="center"/>
          </w:tcPr>
          <w:p w14:paraId="6E25069A" w14:textId="77777777" w:rsidR="00EF09E3" w:rsidRPr="002F4A24" w:rsidRDefault="00EF09E3" w:rsidP="00FD3EF9">
            <w:pPr>
              <w:spacing w:after="0" w:line="240" w:lineRule="auto"/>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9B"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EA7.5.2</w:t>
            </w:r>
          </w:p>
        </w:tc>
        <w:tc>
          <w:tcPr>
            <w:tcW w:w="2549" w:type="pct"/>
            <w:tcBorders>
              <w:top w:val="nil"/>
              <w:left w:val="nil"/>
              <w:bottom w:val="single" w:sz="4" w:space="0" w:color="auto"/>
              <w:right w:val="single" w:sz="4" w:space="0" w:color="auto"/>
            </w:tcBorders>
            <w:shd w:val="clear" w:color="auto" w:fill="auto"/>
            <w:vAlign w:val="center"/>
          </w:tcPr>
          <w:p w14:paraId="6E25069C"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Mosmarrëveshje të ndryshme kundrejt palëve të treta joklientë</w:t>
            </w:r>
          </w:p>
        </w:tc>
      </w:tr>
      <w:tr w:rsidR="00EF09E3" w:rsidRPr="002F4A24" w14:paraId="6E2506A2" w14:textId="77777777" w:rsidTr="00FD3EF9">
        <w:tc>
          <w:tcPr>
            <w:tcW w:w="410" w:type="pct"/>
            <w:tcBorders>
              <w:top w:val="single" w:sz="4" w:space="0" w:color="auto"/>
            </w:tcBorders>
            <w:shd w:val="clear" w:color="auto" w:fill="auto"/>
            <w:vAlign w:val="center"/>
          </w:tcPr>
          <w:p w14:paraId="6E25069E"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EL7.6</w:t>
            </w:r>
          </w:p>
        </w:tc>
        <w:tc>
          <w:tcPr>
            <w:tcW w:w="1367" w:type="pct"/>
            <w:tcBorders>
              <w:top w:val="single" w:sz="4" w:space="0" w:color="auto"/>
            </w:tcBorders>
            <w:shd w:val="clear" w:color="auto" w:fill="auto"/>
            <w:vAlign w:val="center"/>
          </w:tcPr>
          <w:p w14:paraId="6E25069F"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Shitësit dhe furnitorët</w:t>
            </w:r>
          </w:p>
        </w:tc>
        <w:tc>
          <w:tcPr>
            <w:tcW w:w="673" w:type="pct"/>
            <w:tcBorders>
              <w:top w:val="nil"/>
              <w:left w:val="single" w:sz="4" w:space="0" w:color="auto"/>
              <w:bottom w:val="single" w:sz="8" w:space="0" w:color="auto"/>
              <w:right w:val="single" w:sz="4" w:space="0" w:color="auto"/>
            </w:tcBorders>
            <w:shd w:val="clear" w:color="auto" w:fill="auto"/>
            <w:vAlign w:val="center"/>
          </w:tcPr>
          <w:p w14:paraId="6E2506A0" w14:textId="77777777" w:rsidR="00EF09E3" w:rsidRPr="002F4A24" w:rsidRDefault="00EF09E3" w:rsidP="00FD3EF9">
            <w:pPr>
              <w:spacing w:after="0" w:line="240" w:lineRule="auto"/>
              <w:rPr>
                <w:rFonts w:ascii="Garamond" w:eastAsia="Times New Roman" w:hAnsi="Garamond" w:cs="Times New Roman"/>
                <w:sz w:val="18"/>
                <w:szCs w:val="18"/>
              </w:rPr>
            </w:pPr>
            <w:r w:rsidRPr="002F4A24">
              <w:rPr>
                <w:rFonts w:ascii="Garamond" w:eastAsia="Times New Roman" w:hAnsi="Garamond" w:cs="Times New Roman"/>
                <w:sz w:val="18"/>
                <w:szCs w:val="18"/>
              </w:rPr>
              <w:t>EA7.6.1</w:t>
            </w:r>
          </w:p>
        </w:tc>
        <w:tc>
          <w:tcPr>
            <w:tcW w:w="2549" w:type="pct"/>
            <w:tcBorders>
              <w:top w:val="nil"/>
              <w:left w:val="nil"/>
              <w:bottom w:val="single" w:sz="4" w:space="0" w:color="auto"/>
              <w:right w:val="single" w:sz="4" w:space="0" w:color="auto"/>
            </w:tcBorders>
            <w:shd w:val="clear" w:color="auto" w:fill="auto"/>
            <w:vAlign w:val="center"/>
          </w:tcPr>
          <w:p w14:paraId="6E2506A1" w14:textId="77777777" w:rsidR="00EF09E3" w:rsidRPr="002F4A24" w:rsidRDefault="00EF09E3" w:rsidP="00FD3EF9">
            <w:pPr>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 xml:space="preserve">Mosmarrëveshje me </w:t>
            </w:r>
            <w:r w:rsidR="00AF3123" w:rsidRPr="002F4A24">
              <w:rPr>
                <w:rFonts w:ascii="Garamond" w:eastAsia="Times New Roman" w:hAnsi="Garamond" w:cs="Times New Roman"/>
                <w:sz w:val="18"/>
                <w:szCs w:val="18"/>
              </w:rPr>
              <w:t>shitësit dhe furnitorët</w:t>
            </w:r>
          </w:p>
        </w:tc>
      </w:tr>
    </w:tbl>
    <w:p w14:paraId="6E2506A4" w14:textId="6337C544" w:rsidR="00FE27B2" w:rsidRPr="00474D79" w:rsidRDefault="00FE27B2" w:rsidP="00FD3EF9">
      <w:pPr>
        <w:spacing w:after="0" w:line="240" w:lineRule="auto"/>
        <w:rPr>
          <w:rFonts w:ascii="Garamond" w:hAnsi="Garamond" w:cs="Times New Roman"/>
          <w:b/>
          <w:sz w:val="24"/>
          <w:szCs w:val="24"/>
        </w:rPr>
      </w:pPr>
    </w:p>
    <w:p w14:paraId="6D97A4AE" w14:textId="77777777" w:rsidR="00D20524" w:rsidRPr="00474D79" w:rsidRDefault="00D20524" w:rsidP="00FD3EF9">
      <w:pPr>
        <w:spacing w:after="0" w:line="240" w:lineRule="auto"/>
        <w:rPr>
          <w:rFonts w:ascii="Garamond" w:hAnsi="Garamond" w:cs="Times New Roman"/>
          <w:b/>
          <w:sz w:val="24"/>
          <w:szCs w:val="24"/>
        </w:rPr>
      </w:pPr>
    </w:p>
    <w:p w14:paraId="6E2506A5" w14:textId="016F9C1D" w:rsidR="00EF09E3" w:rsidRPr="002F4A24" w:rsidRDefault="002F4A24" w:rsidP="002F4A24">
      <w:pPr>
        <w:spacing w:after="0" w:line="240" w:lineRule="auto"/>
        <w:jc w:val="center"/>
        <w:rPr>
          <w:rFonts w:ascii="Garamond" w:hAnsi="Garamond" w:cs="Times New Roman"/>
          <w:sz w:val="24"/>
          <w:szCs w:val="24"/>
        </w:rPr>
      </w:pPr>
      <w:r w:rsidRPr="002F4A24">
        <w:rPr>
          <w:rFonts w:ascii="Garamond" w:hAnsi="Garamond" w:cs="Times New Roman"/>
          <w:sz w:val="24"/>
          <w:szCs w:val="24"/>
        </w:rPr>
        <w:t>ANEKS NR. 14</w:t>
      </w:r>
    </w:p>
    <w:p w14:paraId="6E2506A6" w14:textId="24D10312" w:rsidR="00EF09E3" w:rsidRPr="002F4A24" w:rsidRDefault="002F4A24" w:rsidP="002F4A24">
      <w:pPr>
        <w:tabs>
          <w:tab w:val="left" w:pos="360"/>
        </w:tabs>
        <w:spacing w:after="0" w:line="240" w:lineRule="auto"/>
        <w:jc w:val="center"/>
        <w:rPr>
          <w:rFonts w:ascii="Garamond" w:hAnsi="Garamond" w:cs="Times New Roman"/>
          <w:sz w:val="24"/>
          <w:szCs w:val="24"/>
        </w:rPr>
      </w:pPr>
      <w:r w:rsidRPr="002F4A24">
        <w:rPr>
          <w:rFonts w:ascii="Garamond" w:hAnsi="Garamond" w:cs="Times New Roman"/>
          <w:sz w:val="24"/>
          <w:szCs w:val="24"/>
        </w:rPr>
        <w:t>KLASIFIKIMI I NGJARJES SIPAS LINJËS SË BIZNESIT. NIVELI 1 DHE 2 I DETAJIMIT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2370"/>
        <w:gridCol w:w="1162"/>
        <w:gridCol w:w="4400"/>
      </w:tblGrid>
      <w:tr w:rsidR="00EF09E3" w:rsidRPr="002F4A24" w14:paraId="6E2506AB" w14:textId="77777777" w:rsidTr="00FD3EF9">
        <w:tc>
          <w:tcPr>
            <w:tcW w:w="405" w:type="pct"/>
            <w:shd w:val="clear" w:color="auto" w:fill="auto"/>
            <w:vAlign w:val="center"/>
          </w:tcPr>
          <w:p w14:paraId="6E2506A7" w14:textId="77777777" w:rsidR="00EF09E3" w:rsidRPr="002F4A24" w:rsidRDefault="00EF09E3" w:rsidP="00FD3EF9">
            <w:pPr>
              <w:tabs>
                <w:tab w:val="left" w:pos="360"/>
              </w:tabs>
              <w:spacing w:after="0" w:line="240" w:lineRule="auto"/>
              <w:jc w:val="both"/>
              <w:rPr>
                <w:rFonts w:ascii="Garamond" w:eastAsia="Times New Roman" w:hAnsi="Garamond" w:cs="Times New Roman"/>
                <w:b/>
                <w:sz w:val="18"/>
                <w:szCs w:val="18"/>
              </w:rPr>
            </w:pPr>
            <w:r w:rsidRPr="002F4A24">
              <w:rPr>
                <w:rFonts w:ascii="Garamond" w:eastAsia="Times New Roman" w:hAnsi="Garamond" w:cs="Times New Roman"/>
                <w:b/>
                <w:sz w:val="18"/>
                <w:szCs w:val="18"/>
              </w:rPr>
              <w:t>Kodi</w:t>
            </w:r>
          </w:p>
        </w:tc>
        <w:tc>
          <w:tcPr>
            <w:tcW w:w="1373" w:type="pct"/>
            <w:shd w:val="clear" w:color="auto" w:fill="auto"/>
            <w:vAlign w:val="center"/>
          </w:tcPr>
          <w:p w14:paraId="6E2506A8" w14:textId="77777777" w:rsidR="00EF09E3" w:rsidRPr="002F4A24" w:rsidRDefault="00EF09E3" w:rsidP="00FD3EF9">
            <w:pPr>
              <w:tabs>
                <w:tab w:val="left" w:pos="360"/>
              </w:tabs>
              <w:spacing w:after="0" w:line="240" w:lineRule="auto"/>
              <w:jc w:val="both"/>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1</w:t>
            </w:r>
          </w:p>
        </w:tc>
        <w:tc>
          <w:tcPr>
            <w:tcW w:w="673" w:type="pct"/>
            <w:shd w:val="clear" w:color="auto" w:fill="auto"/>
            <w:vAlign w:val="center"/>
          </w:tcPr>
          <w:p w14:paraId="6E2506A9" w14:textId="77777777" w:rsidR="00EF09E3" w:rsidRPr="002F4A24" w:rsidRDefault="00EF09E3" w:rsidP="00FD3EF9">
            <w:pPr>
              <w:tabs>
                <w:tab w:val="left" w:pos="360"/>
              </w:tabs>
              <w:spacing w:after="0" w:line="240" w:lineRule="auto"/>
              <w:jc w:val="both"/>
              <w:rPr>
                <w:rFonts w:ascii="Garamond" w:eastAsia="Times New Roman" w:hAnsi="Garamond" w:cs="Times New Roman"/>
                <w:b/>
                <w:sz w:val="18"/>
                <w:szCs w:val="18"/>
              </w:rPr>
            </w:pPr>
            <w:r w:rsidRPr="002F4A24">
              <w:rPr>
                <w:rFonts w:ascii="Garamond" w:eastAsia="Times New Roman" w:hAnsi="Garamond" w:cs="Times New Roman"/>
                <w:b/>
                <w:sz w:val="18"/>
                <w:szCs w:val="18"/>
              </w:rPr>
              <w:t xml:space="preserve">Kodi </w:t>
            </w:r>
          </w:p>
        </w:tc>
        <w:tc>
          <w:tcPr>
            <w:tcW w:w="2549" w:type="pct"/>
            <w:shd w:val="clear" w:color="auto" w:fill="auto"/>
            <w:vAlign w:val="center"/>
          </w:tcPr>
          <w:p w14:paraId="6E2506AA" w14:textId="77777777" w:rsidR="00EF09E3" w:rsidRPr="002F4A24" w:rsidRDefault="00EF09E3" w:rsidP="00FD3EF9">
            <w:pPr>
              <w:tabs>
                <w:tab w:val="left" w:pos="360"/>
              </w:tabs>
              <w:spacing w:after="0" w:line="240" w:lineRule="auto"/>
              <w:jc w:val="both"/>
              <w:rPr>
                <w:rFonts w:ascii="Garamond" w:eastAsia="Times New Roman" w:hAnsi="Garamond" w:cs="Times New Roman"/>
                <w:b/>
                <w:sz w:val="18"/>
                <w:szCs w:val="18"/>
              </w:rPr>
            </w:pPr>
            <w:r w:rsidRPr="002F4A24">
              <w:rPr>
                <w:rFonts w:ascii="Garamond" w:eastAsia="Times New Roman" w:hAnsi="Garamond" w:cs="Times New Roman"/>
                <w:b/>
                <w:sz w:val="18"/>
                <w:szCs w:val="18"/>
              </w:rPr>
              <w:t>Ndarje sipas nivelit 2</w:t>
            </w:r>
          </w:p>
        </w:tc>
      </w:tr>
      <w:tr w:rsidR="00EF09E3" w:rsidRPr="002F4A24" w14:paraId="6E2506B2" w14:textId="77777777" w:rsidTr="00FD3EF9">
        <w:tc>
          <w:tcPr>
            <w:tcW w:w="405" w:type="pct"/>
            <w:vMerge w:val="restart"/>
            <w:shd w:val="clear" w:color="auto" w:fill="auto"/>
            <w:vAlign w:val="center"/>
          </w:tcPr>
          <w:p w14:paraId="6E2506AC"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p w14:paraId="6E2506AD"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BL1</w:t>
            </w:r>
          </w:p>
        </w:tc>
        <w:tc>
          <w:tcPr>
            <w:tcW w:w="1373" w:type="pct"/>
            <w:vMerge w:val="restart"/>
            <w:shd w:val="clear" w:color="auto" w:fill="auto"/>
            <w:vAlign w:val="center"/>
          </w:tcPr>
          <w:p w14:paraId="6E2506AE"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p w14:paraId="6E2506AF"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Financat e korporatave</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6E2506B0"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BL1.1</w:t>
            </w:r>
          </w:p>
        </w:tc>
        <w:tc>
          <w:tcPr>
            <w:tcW w:w="2549" w:type="pct"/>
            <w:tcBorders>
              <w:top w:val="single" w:sz="4" w:space="0" w:color="auto"/>
              <w:left w:val="nil"/>
              <w:bottom w:val="single" w:sz="4" w:space="0" w:color="auto"/>
              <w:right w:val="single" w:sz="4" w:space="0" w:color="auto"/>
            </w:tcBorders>
            <w:shd w:val="clear" w:color="auto" w:fill="auto"/>
            <w:vAlign w:val="center"/>
          </w:tcPr>
          <w:p w14:paraId="6E2506B1"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Financat e korporatave</w:t>
            </w:r>
          </w:p>
        </w:tc>
      </w:tr>
      <w:tr w:rsidR="00EF09E3" w:rsidRPr="002F4A24" w14:paraId="6E2506B7" w14:textId="77777777" w:rsidTr="00FD3EF9">
        <w:tc>
          <w:tcPr>
            <w:tcW w:w="405" w:type="pct"/>
            <w:vMerge/>
            <w:shd w:val="clear" w:color="auto" w:fill="auto"/>
            <w:vAlign w:val="center"/>
          </w:tcPr>
          <w:p w14:paraId="6E2506B3"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1373" w:type="pct"/>
            <w:vMerge/>
            <w:shd w:val="clear" w:color="auto" w:fill="auto"/>
            <w:vAlign w:val="center"/>
          </w:tcPr>
          <w:p w14:paraId="6E2506B4"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B5"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BL1.2</w:t>
            </w:r>
          </w:p>
        </w:tc>
        <w:tc>
          <w:tcPr>
            <w:tcW w:w="2549" w:type="pct"/>
            <w:tcBorders>
              <w:top w:val="nil"/>
              <w:left w:val="nil"/>
              <w:bottom w:val="single" w:sz="4" w:space="0" w:color="auto"/>
              <w:right w:val="single" w:sz="4" w:space="0" w:color="auto"/>
            </w:tcBorders>
            <w:shd w:val="clear" w:color="auto" w:fill="auto"/>
            <w:vAlign w:val="center"/>
          </w:tcPr>
          <w:p w14:paraId="6E2506B6"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Financat lokale dhe të qeverisë qendrore</w:t>
            </w:r>
          </w:p>
        </w:tc>
      </w:tr>
      <w:tr w:rsidR="00EF09E3" w:rsidRPr="002F4A24" w14:paraId="6E2506BC" w14:textId="77777777" w:rsidTr="00FD3EF9">
        <w:tc>
          <w:tcPr>
            <w:tcW w:w="405" w:type="pct"/>
            <w:vMerge/>
            <w:shd w:val="clear" w:color="auto" w:fill="auto"/>
            <w:vAlign w:val="center"/>
          </w:tcPr>
          <w:p w14:paraId="6E2506B8"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1373" w:type="pct"/>
            <w:vMerge/>
            <w:shd w:val="clear" w:color="auto" w:fill="auto"/>
            <w:vAlign w:val="center"/>
          </w:tcPr>
          <w:p w14:paraId="6E2506B9"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BA"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BL1.3</w:t>
            </w:r>
          </w:p>
        </w:tc>
        <w:tc>
          <w:tcPr>
            <w:tcW w:w="2549" w:type="pct"/>
            <w:tcBorders>
              <w:top w:val="nil"/>
              <w:left w:val="nil"/>
              <w:bottom w:val="single" w:sz="4" w:space="0" w:color="auto"/>
              <w:right w:val="single" w:sz="4" w:space="0" w:color="auto"/>
            </w:tcBorders>
            <w:shd w:val="clear" w:color="auto" w:fill="auto"/>
            <w:vAlign w:val="center"/>
          </w:tcPr>
          <w:p w14:paraId="6E2506BB"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Shërbime bankare tregtare (</w:t>
            </w:r>
            <w:r w:rsidRPr="002F4A24">
              <w:rPr>
                <w:rFonts w:ascii="Garamond" w:eastAsia="Times New Roman" w:hAnsi="Garamond" w:cs="Times New Roman"/>
                <w:i/>
                <w:sz w:val="18"/>
                <w:szCs w:val="18"/>
              </w:rPr>
              <w:t>merchant banking</w:t>
            </w:r>
            <w:r w:rsidRPr="002F4A24">
              <w:rPr>
                <w:rFonts w:ascii="Garamond" w:eastAsia="Times New Roman" w:hAnsi="Garamond" w:cs="Times New Roman"/>
                <w:sz w:val="18"/>
                <w:szCs w:val="18"/>
              </w:rPr>
              <w:t>)</w:t>
            </w:r>
            <w:r w:rsidRPr="002F4A24" w:rsidDel="00E702BB">
              <w:rPr>
                <w:rFonts w:ascii="Garamond" w:eastAsia="Times New Roman" w:hAnsi="Garamond" w:cs="Times New Roman"/>
                <w:sz w:val="18"/>
                <w:szCs w:val="18"/>
              </w:rPr>
              <w:t xml:space="preserve"> </w:t>
            </w:r>
          </w:p>
        </w:tc>
      </w:tr>
      <w:tr w:rsidR="00EF09E3" w:rsidRPr="002F4A24" w14:paraId="6E2506C1" w14:textId="77777777" w:rsidTr="00FD3EF9">
        <w:tc>
          <w:tcPr>
            <w:tcW w:w="405" w:type="pct"/>
            <w:vMerge/>
            <w:tcBorders>
              <w:bottom w:val="single" w:sz="4" w:space="0" w:color="auto"/>
            </w:tcBorders>
            <w:shd w:val="clear" w:color="auto" w:fill="auto"/>
            <w:vAlign w:val="center"/>
          </w:tcPr>
          <w:p w14:paraId="6E2506BD"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1373" w:type="pct"/>
            <w:vMerge/>
            <w:tcBorders>
              <w:bottom w:val="single" w:sz="4" w:space="0" w:color="auto"/>
            </w:tcBorders>
            <w:shd w:val="clear" w:color="auto" w:fill="auto"/>
            <w:vAlign w:val="center"/>
          </w:tcPr>
          <w:p w14:paraId="6E2506BE"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673" w:type="pct"/>
            <w:tcBorders>
              <w:top w:val="single" w:sz="4" w:space="0" w:color="auto"/>
              <w:bottom w:val="single" w:sz="4" w:space="0" w:color="auto"/>
              <w:right w:val="single" w:sz="4" w:space="0" w:color="auto"/>
            </w:tcBorders>
            <w:shd w:val="clear" w:color="auto" w:fill="auto"/>
            <w:vAlign w:val="center"/>
          </w:tcPr>
          <w:p w14:paraId="6E2506BF"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BL1.4</w:t>
            </w:r>
          </w:p>
        </w:tc>
        <w:tc>
          <w:tcPr>
            <w:tcW w:w="2549" w:type="pct"/>
            <w:tcBorders>
              <w:top w:val="single" w:sz="4" w:space="0" w:color="auto"/>
              <w:left w:val="nil"/>
              <w:bottom w:val="single" w:sz="4" w:space="0" w:color="auto"/>
              <w:right w:val="single" w:sz="4" w:space="0" w:color="auto"/>
            </w:tcBorders>
            <w:shd w:val="clear" w:color="auto" w:fill="auto"/>
            <w:vAlign w:val="center"/>
          </w:tcPr>
          <w:p w14:paraId="6E2506C0"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Shërbime këshilluese</w:t>
            </w:r>
          </w:p>
        </w:tc>
      </w:tr>
      <w:tr w:rsidR="00EF09E3" w:rsidRPr="002F4A24" w14:paraId="6E2506C8" w14:textId="77777777" w:rsidTr="00FD3EF9">
        <w:tc>
          <w:tcPr>
            <w:tcW w:w="405" w:type="pct"/>
            <w:vMerge w:val="restart"/>
            <w:tcBorders>
              <w:top w:val="single" w:sz="4" w:space="0" w:color="auto"/>
            </w:tcBorders>
            <w:shd w:val="clear" w:color="auto" w:fill="auto"/>
            <w:vAlign w:val="center"/>
          </w:tcPr>
          <w:p w14:paraId="6E2506C2"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p w14:paraId="6E2506C3"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lastRenderedPageBreak/>
              <w:t>BL2</w:t>
            </w:r>
          </w:p>
        </w:tc>
        <w:tc>
          <w:tcPr>
            <w:tcW w:w="1373" w:type="pct"/>
            <w:vMerge w:val="restart"/>
            <w:tcBorders>
              <w:top w:val="single" w:sz="4" w:space="0" w:color="auto"/>
            </w:tcBorders>
            <w:shd w:val="clear" w:color="auto" w:fill="auto"/>
            <w:vAlign w:val="center"/>
          </w:tcPr>
          <w:p w14:paraId="6E2506C4"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p w14:paraId="6E2506C5"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lastRenderedPageBreak/>
              <w:t>Veprime me thesarin</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6E2506C6"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lastRenderedPageBreak/>
              <w:t>BL2.1</w:t>
            </w:r>
          </w:p>
        </w:tc>
        <w:tc>
          <w:tcPr>
            <w:tcW w:w="2549" w:type="pct"/>
            <w:tcBorders>
              <w:top w:val="single" w:sz="4" w:space="0" w:color="auto"/>
              <w:left w:val="nil"/>
              <w:bottom w:val="single" w:sz="4" w:space="0" w:color="auto"/>
              <w:right w:val="single" w:sz="4" w:space="0" w:color="auto"/>
            </w:tcBorders>
            <w:shd w:val="clear" w:color="auto" w:fill="auto"/>
            <w:vAlign w:val="center"/>
          </w:tcPr>
          <w:p w14:paraId="6E2506C7"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Tregtimi</w:t>
            </w:r>
          </w:p>
        </w:tc>
      </w:tr>
      <w:tr w:rsidR="00EF09E3" w:rsidRPr="002F4A24" w14:paraId="6E2506CD" w14:textId="77777777" w:rsidTr="00FD3EF9">
        <w:tc>
          <w:tcPr>
            <w:tcW w:w="405" w:type="pct"/>
            <w:vMerge/>
            <w:shd w:val="clear" w:color="auto" w:fill="auto"/>
            <w:vAlign w:val="center"/>
          </w:tcPr>
          <w:p w14:paraId="6E2506C9"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1373" w:type="pct"/>
            <w:vMerge/>
            <w:shd w:val="clear" w:color="auto" w:fill="auto"/>
            <w:vAlign w:val="center"/>
          </w:tcPr>
          <w:p w14:paraId="6E2506CA"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CB"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BL2.2</w:t>
            </w:r>
          </w:p>
        </w:tc>
        <w:tc>
          <w:tcPr>
            <w:tcW w:w="2549" w:type="pct"/>
            <w:tcBorders>
              <w:top w:val="nil"/>
              <w:left w:val="nil"/>
              <w:bottom w:val="single" w:sz="4" w:space="0" w:color="auto"/>
              <w:right w:val="single" w:sz="4" w:space="0" w:color="auto"/>
            </w:tcBorders>
            <w:shd w:val="clear" w:color="auto" w:fill="auto"/>
            <w:vAlign w:val="center"/>
          </w:tcPr>
          <w:p w14:paraId="6E2506CC"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Tregtimi për llogari të vet (</w:t>
            </w:r>
            <w:r w:rsidRPr="002F4A24">
              <w:rPr>
                <w:rFonts w:ascii="Garamond" w:eastAsia="Times New Roman" w:hAnsi="Garamond" w:cs="Times New Roman"/>
                <w:i/>
                <w:sz w:val="18"/>
                <w:szCs w:val="18"/>
              </w:rPr>
              <w:t>market making</w:t>
            </w:r>
            <w:r w:rsidRPr="002F4A24">
              <w:rPr>
                <w:rFonts w:ascii="Garamond" w:eastAsia="Times New Roman" w:hAnsi="Garamond" w:cs="Times New Roman"/>
                <w:sz w:val="18"/>
                <w:szCs w:val="18"/>
              </w:rPr>
              <w:t>)</w:t>
            </w:r>
          </w:p>
        </w:tc>
      </w:tr>
      <w:tr w:rsidR="00EF09E3" w:rsidRPr="002F4A24" w14:paraId="6E2506D2" w14:textId="77777777" w:rsidTr="00FD3EF9">
        <w:tc>
          <w:tcPr>
            <w:tcW w:w="405" w:type="pct"/>
            <w:vMerge/>
            <w:shd w:val="clear" w:color="auto" w:fill="auto"/>
            <w:vAlign w:val="center"/>
          </w:tcPr>
          <w:p w14:paraId="6E2506CE"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1373" w:type="pct"/>
            <w:vMerge/>
            <w:shd w:val="clear" w:color="auto" w:fill="auto"/>
            <w:vAlign w:val="center"/>
          </w:tcPr>
          <w:p w14:paraId="6E2506CF"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D0"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BL2.3</w:t>
            </w:r>
          </w:p>
        </w:tc>
        <w:tc>
          <w:tcPr>
            <w:tcW w:w="2549" w:type="pct"/>
            <w:tcBorders>
              <w:top w:val="nil"/>
              <w:left w:val="nil"/>
              <w:bottom w:val="single" w:sz="4" w:space="0" w:color="auto"/>
              <w:right w:val="single" w:sz="4" w:space="0" w:color="auto"/>
            </w:tcBorders>
            <w:shd w:val="clear" w:color="auto" w:fill="auto"/>
            <w:vAlign w:val="center"/>
          </w:tcPr>
          <w:p w14:paraId="6E2506D1"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Pozicioni i pronarit (</w:t>
            </w:r>
            <w:r w:rsidRPr="002F4A24">
              <w:rPr>
                <w:rFonts w:ascii="Garamond" w:eastAsia="Times New Roman" w:hAnsi="Garamond" w:cs="Times New Roman"/>
                <w:i/>
                <w:sz w:val="18"/>
                <w:szCs w:val="18"/>
              </w:rPr>
              <w:t>proprietary positions</w:t>
            </w:r>
            <w:r w:rsidRPr="002F4A24">
              <w:rPr>
                <w:rFonts w:ascii="Garamond" w:eastAsia="Times New Roman" w:hAnsi="Garamond" w:cs="Times New Roman"/>
                <w:sz w:val="18"/>
                <w:szCs w:val="18"/>
              </w:rPr>
              <w:t>)</w:t>
            </w:r>
          </w:p>
        </w:tc>
      </w:tr>
      <w:tr w:rsidR="00EF09E3" w:rsidRPr="002F4A24" w14:paraId="6E2506D7" w14:textId="77777777" w:rsidTr="00FD3EF9">
        <w:tc>
          <w:tcPr>
            <w:tcW w:w="405" w:type="pct"/>
            <w:vMerge/>
            <w:tcBorders>
              <w:bottom w:val="single" w:sz="4" w:space="0" w:color="auto"/>
            </w:tcBorders>
            <w:shd w:val="clear" w:color="auto" w:fill="auto"/>
            <w:vAlign w:val="center"/>
          </w:tcPr>
          <w:p w14:paraId="6E2506D3"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1373" w:type="pct"/>
            <w:vMerge/>
            <w:tcBorders>
              <w:bottom w:val="single" w:sz="4" w:space="0" w:color="auto"/>
            </w:tcBorders>
            <w:shd w:val="clear" w:color="auto" w:fill="auto"/>
            <w:vAlign w:val="center"/>
          </w:tcPr>
          <w:p w14:paraId="6E2506D4"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D5"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BL2.4</w:t>
            </w:r>
          </w:p>
        </w:tc>
        <w:tc>
          <w:tcPr>
            <w:tcW w:w="2549" w:type="pct"/>
            <w:tcBorders>
              <w:top w:val="nil"/>
              <w:left w:val="nil"/>
              <w:bottom w:val="single" w:sz="4" w:space="0" w:color="auto"/>
              <w:right w:val="single" w:sz="4" w:space="0" w:color="auto"/>
            </w:tcBorders>
            <w:shd w:val="clear" w:color="auto" w:fill="auto"/>
            <w:vAlign w:val="center"/>
          </w:tcPr>
          <w:p w14:paraId="6E2506D6"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Veprime me thesarin</w:t>
            </w:r>
          </w:p>
        </w:tc>
      </w:tr>
      <w:tr w:rsidR="00EF09E3" w:rsidRPr="002F4A24" w14:paraId="6E2506DE" w14:textId="77777777" w:rsidTr="00FD3EF9">
        <w:tc>
          <w:tcPr>
            <w:tcW w:w="405" w:type="pct"/>
            <w:vMerge w:val="restart"/>
            <w:tcBorders>
              <w:top w:val="single" w:sz="4" w:space="0" w:color="auto"/>
            </w:tcBorders>
            <w:shd w:val="clear" w:color="auto" w:fill="auto"/>
            <w:vAlign w:val="center"/>
          </w:tcPr>
          <w:p w14:paraId="6E2506D8"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p w14:paraId="6E2506D9"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BL3</w:t>
            </w:r>
          </w:p>
        </w:tc>
        <w:tc>
          <w:tcPr>
            <w:tcW w:w="1373" w:type="pct"/>
            <w:vMerge w:val="restart"/>
            <w:tcBorders>
              <w:top w:val="single" w:sz="4" w:space="0" w:color="auto"/>
            </w:tcBorders>
            <w:shd w:val="clear" w:color="auto" w:fill="auto"/>
            <w:vAlign w:val="center"/>
          </w:tcPr>
          <w:p w14:paraId="6E2506DA"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p w14:paraId="6E2506DB"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Veprimtari bankare me pakicë (</w:t>
            </w:r>
            <w:r w:rsidRPr="002F4A24">
              <w:rPr>
                <w:rFonts w:ascii="Garamond" w:eastAsia="Times New Roman" w:hAnsi="Garamond" w:cs="Times New Roman"/>
                <w:i/>
                <w:sz w:val="18"/>
                <w:szCs w:val="18"/>
              </w:rPr>
              <w:t>retail</w:t>
            </w:r>
            <w:r w:rsidRPr="002F4A24">
              <w:rPr>
                <w:rFonts w:ascii="Garamond" w:eastAsia="Times New Roman" w:hAnsi="Garamond" w:cs="Times New Roman"/>
                <w:sz w:val="18"/>
                <w:szCs w:val="18"/>
              </w:rPr>
              <w:t>)</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6E2506DC"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BL3.1</w:t>
            </w:r>
          </w:p>
        </w:tc>
        <w:tc>
          <w:tcPr>
            <w:tcW w:w="2549" w:type="pct"/>
            <w:tcBorders>
              <w:top w:val="single" w:sz="4" w:space="0" w:color="auto"/>
              <w:left w:val="nil"/>
              <w:bottom w:val="single" w:sz="4" w:space="0" w:color="auto"/>
              <w:right w:val="single" w:sz="4" w:space="0" w:color="auto"/>
            </w:tcBorders>
            <w:shd w:val="clear" w:color="auto" w:fill="auto"/>
            <w:vAlign w:val="center"/>
          </w:tcPr>
          <w:p w14:paraId="6E2506DD"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 xml:space="preserve"> Veprimtari bankare me pakicë (</w:t>
            </w:r>
            <w:r w:rsidRPr="002F4A24">
              <w:rPr>
                <w:rFonts w:ascii="Garamond" w:eastAsia="Times New Roman" w:hAnsi="Garamond" w:cs="Times New Roman"/>
                <w:i/>
                <w:sz w:val="18"/>
                <w:szCs w:val="18"/>
              </w:rPr>
              <w:t>retail</w:t>
            </w:r>
            <w:r w:rsidRPr="002F4A24">
              <w:rPr>
                <w:rFonts w:ascii="Garamond" w:eastAsia="Times New Roman" w:hAnsi="Garamond" w:cs="Times New Roman"/>
                <w:sz w:val="18"/>
                <w:szCs w:val="18"/>
              </w:rPr>
              <w:t>)</w:t>
            </w:r>
          </w:p>
        </w:tc>
      </w:tr>
      <w:tr w:rsidR="00EF09E3" w:rsidRPr="002F4A24" w14:paraId="6E2506E3" w14:textId="77777777" w:rsidTr="00FD3EF9">
        <w:tc>
          <w:tcPr>
            <w:tcW w:w="405" w:type="pct"/>
            <w:vMerge/>
            <w:shd w:val="clear" w:color="auto" w:fill="auto"/>
            <w:vAlign w:val="center"/>
          </w:tcPr>
          <w:p w14:paraId="6E2506DF"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1373" w:type="pct"/>
            <w:vMerge/>
            <w:shd w:val="clear" w:color="auto" w:fill="auto"/>
            <w:vAlign w:val="center"/>
          </w:tcPr>
          <w:p w14:paraId="6E2506E0"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E1"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BL3.2</w:t>
            </w:r>
          </w:p>
        </w:tc>
        <w:tc>
          <w:tcPr>
            <w:tcW w:w="2549" w:type="pct"/>
            <w:tcBorders>
              <w:top w:val="nil"/>
              <w:left w:val="nil"/>
              <w:bottom w:val="single" w:sz="4" w:space="0" w:color="auto"/>
              <w:right w:val="single" w:sz="4" w:space="0" w:color="auto"/>
            </w:tcBorders>
            <w:shd w:val="clear" w:color="auto" w:fill="auto"/>
            <w:vAlign w:val="center"/>
          </w:tcPr>
          <w:p w14:paraId="6E2506E2"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Shërbime bankare të personalizuara (</w:t>
            </w:r>
            <w:r w:rsidRPr="002F4A24">
              <w:rPr>
                <w:rFonts w:ascii="Garamond" w:eastAsia="Times New Roman" w:hAnsi="Garamond" w:cs="Times New Roman"/>
                <w:i/>
                <w:sz w:val="18"/>
                <w:szCs w:val="18"/>
              </w:rPr>
              <w:t>private banking</w:t>
            </w:r>
            <w:r w:rsidRPr="002F4A24">
              <w:rPr>
                <w:rFonts w:ascii="Garamond" w:eastAsia="Times New Roman" w:hAnsi="Garamond" w:cs="Times New Roman"/>
                <w:sz w:val="18"/>
                <w:szCs w:val="18"/>
              </w:rPr>
              <w:t>)</w:t>
            </w:r>
          </w:p>
        </w:tc>
      </w:tr>
      <w:tr w:rsidR="00EF09E3" w:rsidRPr="002F4A24" w14:paraId="6E2506E8" w14:textId="77777777" w:rsidTr="00FD3EF9">
        <w:tc>
          <w:tcPr>
            <w:tcW w:w="405" w:type="pct"/>
            <w:vMerge/>
            <w:tcBorders>
              <w:bottom w:val="single" w:sz="4" w:space="0" w:color="auto"/>
            </w:tcBorders>
            <w:shd w:val="clear" w:color="auto" w:fill="auto"/>
            <w:vAlign w:val="center"/>
          </w:tcPr>
          <w:p w14:paraId="6E2506E4"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1373" w:type="pct"/>
            <w:vMerge/>
            <w:tcBorders>
              <w:bottom w:val="single" w:sz="4" w:space="0" w:color="auto"/>
            </w:tcBorders>
            <w:shd w:val="clear" w:color="auto" w:fill="auto"/>
            <w:vAlign w:val="center"/>
          </w:tcPr>
          <w:p w14:paraId="6E2506E5"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E6"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BL3.3</w:t>
            </w:r>
          </w:p>
        </w:tc>
        <w:tc>
          <w:tcPr>
            <w:tcW w:w="2549" w:type="pct"/>
            <w:tcBorders>
              <w:top w:val="nil"/>
              <w:left w:val="nil"/>
              <w:bottom w:val="single" w:sz="4" w:space="0" w:color="auto"/>
              <w:right w:val="single" w:sz="4" w:space="0" w:color="auto"/>
            </w:tcBorders>
            <w:shd w:val="clear" w:color="auto" w:fill="auto"/>
            <w:vAlign w:val="center"/>
          </w:tcPr>
          <w:p w14:paraId="6E2506E7"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Shërbimet e kartave</w:t>
            </w:r>
          </w:p>
        </w:tc>
      </w:tr>
      <w:tr w:rsidR="00EF09E3" w:rsidRPr="002F4A24" w14:paraId="6E2506ED" w14:textId="77777777" w:rsidTr="00FD3EF9">
        <w:tc>
          <w:tcPr>
            <w:tcW w:w="405" w:type="pct"/>
            <w:tcBorders>
              <w:top w:val="single" w:sz="4" w:space="0" w:color="auto"/>
            </w:tcBorders>
            <w:shd w:val="clear" w:color="auto" w:fill="auto"/>
            <w:vAlign w:val="center"/>
          </w:tcPr>
          <w:p w14:paraId="6E2506E9"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BL4</w:t>
            </w:r>
          </w:p>
        </w:tc>
        <w:tc>
          <w:tcPr>
            <w:tcW w:w="1373" w:type="pct"/>
            <w:tcBorders>
              <w:top w:val="single" w:sz="4" w:space="0" w:color="auto"/>
            </w:tcBorders>
            <w:shd w:val="clear" w:color="auto" w:fill="auto"/>
            <w:vAlign w:val="center"/>
          </w:tcPr>
          <w:p w14:paraId="6E2506EA"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Veprimtari bankare e financiare</w:t>
            </w:r>
          </w:p>
        </w:tc>
        <w:tc>
          <w:tcPr>
            <w:tcW w:w="673" w:type="pct"/>
            <w:tcBorders>
              <w:top w:val="nil"/>
              <w:left w:val="single" w:sz="4" w:space="0" w:color="auto"/>
              <w:bottom w:val="single" w:sz="4" w:space="0" w:color="auto"/>
              <w:right w:val="single" w:sz="4" w:space="0" w:color="auto"/>
            </w:tcBorders>
            <w:shd w:val="clear" w:color="auto" w:fill="auto"/>
            <w:vAlign w:val="center"/>
          </w:tcPr>
          <w:p w14:paraId="6E2506EB"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BL4.1</w:t>
            </w:r>
          </w:p>
        </w:tc>
        <w:tc>
          <w:tcPr>
            <w:tcW w:w="2549" w:type="pct"/>
            <w:tcBorders>
              <w:top w:val="nil"/>
              <w:left w:val="nil"/>
              <w:bottom w:val="single" w:sz="4" w:space="0" w:color="auto"/>
              <w:right w:val="single" w:sz="4" w:space="0" w:color="auto"/>
            </w:tcBorders>
            <w:shd w:val="clear" w:color="auto" w:fill="auto"/>
            <w:vAlign w:val="center"/>
          </w:tcPr>
          <w:p w14:paraId="6E2506EC"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Ndërmjetësim në tregjet ndërbankare</w:t>
            </w:r>
          </w:p>
        </w:tc>
      </w:tr>
      <w:tr w:rsidR="00EF09E3" w:rsidRPr="002F4A24" w14:paraId="6E2506F2" w14:textId="77777777" w:rsidTr="00FD3EF9">
        <w:tc>
          <w:tcPr>
            <w:tcW w:w="405" w:type="pct"/>
            <w:shd w:val="clear" w:color="auto" w:fill="auto"/>
            <w:vAlign w:val="center"/>
          </w:tcPr>
          <w:p w14:paraId="6E2506EE"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BL5</w:t>
            </w:r>
          </w:p>
        </w:tc>
        <w:tc>
          <w:tcPr>
            <w:tcW w:w="1373" w:type="pct"/>
            <w:shd w:val="clear" w:color="auto" w:fill="auto"/>
            <w:vAlign w:val="center"/>
          </w:tcPr>
          <w:p w14:paraId="6E2506EF"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Pagesat dhe shlyerjet</w:t>
            </w:r>
          </w:p>
        </w:tc>
        <w:tc>
          <w:tcPr>
            <w:tcW w:w="673" w:type="pct"/>
            <w:tcBorders>
              <w:top w:val="nil"/>
              <w:left w:val="single" w:sz="4" w:space="0" w:color="auto"/>
              <w:bottom w:val="single" w:sz="4" w:space="0" w:color="auto"/>
              <w:right w:val="single" w:sz="4" w:space="0" w:color="auto"/>
            </w:tcBorders>
            <w:shd w:val="clear" w:color="auto" w:fill="auto"/>
            <w:vAlign w:val="center"/>
          </w:tcPr>
          <w:p w14:paraId="6E2506F0"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BL5.1</w:t>
            </w:r>
          </w:p>
        </w:tc>
        <w:tc>
          <w:tcPr>
            <w:tcW w:w="2549" w:type="pct"/>
            <w:tcBorders>
              <w:top w:val="nil"/>
              <w:left w:val="nil"/>
              <w:bottom w:val="single" w:sz="4" w:space="0" w:color="auto"/>
              <w:right w:val="single" w:sz="4" w:space="0" w:color="auto"/>
            </w:tcBorders>
            <w:shd w:val="clear" w:color="auto" w:fill="auto"/>
            <w:vAlign w:val="center"/>
          </w:tcPr>
          <w:p w14:paraId="6E2506F1"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Klientë të jashtëm</w:t>
            </w:r>
          </w:p>
        </w:tc>
      </w:tr>
      <w:tr w:rsidR="00EF09E3" w:rsidRPr="002F4A24" w14:paraId="6E2506F9" w14:textId="77777777" w:rsidTr="00FD3EF9">
        <w:tc>
          <w:tcPr>
            <w:tcW w:w="405" w:type="pct"/>
            <w:vMerge w:val="restart"/>
            <w:shd w:val="clear" w:color="auto" w:fill="auto"/>
            <w:vAlign w:val="center"/>
          </w:tcPr>
          <w:p w14:paraId="6E2506F3"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p w14:paraId="6E2506F4"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BL6</w:t>
            </w:r>
          </w:p>
        </w:tc>
        <w:tc>
          <w:tcPr>
            <w:tcW w:w="1373" w:type="pct"/>
            <w:vMerge w:val="restart"/>
            <w:shd w:val="clear" w:color="auto" w:fill="auto"/>
            <w:vAlign w:val="center"/>
          </w:tcPr>
          <w:p w14:paraId="6E2506F5"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p w14:paraId="6E2506F6"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Shërbime si agjent</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6E2506F7"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BL6.1</w:t>
            </w:r>
          </w:p>
        </w:tc>
        <w:tc>
          <w:tcPr>
            <w:tcW w:w="2549" w:type="pct"/>
            <w:tcBorders>
              <w:top w:val="single" w:sz="4" w:space="0" w:color="auto"/>
              <w:left w:val="nil"/>
              <w:bottom w:val="single" w:sz="4" w:space="0" w:color="auto"/>
              <w:right w:val="single" w:sz="4" w:space="0" w:color="auto"/>
            </w:tcBorders>
            <w:shd w:val="clear" w:color="auto" w:fill="auto"/>
            <w:vAlign w:val="center"/>
          </w:tcPr>
          <w:p w14:paraId="6E2506F8"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Ruajtje e instrumenteve financiare</w:t>
            </w:r>
          </w:p>
        </w:tc>
      </w:tr>
      <w:tr w:rsidR="00EF09E3" w:rsidRPr="002F4A24" w14:paraId="6E2506FE" w14:textId="77777777" w:rsidTr="00FD3EF9">
        <w:tc>
          <w:tcPr>
            <w:tcW w:w="405" w:type="pct"/>
            <w:vMerge/>
            <w:tcBorders>
              <w:bottom w:val="single" w:sz="4" w:space="0" w:color="auto"/>
            </w:tcBorders>
            <w:shd w:val="clear" w:color="auto" w:fill="auto"/>
            <w:vAlign w:val="center"/>
          </w:tcPr>
          <w:p w14:paraId="6E2506FA"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1373" w:type="pct"/>
            <w:vMerge/>
            <w:tcBorders>
              <w:bottom w:val="single" w:sz="4" w:space="0" w:color="auto"/>
            </w:tcBorders>
            <w:shd w:val="clear" w:color="auto" w:fill="auto"/>
            <w:vAlign w:val="center"/>
          </w:tcPr>
          <w:p w14:paraId="6E2506FB"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6FC"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BL6.2</w:t>
            </w:r>
          </w:p>
        </w:tc>
        <w:tc>
          <w:tcPr>
            <w:tcW w:w="2549" w:type="pct"/>
            <w:tcBorders>
              <w:top w:val="nil"/>
              <w:left w:val="nil"/>
              <w:bottom w:val="single" w:sz="4" w:space="0" w:color="auto"/>
              <w:right w:val="single" w:sz="4" w:space="0" w:color="auto"/>
            </w:tcBorders>
            <w:shd w:val="clear" w:color="auto" w:fill="auto"/>
            <w:vAlign w:val="center"/>
          </w:tcPr>
          <w:p w14:paraId="6E2506FD"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Administrim dhe marrje në kujdestari e instrumenteve financiare</w:t>
            </w:r>
          </w:p>
        </w:tc>
      </w:tr>
      <w:tr w:rsidR="00EF09E3" w:rsidRPr="002F4A24" w14:paraId="6E250705" w14:textId="77777777" w:rsidTr="00FD3EF9">
        <w:tc>
          <w:tcPr>
            <w:tcW w:w="405" w:type="pct"/>
            <w:vMerge w:val="restart"/>
            <w:tcBorders>
              <w:top w:val="single" w:sz="4" w:space="0" w:color="auto"/>
            </w:tcBorders>
            <w:shd w:val="clear" w:color="auto" w:fill="auto"/>
            <w:vAlign w:val="center"/>
          </w:tcPr>
          <w:p w14:paraId="6E2506FF"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p w14:paraId="6E250700"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BL7</w:t>
            </w:r>
          </w:p>
        </w:tc>
        <w:tc>
          <w:tcPr>
            <w:tcW w:w="1373" w:type="pct"/>
            <w:vMerge w:val="restart"/>
            <w:tcBorders>
              <w:top w:val="single" w:sz="4" w:space="0" w:color="auto"/>
            </w:tcBorders>
            <w:shd w:val="clear" w:color="auto" w:fill="auto"/>
            <w:vAlign w:val="center"/>
          </w:tcPr>
          <w:p w14:paraId="6E250701"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p w14:paraId="6E250702"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Administrim aktivesh</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6E250703"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BL7.1</w:t>
            </w:r>
          </w:p>
        </w:tc>
        <w:tc>
          <w:tcPr>
            <w:tcW w:w="2549" w:type="pct"/>
            <w:tcBorders>
              <w:top w:val="single" w:sz="4" w:space="0" w:color="auto"/>
              <w:left w:val="nil"/>
              <w:bottom w:val="single" w:sz="4" w:space="0" w:color="auto"/>
              <w:right w:val="single" w:sz="4" w:space="0" w:color="auto"/>
            </w:tcBorders>
            <w:shd w:val="clear" w:color="auto" w:fill="auto"/>
            <w:vAlign w:val="center"/>
          </w:tcPr>
          <w:p w14:paraId="6E250704"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Administrim i fondeve</w:t>
            </w:r>
          </w:p>
        </w:tc>
      </w:tr>
      <w:tr w:rsidR="00EF09E3" w:rsidRPr="002F4A24" w14:paraId="6E25070A" w14:textId="77777777" w:rsidTr="00FD3EF9">
        <w:tc>
          <w:tcPr>
            <w:tcW w:w="405" w:type="pct"/>
            <w:vMerge/>
            <w:tcBorders>
              <w:bottom w:val="single" w:sz="4" w:space="0" w:color="auto"/>
            </w:tcBorders>
            <w:shd w:val="clear" w:color="auto" w:fill="auto"/>
            <w:vAlign w:val="center"/>
          </w:tcPr>
          <w:p w14:paraId="6E250706"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1373" w:type="pct"/>
            <w:vMerge/>
            <w:tcBorders>
              <w:bottom w:val="single" w:sz="4" w:space="0" w:color="auto"/>
            </w:tcBorders>
            <w:shd w:val="clear" w:color="auto" w:fill="auto"/>
            <w:vAlign w:val="center"/>
          </w:tcPr>
          <w:p w14:paraId="6E250707"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p>
        </w:tc>
        <w:tc>
          <w:tcPr>
            <w:tcW w:w="673" w:type="pct"/>
            <w:tcBorders>
              <w:top w:val="nil"/>
              <w:bottom w:val="single" w:sz="4" w:space="0" w:color="auto"/>
              <w:right w:val="single" w:sz="4" w:space="0" w:color="auto"/>
            </w:tcBorders>
            <w:shd w:val="clear" w:color="auto" w:fill="auto"/>
            <w:vAlign w:val="center"/>
          </w:tcPr>
          <w:p w14:paraId="6E250708"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BL7.2</w:t>
            </w:r>
          </w:p>
        </w:tc>
        <w:tc>
          <w:tcPr>
            <w:tcW w:w="2549" w:type="pct"/>
            <w:tcBorders>
              <w:top w:val="nil"/>
              <w:left w:val="nil"/>
              <w:bottom w:val="single" w:sz="4" w:space="0" w:color="auto"/>
              <w:right w:val="single" w:sz="4" w:space="0" w:color="auto"/>
            </w:tcBorders>
            <w:shd w:val="clear" w:color="auto" w:fill="auto"/>
            <w:vAlign w:val="center"/>
          </w:tcPr>
          <w:p w14:paraId="6E250709"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Forma të tjera të administrimit të aktiveve</w:t>
            </w:r>
          </w:p>
        </w:tc>
      </w:tr>
      <w:tr w:rsidR="00EF09E3" w:rsidRPr="002F4A24" w14:paraId="6E25070F" w14:textId="77777777" w:rsidTr="00FD3EF9">
        <w:tc>
          <w:tcPr>
            <w:tcW w:w="405" w:type="pct"/>
            <w:tcBorders>
              <w:top w:val="single" w:sz="4" w:space="0" w:color="auto"/>
            </w:tcBorders>
            <w:shd w:val="clear" w:color="auto" w:fill="auto"/>
            <w:vAlign w:val="center"/>
          </w:tcPr>
          <w:p w14:paraId="6E25070B"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BL8</w:t>
            </w:r>
          </w:p>
        </w:tc>
        <w:tc>
          <w:tcPr>
            <w:tcW w:w="1373" w:type="pct"/>
            <w:tcBorders>
              <w:top w:val="single" w:sz="4" w:space="0" w:color="auto"/>
            </w:tcBorders>
            <w:shd w:val="clear" w:color="auto" w:fill="auto"/>
            <w:vAlign w:val="center"/>
          </w:tcPr>
          <w:p w14:paraId="6E25070C"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Ndërmjetësim me pakicë</w:t>
            </w:r>
          </w:p>
        </w:tc>
        <w:tc>
          <w:tcPr>
            <w:tcW w:w="673" w:type="pct"/>
            <w:tcBorders>
              <w:top w:val="nil"/>
              <w:left w:val="single" w:sz="4" w:space="0" w:color="auto"/>
              <w:bottom w:val="single" w:sz="4" w:space="0" w:color="auto"/>
              <w:right w:val="single" w:sz="4" w:space="0" w:color="auto"/>
            </w:tcBorders>
            <w:shd w:val="clear" w:color="auto" w:fill="auto"/>
            <w:vAlign w:val="center"/>
          </w:tcPr>
          <w:p w14:paraId="6E25070D"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BL8.1</w:t>
            </w:r>
          </w:p>
        </w:tc>
        <w:tc>
          <w:tcPr>
            <w:tcW w:w="2549" w:type="pct"/>
            <w:tcBorders>
              <w:top w:val="nil"/>
              <w:left w:val="nil"/>
              <w:bottom w:val="single" w:sz="4" w:space="0" w:color="auto"/>
              <w:right w:val="single" w:sz="4" w:space="0" w:color="auto"/>
            </w:tcBorders>
            <w:shd w:val="clear" w:color="auto" w:fill="auto"/>
            <w:vAlign w:val="center"/>
          </w:tcPr>
          <w:p w14:paraId="6E25070E" w14:textId="77777777" w:rsidR="00EF09E3" w:rsidRPr="002F4A24" w:rsidRDefault="00EF09E3" w:rsidP="00FD3EF9">
            <w:pPr>
              <w:tabs>
                <w:tab w:val="left" w:pos="360"/>
              </w:tabs>
              <w:spacing w:after="0" w:line="240" w:lineRule="auto"/>
              <w:jc w:val="both"/>
              <w:rPr>
                <w:rFonts w:ascii="Garamond" w:eastAsia="Times New Roman" w:hAnsi="Garamond" w:cs="Times New Roman"/>
                <w:sz w:val="18"/>
                <w:szCs w:val="18"/>
              </w:rPr>
            </w:pPr>
            <w:r w:rsidRPr="002F4A24">
              <w:rPr>
                <w:rFonts w:ascii="Garamond" w:eastAsia="Times New Roman" w:hAnsi="Garamond" w:cs="Times New Roman"/>
                <w:sz w:val="18"/>
                <w:szCs w:val="18"/>
              </w:rPr>
              <w:t>Ndërmjetës financiar me pakicë (</w:t>
            </w:r>
            <w:r w:rsidRPr="002F4A24">
              <w:rPr>
                <w:rFonts w:ascii="Garamond" w:eastAsia="Times New Roman" w:hAnsi="Garamond" w:cs="Times New Roman"/>
                <w:i/>
                <w:sz w:val="18"/>
                <w:szCs w:val="18"/>
              </w:rPr>
              <w:t>retail</w:t>
            </w:r>
            <w:r w:rsidRPr="002F4A24">
              <w:rPr>
                <w:rFonts w:ascii="Garamond" w:eastAsia="Times New Roman" w:hAnsi="Garamond" w:cs="Times New Roman"/>
                <w:sz w:val="18"/>
                <w:szCs w:val="18"/>
              </w:rPr>
              <w:t>)</w:t>
            </w:r>
          </w:p>
        </w:tc>
      </w:tr>
    </w:tbl>
    <w:p w14:paraId="6E250710" w14:textId="77777777" w:rsidR="00EF09E3" w:rsidRPr="00474D79" w:rsidRDefault="00EF09E3" w:rsidP="00FD3EF9">
      <w:pPr>
        <w:spacing w:after="0" w:line="240" w:lineRule="auto"/>
        <w:jc w:val="both"/>
        <w:rPr>
          <w:rFonts w:ascii="Garamond" w:hAnsi="Garamond" w:cs="Times New Roman"/>
          <w:i/>
        </w:rPr>
      </w:pPr>
    </w:p>
    <w:p w14:paraId="6E250711" w14:textId="77777777" w:rsidR="00EF09E3" w:rsidRPr="00474D79" w:rsidRDefault="00EF09E3" w:rsidP="00FD3EF9">
      <w:pPr>
        <w:spacing w:after="0" w:line="240" w:lineRule="auto"/>
        <w:jc w:val="both"/>
        <w:rPr>
          <w:rFonts w:ascii="Garamond" w:hAnsi="Garamond" w:cs="Times New Roman"/>
          <w:sz w:val="20"/>
        </w:rPr>
      </w:pPr>
      <w:r w:rsidRPr="00474D79">
        <w:rPr>
          <w:rFonts w:ascii="Garamond" w:hAnsi="Garamond" w:cs="Times New Roman"/>
          <w:i/>
          <w:sz w:val="20"/>
        </w:rPr>
        <w:t>Shënim</w:t>
      </w:r>
      <w:r w:rsidRPr="00474D79">
        <w:rPr>
          <w:rFonts w:ascii="Garamond" w:hAnsi="Garamond" w:cs="Times New Roman"/>
          <w:sz w:val="20"/>
        </w:rPr>
        <w:t xml:space="preserve">: Subjekti duhet të përcaktojë kritere të veçanta në kuadrin e brendshëm rregullativ për kategorizimin e ngjarjeve sipas linjave të biznesit. Kriteret duhet të rishikohen dhe të përshtaten për aktivitetet e reja apo/dhe për çdo ndryshim të biznesit dhe të rreziqeve, që ndërmerr subjekti. </w:t>
      </w:r>
    </w:p>
    <w:p w14:paraId="6E250713" w14:textId="77777777" w:rsidR="00EF09E3" w:rsidRPr="00474D79" w:rsidRDefault="00EF09E3" w:rsidP="00FD3EF9">
      <w:pPr>
        <w:spacing w:after="0" w:line="240" w:lineRule="auto"/>
        <w:jc w:val="both"/>
        <w:rPr>
          <w:rFonts w:ascii="Garamond" w:hAnsi="Garamond" w:cs="Times New Roman"/>
          <w:sz w:val="24"/>
          <w:szCs w:val="24"/>
        </w:rPr>
      </w:pPr>
    </w:p>
    <w:p w14:paraId="6E250714" w14:textId="77777777" w:rsidR="00EF09E3" w:rsidRPr="00474D79" w:rsidRDefault="00EF09E3" w:rsidP="00FD3EF9">
      <w:pPr>
        <w:spacing w:after="0" w:line="240" w:lineRule="auto"/>
        <w:jc w:val="both"/>
        <w:rPr>
          <w:rFonts w:ascii="Garamond" w:hAnsi="Garamond" w:cs="Times New Roman"/>
          <w:sz w:val="24"/>
          <w:szCs w:val="24"/>
        </w:rPr>
      </w:pPr>
    </w:p>
    <w:p w14:paraId="6E250715" w14:textId="49108F08" w:rsidR="00EF09E3" w:rsidRPr="00474D79" w:rsidRDefault="00EF09E3" w:rsidP="00D20524">
      <w:pPr>
        <w:pStyle w:val="TEKSTIIII"/>
        <w:rPr>
          <w:sz w:val="22"/>
        </w:rPr>
      </w:pPr>
      <w:r w:rsidRPr="00474D79">
        <w:rPr>
          <w:sz w:val="22"/>
        </w:rPr>
        <w:t>Parimet për kategorizimin e linjave të biznesit</w:t>
      </w:r>
      <w:r w:rsidR="00C06FE1" w:rsidRPr="00474D79">
        <w:rPr>
          <w:sz w:val="22"/>
        </w:rPr>
        <w:t xml:space="preserve"> sipas aneksit nr.</w:t>
      </w:r>
      <w:r w:rsidR="002F4A24">
        <w:rPr>
          <w:sz w:val="22"/>
        </w:rPr>
        <w:t xml:space="preserve"> </w:t>
      </w:r>
      <w:r w:rsidR="00C06FE1" w:rsidRPr="00474D79">
        <w:rPr>
          <w:sz w:val="22"/>
        </w:rPr>
        <w:t>14 të kësaj rregulloreje</w:t>
      </w:r>
      <w:r w:rsidRPr="00474D79">
        <w:rPr>
          <w:sz w:val="22"/>
        </w:rPr>
        <w:t xml:space="preserve"> janë: </w:t>
      </w:r>
    </w:p>
    <w:p w14:paraId="6E250716" w14:textId="1B4BFAF4" w:rsidR="00EF09E3" w:rsidRPr="00474D79" w:rsidRDefault="00D20524" w:rsidP="00D20524">
      <w:pPr>
        <w:pStyle w:val="TEKSTIIII"/>
        <w:rPr>
          <w:sz w:val="22"/>
        </w:rPr>
      </w:pPr>
      <w:r w:rsidRPr="00474D79">
        <w:rPr>
          <w:sz w:val="22"/>
        </w:rPr>
        <w:t xml:space="preserve">a) </w:t>
      </w:r>
      <w:r w:rsidR="00EF09E3" w:rsidRPr="00474D79">
        <w:rPr>
          <w:sz w:val="22"/>
        </w:rPr>
        <w:t>të gjitha veprimtaritë duhet të kategorizohen/përfshihen plotësisht në linjat e biznesit të përcaktuara në aneksin nr.</w:t>
      </w:r>
      <w:r w:rsidR="002F4A24">
        <w:rPr>
          <w:sz w:val="22"/>
        </w:rPr>
        <w:t xml:space="preserve"> </w:t>
      </w:r>
      <w:r w:rsidR="00EF09E3" w:rsidRPr="00474D79">
        <w:rPr>
          <w:sz w:val="22"/>
        </w:rPr>
        <w:t>14;</w:t>
      </w:r>
    </w:p>
    <w:p w14:paraId="6E250717" w14:textId="733C8380" w:rsidR="00EF09E3" w:rsidRPr="00474D79" w:rsidRDefault="00D20524" w:rsidP="00D20524">
      <w:pPr>
        <w:pStyle w:val="TEKSTIIII"/>
        <w:rPr>
          <w:sz w:val="22"/>
        </w:rPr>
      </w:pPr>
      <w:r w:rsidRPr="00474D79">
        <w:rPr>
          <w:sz w:val="22"/>
        </w:rPr>
        <w:t xml:space="preserve">b) </w:t>
      </w:r>
      <w:r w:rsidR="00EF09E3" w:rsidRPr="00474D79">
        <w:rPr>
          <w:sz w:val="22"/>
        </w:rPr>
        <w:t>çdo veprimtari e cila nuk mund të kategorizohet lehtë në kuadrin e linjave të biznesit, por që përbën një funksion ndihmës për një veprimtari të përfshirë në këtë kuadër linjash, duhet të përfshihet në atë linjë biznesi që mbështet. Subjekti duhet të vendosë kritere objektive për kategorizimin e veprimtarive, në rastin kur veprimtaria ndihmëse mbështet më shumë se një linjë biznesi;</w:t>
      </w:r>
    </w:p>
    <w:p w14:paraId="6E250718" w14:textId="0F89E540" w:rsidR="00EF09E3" w:rsidRPr="00474D79" w:rsidRDefault="00D20524" w:rsidP="00D20524">
      <w:pPr>
        <w:pStyle w:val="TEKSTIIII"/>
        <w:rPr>
          <w:sz w:val="22"/>
        </w:rPr>
      </w:pPr>
      <w:r w:rsidRPr="00474D79">
        <w:rPr>
          <w:sz w:val="22"/>
        </w:rPr>
        <w:t xml:space="preserve">c) </w:t>
      </w:r>
      <w:r w:rsidR="00EF09E3" w:rsidRPr="00474D79">
        <w:rPr>
          <w:sz w:val="22"/>
        </w:rPr>
        <w:t xml:space="preserve">nëse një veprimtari nuk mund të kategorizohet në një linjë të veçantë biznesi, subjekti duhet të përdorë njërën nga linjat e biznesit, siç veprohet në rastin e veprimtarive ndihmëse; </w:t>
      </w:r>
    </w:p>
    <w:p w14:paraId="6E250719" w14:textId="47CBD1E5" w:rsidR="00EF09E3" w:rsidRPr="00474D79" w:rsidRDefault="00D20524" w:rsidP="00D20524">
      <w:pPr>
        <w:pStyle w:val="TEKSTIIII"/>
        <w:rPr>
          <w:sz w:val="22"/>
        </w:rPr>
      </w:pPr>
      <w:r w:rsidRPr="00474D79">
        <w:rPr>
          <w:sz w:val="22"/>
        </w:rPr>
        <w:t xml:space="preserve">d) </w:t>
      </w:r>
      <w:r w:rsidR="00EF09E3" w:rsidRPr="00474D79">
        <w:rPr>
          <w:sz w:val="22"/>
        </w:rPr>
        <w:t>kategorizimi i veprimtarive në linjat e biznesit, për qëllime të rrezikut operacional, duhet të jetë në përputhje me kategoritë e përdorura për klasifikimin e aktiveve sipas rrezikut të kredisë dhe rreziqeve të tregut;</w:t>
      </w:r>
    </w:p>
    <w:p w14:paraId="20F6C2AC" w14:textId="36AA042E" w:rsidR="00D20524" w:rsidRPr="00474D79" w:rsidRDefault="00D20524" w:rsidP="00D20524">
      <w:pPr>
        <w:pStyle w:val="TEKSTIIII"/>
        <w:rPr>
          <w:b/>
          <w:sz w:val="22"/>
        </w:rPr>
      </w:pPr>
      <w:r w:rsidRPr="00474D79">
        <w:rPr>
          <w:sz w:val="22"/>
        </w:rPr>
        <w:t xml:space="preserve">e) </w:t>
      </w:r>
      <w:r w:rsidR="00EF09E3" w:rsidRPr="00474D79">
        <w:rPr>
          <w:sz w:val="22"/>
        </w:rPr>
        <w:t>procesi i kategorizimit të veprimtarive sipas linjave të biznesit duhet të jetë subjekt i shqyrtimit të pavarur të kontrollit të brendshëm</w:t>
      </w:r>
    </w:p>
    <w:p w14:paraId="6E25071A" w14:textId="1B6D552B" w:rsidR="00EF09E3" w:rsidRPr="00474D79" w:rsidRDefault="00EF09E3" w:rsidP="00D20524">
      <w:pPr>
        <w:spacing w:after="0" w:line="240" w:lineRule="auto"/>
        <w:jc w:val="both"/>
        <w:rPr>
          <w:rFonts w:ascii="Garamond" w:hAnsi="Garamond" w:cs="Times New Roman"/>
          <w:b/>
          <w:sz w:val="24"/>
          <w:szCs w:val="24"/>
        </w:rPr>
      </w:pPr>
    </w:p>
    <w:p w14:paraId="4C690BDE" w14:textId="77777777" w:rsidR="00D20524" w:rsidRPr="00474D79" w:rsidRDefault="00D20524" w:rsidP="00D20524">
      <w:pPr>
        <w:spacing w:after="0" w:line="240" w:lineRule="auto"/>
        <w:jc w:val="both"/>
        <w:rPr>
          <w:rFonts w:ascii="Garamond" w:hAnsi="Garamond" w:cs="Times New Roman"/>
          <w:b/>
          <w:sz w:val="24"/>
          <w:szCs w:val="24"/>
        </w:rPr>
      </w:pPr>
    </w:p>
    <w:p w14:paraId="6E25071B" w14:textId="2BC942D1" w:rsidR="00EF09E3" w:rsidRPr="002F4A24" w:rsidRDefault="002F4A24" w:rsidP="002F4A24">
      <w:pPr>
        <w:spacing w:after="0" w:line="240" w:lineRule="auto"/>
        <w:jc w:val="center"/>
        <w:rPr>
          <w:rFonts w:ascii="Garamond" w:hAnsi="Garamond" w:cs="Times New Roman"/>
          <w:sz w:val="24"/>
          <w:szCs w:val="24"/>
        </w:rPr>
      </w:pPr>
      <w:r w:rsidRPr="002F4A24">
        <w:rPr>
          <w:rFonts w:ascii="Garamond" w:hAnsi="Garamond" w:cs="Times New Roman"/>
          <w:sz w:val="24"/>
          <w:szCs w:val="24"/>
        </w:rPr>
        <w:t>ANEKS NR. 15</w:t>
      </w:r>
    </w:p>
    <w:p w14:paraId="6E25071C" w14:textId="14701B05" w:rsidR="00EF09E3" w:rsidRPr="002F4A24" w:rsidRDefault="002F4A24" w:rsidP="002F4A24">
      <w:pPr>
        <w:spacing w:after="0" w:line="240" w:lineRule="auto"/>
        <w:jc w:val="center"/>
        <w:rPr>
          <w:rFonts w:ascii="Garamond" w:hAnsi="Garamond" w:cs="Times New Roman"/>
          <w:sz w:val="24"/>
          <w:szCs w:val="24"/>
        </w:rPr>
      </w:pPr>
      <w:r w:rsidRPr="002F4A24">
        <w:rPr>
          <w:rFonts w:ascii="Garamond" w:hAnsi="Garamond" w:cs="Times New Roman"/>
          <w:sz w:val="24"/>
          <w:szCs w:val="24"/>
        </w:rPr>
        <w:t>KLASIFIKIMI I NGJARJES SIPAS EFEKTIT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7845"/>
      </w:tblGrid>
      <w:tr w:rsidR="00EF09E3" w:rsidRPr="00474D79" w14:paraId="6E25071F" w14:textId="77777777" w:rsidTr="00FD3EF9">
        <w:tc>
          <w:tcPr>
            <w:tcW w:w="455" w:type="pct"/>
            <w:shd w:val="clear" w:color="auto" w:fill="auto"/>
            <w:vAlign w:val="center"/>
          </w:tcPr>
          <w:p w14:paraId="6E25071D" w14:textId="77777777" w:rsidR="00EF09E3" w:rsidRPr="00474D79" w:rsidRDefault="00EF09E3" w:rsidP="00FD3EF9">
            <w:pPr>
              <w:spacing w:after="0" w:line="240" w:lineRule="auto"/>
              <w:jc w:val="both"/>
              <w:rPr>
                <w:rFonts w:ascii="Garamond" w:eastAsia="Times New Roman" w:hAnsi="Garamond" w:cs="Times New Roman"/>
                <w:b/>
                <w:sz w:val="18"/>
              </w:rPr>
            </w:pPr>
            <w:r w:rsidRPr="00474D79">
              <w:rPr>
                <w:rFonts w:ascii="Garamond" w:eastAsia="Times New Roman" w:hAnsi="Garamond" w:cs="Times New Roman"/>
                <w:b/>
                <w:sz w:val="18"/>
              </w:rPr>
              <w:t>Kodi</w:t>
            </w:r>
          </w:p>
        </w:tc>
        <w:tc>
          <w:tcPr>
            <w:tcW w:w="4545" w:type="pct"/>
            <w:shd w:val="clear" w:color="auto" w:fill="auto"/>
            <w:vAlign w:val="center"/>
          </w:tcPr>
          <w:p w14:paraId="6E25071E" w14:textId="77777777" w:rsidR="00EF09E3" w:rsidRPr="00474D79" w:rsidRDefault="00EF09E3" w:rsidP="00FD3EF9">
            <w:pPr>
              <w:spacing w:after="0" w:line="240" w:lineRule="auto"/>
              <w:jc w:val="both"/>
              <w:rPr>
                <w:rFonts w:ascii="Garamond" w:eastAsia="Times New Roman" w:hAnsi="Garamond" w:cs="Times New Roman"/>
                <w:b/>
                <w:sz w:val="18"/>
              </w:rPr>
            </w:pPr>
            <w:r w:rsidRPr="00474D79">
              <w:rPr>
                <w:rFonts w:ascii="Garamond" w:eastAsia="Times New Roman" w:hAnsi="Garamond" w:cs="Times New Roman"/>
                <w:b/>
                <w:sz w:val="18"/>
              </w:rPr>
              <w:t>Efekti financiar</w:t>
            </w:r>
          </w:p>
        </w:tc>
      </w:tr>
      <w:tr w:rsidR="00EF09E3" w:rsidRPr="00474D79" w14:paraId="6E250722" w14:textId="77777777" w:rsidTr="00FD3EF9">
        <w:tc>
          <w:tcPr>
            <w:tcW w:w="455" w:type="pct"/>
            <w:shd w:val="clear" w:color="auto" w:fill="auto"/>
            <w:vAlign w:val="center"/>
          </w:tcPr>
          <w:p w14:paraId="6E250720"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ET1</w:t>
            </w:r>
          </w:p>
        </w:tc>
        <w:tc>
          <w:tcPr>
            <w:tcW w:w="4545" w:type="pct"/>
            <w:shd w:val="clear" w:color="auto" w:fill="auto"/>
            <w:vAlign w:val="center"/>
          </w:tcPr>
          <w:p w14:paraId="6E250721"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Humbje efektive</w:t>
            </w:r>
          </w:p>
        </w:tc>
      </w:tr>
      <w:tr w:rsidR="00EF09E3" w:rsidRPr="00474D79" w14:paraId="6E250725" w14:textId="77777777" w:rsidTr="00FD3EF9">
        <w:tc>
          <w:tcPr>
            <w:tcW w:w="455" w:type="pct"/>
            <w:shd w:val="clear" w:color="auto" w:fill="auto"/>
            <w:vAlign w:val="center"/>
          </w:tcPr>
          <w:p w14:paraId="6E250723"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ET2</w:t>
            </w:r>
          </w:p>
        </w:tc>
        <w:tc>
          <w:tcPr>
            <w:tcW w:w="4545" w:type="pct"/>
            <w:shd w:val="clear" w:color="auto" w:fill="auto"/>
            <w:vAlign w:val="center"/>
          </w:tcPr>
          <w:p w14:paraId="6E250724"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Vendosje provigjionesh</w:t>
            </w:r>
          </w:p>
        </w:tc>
      </w:tr>
      <w:tr w:rsidR="00EF09E3" w:rsidRPr="00474D79" w14:paraId="6E250728" w14:textId="77777777" w:rsidTr="00FD3EF9">
        <w:tc>
          <w:tcPr>
            <w:tcW w:w="455" w:type="pct"/>
            <w:shd w:val="clear" w:color="auto" w:fill="auto"/>
            <w:vAlign w:val="center"/>
          </w:tcPr>
          <w:p w14:paraId="6E250726"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ET3</w:t>
            </w:r>
          </w:p>
        </w:tc>
        <w:tc>
          <w:tcPr>
            <w:tcW w:w="4545" w:type="pct"/>
            <w:shd w:val="clear" w:color="auto" w:fill="auto"/>
            <w:vAlign w:val="center"/>
          </w:tcPr>
          <w:p w14:paraId="6E250727"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Humbje të mbetura pezull (</w:t>
            </w:r>
            <w:r w:rsidRPr="00474D79">
              <w:rPr>
                <w:rFonts w:ascii="Garamond" w:eastAsia="Times New Roman" w:hAnsi="Garamond" w:cs="Times New Roman"/>
                <w:i/>
                <w:sz w:val="18"/>
              </w:rPr>
              <w:t>pending losses</w:t>
            </w:r>
            <w:r w:rsidRPr="00474D79">
              <w:rPr>
                <w:rFonts w:ascii="Garamond" w:eastAsia="Times New Roman" w:hAnsi="Garamond" w:cs="Times New Roman"/>
                <w:sz w:val="18"/>
              </w:rPr>
              <w:t>)*</w:t>
            </w:r>
          </w:p>
        </w:tc>
      </w:tr>
      <w:tr w:rsidR="00EF09E3" w:rsidRPr="00474D79" w14:paraId="6E25072B" w14:textId="77777777" w:rsidTr="00FD3EF9">
        <w:tc>
          <w:tcPr>
            <w:tcW w:w="455" w:type="pct"/>
            <w:shd w:val="clear" w:color="auto" w:fill="auto"/>
            <w:vAlign w:val="center"/>
          </w:tcPr>
          <w:p w14:paraId="6E250729"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ET4</w:t>
            </w:r>
          </w:p>
        </w:tc>
        <w:tc>
          <w:tcPr>
            <w:tcW w:w="4545" w:type="pct"/>
            <w:shd w:val="clear" w:color="auto" w:fill="auto"/>
            <w:vAlign w:val="center"/>
          </w:tcPr>
          <w:p w14:paraId="6E25072A"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hAnsi="Garamond" w:cs="Times New Roman"/>
                <w:sz w:val="18"/>
              </w:rPr>
              <w:t xml:space="preserve">Humbje të pamaterializuara </w:t>
            </w:r>
            <w:r w:rsidRPr="00474D79">
              <w:rPr>
                <w:rFonts w:ascii="Garamond" w:eastAsia="Times New Roman" w:hAnsi="Garamond" w:cs="Times New Roman"/>
                <w:sz w:val="18"/>
              </w:rPr>
              <w:t>(</w:t>
            </w:r>
            <w:r w:rsidRPr="00474D79">
              <w:rPr>
                <w:rFonts w:ascii="Garamond" w:eastAsia="Times New Roman" w:hAnsi="Garamond" w:cs="Times New Roman"/>
                <w:i/>
                <w:sz w:val="18"/>
              </w:rPr>
              <w:t>near misses</w:t>
            </w:r>
            <w:r w:rsidRPr="00474D79">
              <w:rPr>
                <w:rFonts w:ascii="Garamond" w:eastAsia="Times New Roman" w:hAnsi="Garamond" w:cs="Times New Roman"/>
                <w:sz w:val="18"/>
              </w:rPr>
              <w:t>)*</w:t>
            </w:r>
          </w:p>
        </w:tc>
      </w:tr>
      <w:tr w:rsidR="00EF09E3" w:rsidRPr="00474D79" w14:paraId="6E25072E" w14:textId="77777777" w:rsidTr="00FD3EF9">
        <w:tc>
          <w:tcPr>
            <w:tcW w:w="455" w:type="pct"/>
            <w:shd w:val="clear" w:color="auto" w:fill="auto"/>
            <w:vAlign w:val="center"/>
          </w:tcPr>
          <w:p w14:paraId="6E25072C"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ET5</w:t>
            </w:r>
          </w:p>
        </w:tc>
        <w:tc>
          <w:tcPr>
            <w:tcW w:w="4545" w:type="pct"/>
            <w:shd w:val="clear" w:color="auto" w:fill="auto"/>
            <w:vAlign w:val="center"/>
          </w:tcPr>
          <w:p w14:paraId="6E25072D"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Humbje në kohë (</w:t>
            </w:r>
            <w:r w:rsidRPr="00474D79">
              <w:rPr>
                <w:rFonts w:ascii="Garamond" w:eastAsia="Times New Roman" w:hAnsi="Garamond" w:cs="Times New Roman"/>
                <w:i/>
                <w:sz w:val="18"/>
              </w:rPr>
              <w:t>timing losses</w:t>
            </w:r>
            <w:r w:rsidRPr="00474D79">
              <w:rPr>
                <w:rFonts w:ascii="Garamond" w:eastAsia="Times New Roman" w:hAnsi="Garamond" w:cs="Times New Roman"/>
                <w:sz w:val="18"/>
              </w:rPr>
              <w:t>)*</w:t>
            </w:r>
          </w:p>
        </w:tc>
      </w:tr>
      <w:tr w:rsidR="00EF09E3" w:rsidRPr="00474D79" w14:paraId="6E250731" w14:textId="77777777" w:rsidTr="00FD3EF9">
        <w:tc>
          <w:tcPr>
            <w:tcW w:w="455" w:type="pct"/>
            <w:shd w:val="clear" w:color="auto" w:fill="auto"/>
            <w:vAlign w:val="center"/>
          </w:tcPr>
          <w:p w14:paraId="6E25072F"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ET6</w:t>
            </w:r>
          </w:p>
        </w:tc>
        <w:tc>
          <w:tcPr>
            <w:tcW w:w="4545" w:type="pct"/>
            <w:shd w:val="clear" w:color="auto" w:fill="auto"/>
            <w:vAlign w:val="center"/>
          </w:tcPr>
          <w:p w14:paraId="6E250730" w14:textId="77777777" w:rsidR="00EF09E3" w:rsidRPr="00474D79" w:rsidRDefault="00EF09E3" w:rsidP="00FD3EF9">
            <w:pPr>
              <w:spacing w:after="0" w:line="240" w:lineRule="auto"/>
              <w:jc w:val="both"/>
              <w:rPr>
                <w:rFonts w:ascii="Garamond" w:eastAsia="Times New Roman" w:hAnsi="Garamond" w:cs="Times New Roman"/>
                <w:sz w:val="18"/>
              </w:rPr>
            </w:pPr>
            <w:r w:rsidRPr="00474D79">
              <w:rPr>
                <w:rFonts w:ascii="Garamond" w:eastAsia="Times New Roman" w:hAnsi="Garamond" w:cs="Times New Roman"/>
                <w:sz w:val="18"/>
              </w:rPr>
              <w:t>Kompensim*</w:t>
            </w:r>
          </w:p>
        </w:tc>
      </w:tr>
    </w:tbl>
    <w:p w14:paraId="6E250732" w14:textId="77777777" w:rsidR="00EF09E3" w:rsidRPr="00474D79" w:rsidRDefault="00EF09E3" w:rsidP="00FD3EF9">
      <w:pPr>
        <w:spacing w:after="0" w:line="240" w:lineRule="auto"/>
        <w:jc w:val="both"/>
        <w:rPr>
          <w:rFonts w:ascii="Garamond" w:hAnsi="Garamond" w:cs="Times New Roman"/>
          <w:i/>
          <w:sz w:val="20"/>
        </w:rPr>
      </w:pPr>
      <w:r w:rsidRPr="00474D79">
        <w:rPr>
          <w:rFonts w:ascii="Garamond" w:hAnsi="Garamond" w:cs="Times New Roman"/>
          <w:i/>
          <w:sz w:val="20"/>
        </w:rPr>
        <w:t>* Këto ngjarje do të raportohen në Bankën e Shqipërisë vetëm nëse janë vlerësuar si kritike nga vetë subjekti. Për sa i përket</w:t>
      </w:r>
      <w:r w:rsidR="00777106" w:rsidRPr="00474D79">
        <w:rPr>
          <w:rFonts w:ascii="Garamond" w:hAnsi="Garamond" w:cs="Times New Roman"/>
          <w:i/>
          <w:sz w:val="20"/>
        </w:rPr>
        <w:t xml:space="preserve"> rubrikës</w:t>
      </w:r>
      <w:r w:rsidRPr="00474D79">
        <w:rPr>
          <w:rFonts w:ascii="Garamond" w:hAnsi="Garamond" w:cs="Times New Roman"/>
          <w:i/>
          <w:sz w:val="20"/>
        </w:rPr>
        <w:t xml:space="preserve"> “Humbje në kohë (timing losses)”, në Bankën e Shqipërisë do të raportohen vetëm ato ngjarje të vlerësuara si kritike dhe që kanë prekur/kanë efekt financiar në pasqyrat e të ardhurave dhe shpenzimeve të dy ose më shumë viteve.</w:t>
      </w:r>
    </w:p>
    <w:p w14:paraId="6E250733" w14:textId="77777777" w:rsidR="00EF09E3" w:rsidRPr="00474D79" w:rsidRDefault="00EF09E3" w:rsidP="00FD3EF9">
      <w:pPr>
        <w:spacing w:after="0" w:line="240" w:lineRule="auto"/>
        <w:jc w:val="both"/>
        <w:rPr>
          <w:rFonts w:ascii="Garamond" w:hAnsi="Garamond" w:cs="Times New Roman"/>
          <w:b/>
          <w:sz w:val="24"/>
          <w:szCs w:val="24"/>
        </w:rPr>
      </w:pPr>
    </w:p>
    <w:p w14:paraId="6E250734" w14:textId="336F31E0" w:rsidR="00EF09E3" w:rsidRPr="00474D79" w:rsidRDefault="00EF09E3" w:rsidP="00FD3EF9">
      <w:pPr>
        <w:spacing w:after="0" w:line="240" w:lineRule="auto"/>
        <w:rPr>
          <w:rFonts w:ascii="Garamond" w:hAnsi="Garamond" w:cs="Times New Roman"/>
          <w:b/>
          <w:sz w:val="24"/>
          <w:szCs w:val="24"/>
        </w:rPr>
      </w:pPr>
    </w:p>
    <w:p w14:paraId="6E250735" w14:textId="48233CC8" w:rsidR="00EF09E3" w:rsidRPr="002F4A24" w:rsidRDefault="002F4A24" w:rsidP="002F4A24">
      <w:pPr>
        <w:spacing w:after="0" w:line="240" w:lineRule="auto"/>
        <w:jc w:val="center"/>
        <w:rPr>
          <w:rFonts w:ascii="Garamond" w:hAnsi="Garamond" w:cs="Times New Roman"/>
          <w:sz w:val="24"/>
          <w:szCs w:val="24"/>
        </w:rPr>
      </w:pPr>
      <w:r w:rsidRPr="002F4A24">
        <w:rPr>
          <w:rFonts w:ascii="Garamond" w:hAnsi="Garamond" w:cs="Times New Roman"/>
          <w:sz w:val="24"/>
          <w:szCs w:val="24"/>
        </w:rPr>
        <w:t>ANEKS NR. 16</w:t>
      </w:r>
    </w:p>
    <w:p w14:paraId="6E250736" w14:textId="7E957E82" w:rsidR="00EF09E3" w:rsidRPr="002F4A24" w:rsidRDefault="002F4A24" w:rsidP="002F4A24">
      <w:pPr>
        <w:spacing w:after="0" w:line="240" w:lineRule="auto"/>
        <w:jc w:val="center"/>
        <w:rPr>
          <w:rFonts w:ascii="Garamond" w:hAnsi="Garamond" w:cs="Times New Roman"/>
          <w:sz w:val="24"/>
          <w:szCs w:val="24"/>
        </w:rPr>
      </w:pPr>
      <w:r w:rsidRPr="002F4A24">
        <w:rPr>
          <w:rFonts w:ascii="Garamond" w:hAnsi="Garamond" w:cs="Times New Roman"/>
          <w:sz w:val="24"/>
          <w:szCs w:val="24"/>
        </w:rPr>
        <w:t>SHEMBULL I FORMULARIT STANDARD PËR RAPORTIMIN E NGJARJEVE TË RREZIKUT OPERACIONAL NGA PUNONJËSIT E SUBJEKTIT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65"/>
      </w:tblGrid>
      <w:tr w:rsidR="00EF09E3" w:rsidRPr="00474D79" w14:paraId="6E250739" w14:textId="77777777" w:rsidTr="00FD3EF9">
        <w:tc>
          <w:tcPr>
            <w:tcW w:w="3282" w:type="pct"/>
            <w:shd w:val="clear" w:color="auto" w:fill="auto"/>
            <w:vAlign w:val="center"/>
          </w:tcPr>
          <w:p w14:paraId="6E250737"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Emri i punonjësit që raporton ngjarjen</w:t>
            </w:r>
          </w:p>
        </w:tc>
        <w:tc>
          <w:tcPr>
            <w:tcW w:w="1718" w:type="pct"/>
            <w:shd w:val="clear" w:color="auto" w:fill="auto"/>
            <w:vAlign w:val="center"/>
          </w:tcPr>
          <w:p w14:paraId="6E250738"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3C" w14:textId="77777777" w:rsidTr="00FD3EF9">
        <w:tc>
          <w:tcPr>
            <w:tcW w:w="3282" w:type="pct"/>
            <w:shd w:val="clear" w:color="auto" w:fill="auto"/>
            <w:vAlign w:val="center"/>
          </w:tcPr>
          <w:p w14:paraId="6E25073A"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lastRenderedPageBreak/>
              <w:t>Struktura e punonjësit që raporton ngjarjen</w:t>
            </w:r>
          </w:p>
        </w:tc>
        <w:tc>
          <w:tcPr>
            <w:tcW w:w="1718" w:type="pct"/>
            <w:shd w:val="clear" w:color="auto" w:fill="auto"/>
            <w:vAlign w:val="center"/>
          </w:tcPr>
          <w:p w14:paraId="6E25073B"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3F" w14:textId="77777777" w:rsidTr="00FD3EF9">
        <w:tc>
          <w:tcPr>
            <w:tcW w:w="3282" w:type="pct"/>
            <w:shd w:val="clear" w:color="auto" w:fill="auto"/>
            <w:vAlign w:val="center"/>
          </w:tcPr>
          <w:p w14:paraId="6E25073D"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Përshkrimi i ngjarjes</w:t>
            </w:r>
          </w:p>
        </w:tc>
        <w:tc>
          <w:tcPr>
            <w:tcW w:w="1718" w:type="pct"/>
            <w:shd w:val="clear" w:color="auto" w:fill="auto"/>
            <w:vAlign w:val="center"/>
          </w:tcPr>
          <w:p w14:paraId="6E25073E"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42" w14:textId="77777777" w:rsidTr="00FD3EF9">
        <w:tc>
          <w:tcPr>
            <w:tcW w:w="3282" w:type="pct"/>
            <w:shd w:val="clear" w:color="auto" w:fill="auto"/>
            <w:vAlign w:val="center"/>
          </w:tcPr>
          <w:p w14:paraId="6E250740"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Vendndodhja e ngjarjes</w:t>
            </w:r>
          </w:p>
        </w:tc>
        <w:tc>
          <w:tcPr>
            <w:tcW w:w="1718" w:type="pct"/>
            <w:shd w:val="clear" w:color="auto" w:fill="auto"/>
            <w:vAlign w:val="center"/>
          </w:tcPr>
          <w:p w14:paraId="6E250741"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45" w14:textId="77777777" w:rsidTr="00FD3EF9">
        <w:tc>
          <w:tcPr>
            <w:tcW w:w="3282" w:type="pct"/>
            <w:shd w:val="clear" w:color="auto" w:fill="auto"/>
            <w:vAlign w:val="center"/>
          </w:tcPr>
          <w:p w14:paraId="6E250743"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Data e ndodhjes së ngjarjes</w:t>
            </w:r>
          </w:p>
        </w:tc>
        <w:tc>
          <w:tcPr>
            <w:tcW w:w="1718" w:type="pct"/>
            <w:shd w:val="clear" w:color="auto" w:fill="auto"/>
            <w:vAlign w:val="center"/>
          </w:tcPr>
          <w:p w14:paraId="6E250744"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48" w14:textId="77777777" w:rsidTr="00FD3EF9">
        <w:tc>
          <w:tcPr>
            <w:tcW w:w="3282" w:type="pct"/>
            <w:shd w:val="clear" w:color="auto" w:fill="auto"/>
            <w:vAlign w:val="center"/>
          </w:tcPr>
          <w:p w14:paraId="6E250746"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Data e zbulimit të ngjarjes</w:t>
            </w:r>
          </w:p>
        </w:tc>
        <w:tc>
          <w:tcPr>
            <w:tcW w:w="1718" w:type="pct"/>
            <w:shd w:val="clear" w:color="auto" w:fill="auto"/>
            <w:vAlign w:val="center"/>
          </w:tcPr>
          <w:p w14:paraId="6E250747"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4B" w14:textId="77777777" w:rsidTr="00FD3EF9">
        <w:tc>
          <w:tcPr>
            <w:tcW w:w="3282" w:type="pct"/>
            <w:shd w:val="clear" w:color="auto" w:fill="auto"/>
            <w:vAlign w:val="center"/>
          </w:tcPr>
          <w:p w14:paraId="6E250749"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Data e kontabilizimit të ngjarjes</w:t>
            </w:r>
          </w:p>
        </w:tc>
        <w:tc>
          <w:tcPr>
            <w:tcW w:w="1718" w:type="pct"/>
            <w:shd w:val="clear" w:color="auto" w:fill="auto"/>
            <w:vAlign w:val="center"/>
          </w:tcPr>
          <w:p w14:paraId="6E25074A"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4E" w14:textId="77777777" w:rsidTr="00FD3EF9">
        <w:tc>
          <w:tcPr>
            <w:tcW w:w="3282" w:type="pct"/>
            <w:shd w:val="clear" w:color="auto" w:fill="auto"/>
            <w:vAlign w:val="center"/>
          </w:tcPr>
          <w:p w14:paraId="6E25074C" w14:textId="77777777" w:rsidR="00EF09E3" w:rsidRPr="00474D79" w:rsidRDefault="00EF09E3" w:rsidP="00FD3EF9">
            <w:pPr>
              <w:spacing w:after="0" w:line="240" w:lineRule="auto"/>
              <w:jc w:val="both"/>
              <w:rPr>
                <w:rFonts w:ascii="Garamond" w:eastAsia="Times New Roman" w:hAnsi="Garamond" w:cs="Times New Roman"/>
                <w:sz w:val="20"/>
              </w:rPr>
            </w:pPr>
            <w:r w:rsidRPr="00474D79">
              <w:rPr>
                <w:rFonts w:ascii="Garamond" w:eastAsia="Times New Roman" w:hAnsi="Garamond" w:cs="Times New Roman"/>
                <w:sz w:val="20"/>
              </w:rPr>
              <w:t>Mënyra e zbulimit të ngjarjes (nga kontrolli, klientët, informuar nga punonjësit, të tjerë, duke specifikuar)</w:t>
            </w:r>
          </w:p>
        </w:tc>
        <w:tc>
          <w:tcPr>
            <w:tcW w:w="1718" w:type="pct"/>
            <w:shd w:val="clear" w:color="auto" w:fill="auto"/>
            <w:vAlign w:val="center"/>
          </w:tcPr>
          <w:p w14:paraId="6E25074D"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51" w14:textId="77777777" w:rsidTr="00FD3EF9">
        <w:tc>
          <w:tcPr>
            <w:tcW w:w="3282" w:type="pct"/>
            <w:shd w:val="clear" w:color="auto" w:fill="auto"/>
            <w:vAlign w:val="center"/>
          </w:tcPr>
          <w:p w14:paraId="6E25074F"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Shkaku</w:t>
            </w:r>
            <w:r w:rsidR="006352AF" w:rsidRPr="00474D79">
              <w:rPr>
                <w:rFonts w:ascii="Garamond" w:eastAsia="Times New Roman" w:hAnsi="Garamond" w:cs="Times New Roman"/>
                <w:sz w:val="20"/>
              </w:rPr>
              <w:t xml:space="preserve"> i ngjarjes</w:t>
            </w:r>
          </w:p>
        </w:tc>
        <w:tc>
          <w:tcPr>
            <w:tcW w:w="1718" w:type="pct"/>
            <w:shd w:val="clear" w:color="auto" w:fill="auto"/>
            <w:vAlign w:val="center"/>
          </w:tcPr>
          <w:p w14:paraId="6E250750"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54" w14:textId="77777777" w:rsidTr="00FD3EF9">
        <w:tc>
          <w:tcPr>
            <w:tcW w:w="3282" w:type="pct"/>
            <w:shd w:val="clear" w:color="auto" w:fill="auto"/>
            <w:vAlign w:val="center"/>
          </w:tcPr>
          <w:p w14:paraId="6E250752"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Vlera bruto e humbjes</w:t>
            </w:r>
          </w:p>
        </w:tc>
        <w:tc>
          <w:tcPr>
            <w:tcW w:w="1718" w:type="pct"/>
            <w:shd w:val="clear" w:color="auto" w:fill="auto"/>
            <w:vAlign w:val="center"/>
          </w:tcPr>
          <w:p w14:paraId="6E250753"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57" w14:textId="77777777" w:rsidTr="00FD3EF9">
        <w:tc>
          <w:tcPr>
            <w:tcW w:w="3282" w:type="pct"/>
            <w:shd w:val="clear" w:color="auto" w:fill="auto"/>
            <w:vAlign w:val="center"/>
          </w:tcPr>
          <w:p w14:paraId="6E250755"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Vlera e mundshme e rikuperimit</w:t>
            </w:r>
          </w:p>
        </w:tc>
        <w:tc>
          <w:tcPr>
            <w:tcW w:w="1718" w:type="pct"/>
            <w:shd w:val="clear" w:color="auto" w:fill="auto"/>
            <w:vAlign w:val="center"/>
          </w:tcPr>
          <w:p w14:paraId="6E250756"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5A" w14:textId="77777777" w:rsidTr="00FD3EF9">
        <w:trPr>
          <w:trHeight w:val="557"/>
        </w:trPr>
        <w:tc>
          <w:tcPr>
            <w:tcW w:w="3282" w:type="pct"/>
            <w:shd w:val="clear" w:color="auto" w:fill="auto"/>
            <w:vAlign w:val="center"/>
          </w:tcPr>
          <w:p w14:paraId="6E250758"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Mënyra e rikuperimit (sigurimi, klienti, kundërpartia, tjetër, duke e specifikuar)</w:t>
            </w:r>
          </w:p>
        </w:tc>
        <w:tc>
          <w:tcPr>
            <w:tcW w:w="1718" w:type="pct"/>
            <w:shd w:val="clear" w:color="auto" w:fill="auto"/>
            <w:vAlign w:val="center"/>
          </w:tcPr>
          <w:p w14:paraId="6E250759"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5D" w14:textId="77777777" w:rsidTr="00FD3EF9">
        <w:tc>
          <w:tcPr>
            <w:tcW w:w="3282" w:type="pct"/>
            <w:shd w:val="clear" w:color="auto" w:fill="auto"/>
            <w:vAlign w:val="center"/>
          </w:tcPr>
          <w:p w14:paraId="6E25075B"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Vlera e rikuperuar</w:t>
            </w:r>
          </w:p>
        </w:tc>
        <w:tc>
          <w:tcPr>
            <w:tcW w:w="1718" w:type="pct"/>
            <w:shd w:val="clear" w:color="auto" w:fill="auto"/>
            <w:vAlign w:val="center"/>
          </w:tcPr>
          <w:p w14:paraId="6E25075C"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60" w14:textId="77777777" w:rsidTr="00FD3EF9">
        <w:tc>
          <w:tcPr>
            <w:tcW w:w="3282" w:type="pct"/>
            <w:shd w:val="clear" w:color="auto" w:fill="auto"/>
            <w:vAlign w:val="center"/>
          </w:tcPr>
          <w:p w14:paraId="6E25075E"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Data e rikuperimit</w:t>
            </w:r>
          </w:p>
        </w:tc>
        <w:tc>
          <w:tcPr>
            <w:tcW w:w="1718" w:type="pct"/>
            <w:shd w:val="clear" w:color="auto" w:fill="auto"/>
            <w:vAlign w:val="center"/>
          </w:tcPr>
          <w:p w14:paraId="6E25075F"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63" w14:textId="77777777" w:rsidTr="00FD3EF9">
        <w:tc>
          <w:tcPr>
            <w:tcW w:w="3282" w:type="pct"/>
            <w:shd w:val="clear" w:color="auto" w:fill="auto"/>
            <w:vAlign w:val="center"/>
          </w:tcPr>
          <w:p w14:paraId="6E250761"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Vlera neto e humbjes</w:t>
            </w:r>
          </w:p>
        </w:tc>
        <w:tc>
          <w:tcPr>
            <w:tcW w:w="1718" w:type="pct"/>
            <w:shd w:val="clear" w:color="auto" w:fill="auto"/>
            <w:vAlign w:val="center"/>
          </w:tcPr>
          <w:p w14:paraId="6E250762"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66" w14:textId="77777777" w:rsidTr="00FD3EF9">
        <w:tc>
          <w:tcPr>
            <w:tcW w:w="3282" w:type="pct"/>
            <w:shd w:val="clear" w:color="auto" w:fill="auto"/>
            <w:vAlign w:val="center"/>
          </w:tcPr>
          <w:p w14:paraId="6E250764" w14:textId="77777777" w:rsidR="00EF09E3" w:rsidRPr="00474D79" w:rsidRDefault="00EF09E3" w:rsidP="00FD3EF9">
            <w:pPr>
              <w:spacing w:after="0" w:line="240" w:lineRule="auto"/>
              <w:jc w:val="both"/>
              <w:rPr>
                <w:rFonts w:ascii="Garamond" w:eastAsia="Times New Roman" w:hAnsi="Garamond" w:cs="Times New Roman"/>
                <w:sz w:val="20"/>
              </w:rPr>
            </w:pPr>
            <w:r w:rsidRPr="00474D79">
              <w:rPr>
                <w:rFonts w:ascii="Garamond" w:eastAsia="Times New Roman" w:hAnsi="Garamond" w:cs="Times New Roman"/>
                <w:sz w:val="20"/>
              </w:rPr>
              <w:t>Efekti financiar (humbje efektive, humbje të pamaterializuara, etj.)</w:t>
            </w:r>
          </w:p>
        </w:tc>
        <w:tc>
          <w:tcPr>
            <w:tcW w:w="1718" w:type="pct"/>
            <w:shd w:val="clear" w:color="auto" w:fill="auto"/>
            <w:vAlign w:val="center"/>
          </w:tcPr>
          <w:p w14:paraId="6E250765"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69" w14:textId="77777777" w:rsidTr="00FD3EF9">
        <w:tc>
          <w:tcPr>
            <w:tcW w:w="3282" w:type="pct"/>
            <w:shd w:val="clear" w:color="auto" w:fill="auto"/>
            <w:vAlign w:val="center"/>
          </w:tcPr>
          <w:p w14:paraId="6E250767"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Lloji i ngjarjes (sipas anekseve nr.6-13)</w:t>
            </w:r>
          </w:p>
        </w:tc>
        <w:tc>
          <w:tcPr>
            <w:tcW w:w="1718" w:type="pct"/>
            <w:shd w:val="clear" w:color="auto" w:fill="auto"/>
            <w:vAlign w:val="center"/>
          </w:tcPr>
          <w:p w14:paraId="6E250768"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6C" w14:textId="77777777" w:rsidTr="00FD3EF9">
        <w:tc>
          <w:tcPr>
            <w:tcW w:w="3282" w:type="pct"/>
            <w:shd w:val="clear" w:color="auto" w:fill="auto"/>
            <w:vAlign w:val="center"/>
          </w:tcPr>
          <w:p w14:paraId="6E25076A"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Linja e biznesit (sipas aneksit nr.14)</w:t>
            </w:r>
          </w:p>
        </w:tc>
        <w:tc>
          <w:tcPr>
            <w:tcW w:w="1718" w:type="pct"/>
            <w:shd w:val="clear" w:color="auto" w:fill="auto"/>
            <w:vAlign w:val="center"/>
          </w:tcPr>
          <w:p w14:paraId="6E25076B" w14:textId="77777777" w:rsidR="00EF09E3" w:rsidRPr="00474D79" w:rsidRDefault="00EF09E3" w:rsidP="00FD3EF9">
            <w:pPr>
              <w:spacing w:after="0" w:line="240" w:lineRule="auto"/>
              <w:rPr>
                <w:rFonts w:ascii="Garamond" w:eastAsia="Times New Roman" w:hAnsi="Garamond" w:cs="Times New Roman"/>
                <w:sz w:val="20"/>
              </w:rPr>
            </w:pPr>
          </w:p>
        </w:tc>
      </w:tr>
      <w:tr w:rsidR="00EF09E3" w:rsidRPr="00474D79" w14:paraId="6E25076F" w14:textId="77777777" w:rsidTr="00FD3EF9">
        <w:tc>
          <w:tcPr>
            <w:tcW w:w="3282" w:type="pct"/>
            <w:shd w:val="clear" w:color="auto" w:fill="auto"/>
            <w:vAlign w:val="center"/>
          </w:tcPr>
          <w:p w14:paraId="6E25076D" w14:textId="77777777" w:rsidR="00EF09E3" w:rsidRPr="00474D79" w:rsidRDefault="00EF09E3" w:rsidP="00FD3EF9">
            <w:pPr>
              <w:spacing w:after="0" w:line="240" w:lineRule="auto"/>
              <w:rPr>
                <w:rFonts w:ascii="Garamond" w:eastAsia="Times New Roman" w:hAnsi="Garamond" w:cs="Times New Roman"/>
                <w:sz w:val="20"/>
              </w:rPr>
            </w:pPr>
            <w:r w:rsidRPr="00474D79">
              <w:rPr>
                <w:rFonts w:ascii="Garamond" w:eastAsia="Times New Roman" w:hAnsi="Garamond" w:cs="Times New Roman"/>
                <w:sz w:val="20"/>
              </w:rPr>
              <w:t>Masat e marra</w:t>
            </w:r>
          </w:p>
        </w:tc>
        <w:tc>
          <w:tcPr>
            <w:tcW w:w="1718" w:type="pct"/>
            <w:shd w:val="clear" w:color="auto" w:fill="auto"/>
            <w:vAlign w:val="center"/>
          </w:tcPr>
          <w:p w14:paraId="6E25076E" w14:textId="77777777" w:rsidR="00EF09E3" w:rsidRPr="00474D79" w:rsidRDefault="00EF09E3" w:rsidP="00FD3EF9">
            <w:pPr>
              <w:spacing w:after="0" w:line="240" w:lineRule="auto"/>
              <w:rPr>
                <w:rFonts w:ascii="Garamond" w:eastAsia="Times New Roman" w:hAnsi="Garamond" w:cs="Times New Roman"/>
                <w:sz w:val="20"/>
              </w:rPr>
            </w:pPr>
          </w:p>
        </w:tc>
      </w:tr>
    </w:tbl>
    <w:p w14:paraId="6E250770" w14:textId="77777777" w:rsidR="00EF09E3" w:rsidRPr="00474D79" w:rsidRDefault="00EF09E3" w:rsidP="00FD3EF9">
      <w:pPr>
        <w:spacing w:after="0" w:line="240" w:lineRule="auto"/>
        <w:jc w:val="both"/>
        <w:rPr>
          <w:rFonts w:ascii="Garamond" w:hAnsi="Garamond" w:cs="Arial"/>
        </w:rPr>
      </w:pPr>
    </w:p>
    <w:p w14:paraId="6E250772" w14:textId="4BD93E0F" w:rsidR="00EF09E3" w:rsidRPr="00474D79" w:rsidRDefault="00EF09E3" w:rsidP="00FD3EF9">
      <w:pPr>
        <w:spacing w:after="0" w:line="240" w:lineRule="auto"/>
        <w:rPr>
          <w:rFonts w:ascii="Garamond" w:hAnsi="Garamond" w:cs="Times New Roman"/>
          <w:b/>
          <w:sz w:val="24"/>
          <w:szCs w:val="24"/>
        </w:rPr>
      </w:pPr>
    </w:p>
    <w:p w14:paraId="6E250773" w14:textId="2168DDD8" w:rsidR="00EF09E3" w:rsidRPr="002F4A24" w:rsidRDefault="002F4A24" w:rsidP="002F4A24">
      <w:pPr>
        <w:spacing w:after="0" w:line="240" w:lineRule="auto"/>
        <w:jc w:val="center"/>
        <w:rPr>
          <w:rFonts w:ascii="Garamond" w:hAnsi="Garamond" w:cs="Times New Roman"/>
          <w:sz w:val="24"/>
          <w:szCs w:val="24"/>
        </w:rPr>
      </w:pPr>
      <w:r w:rsidRPr="002F4A24">
        <w:rPr>
          <w:rFonts w:ascii="Garamond" w:hAnsi="Garamond" w:cs="Times New Roman"/>
          <w:sz w:val="24"/>
          <w:szCs w:val="24"/>
        </w:rPr>
        <w:t>ANEKS NR. 17</w:t>
      </w:r>
    </w:p>
    <w:p w14:paraId="6E250774" w14:textId="72A43A98" w:rsidR="00EF09E3" w:rsidRPr="002F4A24" w:rsidRDefault="002F4A24" w:rsidP="002F4A24">
      <w:pPr>
        <w:pStyle w:val="ListParagraph"/>
        <w:spacing w:after="0" w:line="240" w:lineRule="auto"/>
        <w:ind w:left="0"/>
        <w:jc w:val="center"/>
        <w:rPr>
          <w:rFonts w:ascii="Garamond" w:hAnsi="Garamond" w:cs="Times New Roman"/>
          <w:sz w:val="24"/>
          <w:szCs w:val="24"/>
        </w:rPr>
      </w:pPr>
      <w:r w:rsidRPr="002F4A24">
        <w:rPr>
          <w:rFonts w:ascii="Garamond" w:hAnsi="Garamond" w:cs="Times New Roman"/>
          <w:sz w:val="24"/>
          <w:szCs w:val="24"/>
        </w:rPr>
        <w:t>NË VIJIM JEPEN DISA SHEMBUJ TË NGJARJEVE KUFITARE (</w:t>
      </w:r>
      <w:r w:rsidRPr="002F4A24">
        <w:rPr>
          <w:rFonts w:ascii="Garamond" w:hAnsi="Garamond" w:cs="Times New Roman"/>
          <w:i/>
          <w:sz w:val="24"/>
          <w:szCs w:val="24"/>
        </w:rPr>
        <w:t>BOUNDARY EVENTS</w:t>
      </w:r>
      <w:r w:rsidRPr="002F4A24">
        <w:rPr>
          <w:rFonts w:ascii="Garamond" w:hAnsi="Garamond" w:cs="Times New Roman"/>
          <w:sz w:val="24"/>
          <w:szCs w:val="24"/>
        </w:rPr>
        <w:t>) TË LIDHURA ME RREZIKUN E KREDISË DHE TË TREGUT:</w:t>
      </w:r>
    </w:p>
    <w:p w14:paraId="6E250775" w14:textId="77777777" w:rsidR="00EF09E3" w:rsidRPr="00474D79" w:rsidRDefault="00EF09E3" w:rsidP="00D20524">
      <w:pPr>
        <w:pStyle w:val="TEKSTIIII"/>
      </w:pPr>
    </w:p>
    <w:p w14:paraId="6E250776" w14:textId="6FEBBC7D" w:rsidR="00EF09E3" w:rsidRPr="00474D79" w:rsidRDefault="00D20524" w:rsidP="00D20524">
      <w:pPr>
        <w:pStyle w:val="TEKSTIIII"/>
      </w:pPr>
      <w:r w:rsidRPr="00474D79">
        <w:t xml:space="preserve">1. </w:t>
      </w:r>
      <w:r w:rsidR="00EF09E3" w:rsidRPr="00474D79">
        <w:t>Mashtrim i brendshëm nëpërmjet falsifikimit të të dhënave të kredimarrësit (të dhënat personale, statusin e kredimarrësit, aftësinë paguese, etj.);</w:t>
      </w:r>
    </w:p>
    <w:p w14:paraId="6E250777" w14:textId="14C634EB" w:rsidR="00EF09E3" w:rsidRPr="00474D79" w:rsidRDefault="00D20524" w:rsidP="00D20524">
      <w:pPr>
        <w:pStyle w:val="TEKSTIIII"/>
      </w:pPr>
      <w:r w:rsidRPr="00474D79">
        <w:t xml:space="preserve">2. </w:t>
      </w:r>
      <w:r w:rsidR="00EF09E3" w:rsidRPr="00474D79">
        <w:t>Aprovim i kredive tek persona të cilët nuk ekzistojnë;</w:t>
      </w:r>
    </w:p>
    <w:p w14:paraId="6E250778" w14:textId="6C79D78F" w:rsidR="00EF09E3" w:rsidRPr="00474D79" w:rsidRDefault="00D20524" w:rsidP="00D20524">
      <w:pPr>
        <w:pStyle w:val="TEKSTIIII"/>
      </w:pPr>
      <w:r w:rsidRPr="00474D79">
        <w:t xml:space="preserve">3. </w:t>
      </w:r>
      <w:r w:rsidR="00EF09E3" w:rsidRPr="00474D79">
        <w:t>Vjedhje e identitetit të klientit;</w:t>
      </w:r>
    </w:p>
    <w:p w14:paraId="6E250779" w14:textId="16BBD4CC" w:rsidR="00EF09E3" w:rsidRPr="00474D79" w:rsidRDefault="00D20524" w:rsidP="00D20524">
      <w:pPr>
        <w:pStyle w:val="TEKSTIIII"/>
      </w:pPr>
      <w:r w:rsidRPr="00474D79">
        <w:t xml:space="preserve">4. </w:t>
      </w:r>
      <w:r w:rsidR="00EF09E3" w:rsidRPr="00474D79">
        <w:t>Mbivlerësim i qëllimshëm i kolateralit nga ekspertë të jashtëm;</w:t>
      </w:r>
    </w:p>
    <w:p w14:paraId="6E25077A" w14:textId="6C8E2FD0" w:rsidR="00EF09E3" w:rsidRPr="00474D79" w:rsidRDefault="00D20524" w:rsidP="00D20524">
      <w:pPr>
        <w:pStyle w:val="TEKSTIIII"/>
      </w:pPr>
      <w:r w:rsidRPr="00474D79">
        <w:t xml:space="preserve">5. </w:t>
      </w:r>
      <w:r w:rsidR="00EF09E3" w:rsidRPr="00474D79">
        <w:t>Pamundësi për të mbledhur kreditë e këqija si pasojë e mungesës/mos arkivimit të saktë të dokumentacionit/kontratës;</w:t>
      </w:r>
    </w:p>
    <w:p w14:paraId="6E25077B" w14:textId="004D6A3F" w:rsidR="00EF09E3" w:rsidRPr="00474D79" w:rsidRDefault="00D20524" w:rsidP="00D20524">
      <w:pPr>
        <w:pStyle w:val="TEKSTIIII"/>
      </w:pPr>
      <w:r w:rsidRPr="00474D79">
        <w:t xml:space="preserve">6. </w:t>
      </w:r>
      <w:r w:rsidR="00EF09E3" w:rsidRPr="00474D79">
        <w:t>Kolaterale të pasiguruara;</w:t>
      </w:r>
    </w:p>
    <w:p w14:paraId="6E25077C" w14:textId="1884EEF0" w:rsidR="00EF09E3" w:rsidRPr="00474D79" w:rsidRDefault="00D20524" w:rsidP="00D20524">
      <w:pPr>
        <w:pStyle w:val="TEKSTIIII"/>
      </w:pPr>
      <w:r w:rsidRPr="00474D79">
        <w:t xml:space="preserve">7. </w:t>
      </w:r>
      <w:r w:rsidR="00EF09E3" w:rsidRPr="00474D79">
        <w:t>Thyerje e qëllimshme e limiteve të thesarit;</w:t>
      </w:r>
    </w:p>
    <w:p w14:paraId="6E25077D" w14:textId="34BB2095" w:rsidR="00EF09E3" w:rsidRPr="00474D79" w:rsidRDefault="00D20524" w:rsidP="00D20524">
      <w:pPr>
        <w:pStyle w:val="TEKSTIIII"/>
      </w:pPr>
      <w:r w:rsidRPr="00474D79">
        <w:t xml:space="preserve">8. </w:t>
      </w:r>
      <w:r w:rsidR="00EF09E3" w:rsidRPr="00474D79">
        <w:t>Gabime gjatë aktivitetit të thesarit (blerje e letrave me vlerë të gabuara, shitje në vend të blerjes, etj.).</w:t>
      </w:r>
    </w:p>
    <w:p w14:paraId="6E25077E" w14:textId="77777777" w:rsidR="00EF09E3" w:rsidRPr="00474D79" w:rsidRDefault="00EF09E3" w:rsidP="00FD3EF9">
      <w:pPr>
        <w:spacing w:after="0" w:line="240" w:lineRule="auto"/>
        <w:rPr>
          <w:rFonts w:ascii="Garamond" w:hAnsi="Garamond" w:cs="Arial"/>
        </w:rPr>
      </w:pPr>
    </w:p>
    <w:p w14:paraId="6E25077F" w14:textId="77777777" w:rsidR="00EF09E3" w:rsidRPr="00474D79" w:rsidRDefault="00EF09E3" w:rsidP="00FD3EF9">
      <w:pPr>
        <w:spacing w:after="0" w:line="240" w:lineRule="auto"/>
        <w:ind w:left="3600"/>
        <w:jc w:val="right"/>
        <w:rPr>
          <w:rFonts w:ascii="Garamond" w:hAnsi="Garamond" w:cs="Times New Roman"/>
          <w:b/>
          <w:sz w:val="24"/>
          <w:szCs w:val="24"/>
          <w:lang w:eastAsia="ja-JP"/>
        </w:rPr>
      </w:pPr>
    </w:p>
    <w:p w14:paraId="6E250780" w14:textId="77777777" w:rsidR="003223D9" w:rsidRPr="00474D79" w:rsidRDefault="003223D9" w:rsidP="00FD3EF9">
      <w:pPr>
        <w:spacing w:after="0" w:line="240" w:lineRule="auto"/>
        <w:ind w:left="3600"/>
        <w:jc w:val="right"/>
        <w:rPr>
          <w:rFonts w:ascii="Garamond" w:hAnsi="Garamond" w:cs="Times New Roman"/>
          <w:b/>
          <w:sz w:val="24"/>
          <w:szCs w:val="24"/>
          <w:lang w:eastAsia="ja-JP"/>
        </w:rPr>
      </w:pPr>
    </w:p>
    <w:sectPr w:rsidR="003223D9" w:rsidRPr="00474D79" w:rsidSect="000D3795">
      <w:footerReference w:type="default" r:id="rId17"/>
      <w:headerReference w:type="firs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E1336" w14:textId="77777777" w:rsidR="008B0ACF" w:rsidRDefault="008B0ACF" w:rsidP="006458E6">
      <w:pPr>
        <w:spacing w:after="0" w:line="240" w:lineRule="auto"/>
      </w:pPr>
      <w:r>
        <w:separator/>
      </w:r>
    </w:p>
  </w:endnote>
  <w:endnote w:type="continuationSeparator" w:id="0">
    <w:p w14:paraId="211488CC" w14:textId="77777777" w:rsidR="008B0ACF" w:rsidRDefault="008B0ACF" w:rsidP="006458E6">
      <w:pPr>
        <w:spacing w:after="0" w:line="240" w:lineRule="auto"/>
      </w:pPr>
      <w:r>
        <w:continuationSeparator/>
      </w:r>
    </w:p>
  </w:endnote>
  <w:endnote w:type="continuationNotice" w:id="1">
    <w:p w14:paraId="00833AF4" w14:textId="77777777" w:rsidR="008B0ACF" w:rsidRDefault="008B0A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7B2B6" w14:textId="77777777" w:rsidR="008B0ACF" w:rsidRDefault="008B0A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198989"/>
      <w:docPartObj>
        <w:docPartGallery w:val="Page Numbers (Bottom of Page)"/>
        <w:docPartUnique/>
      </w:docPartObj>
    </w:sdtPr>
    <w:sdtEndPr>
      <w:rPr>
        <w:noProof/>
      </w:rPr>
    </w:sdtEndPr>
    <w:sdtContent>
      <w:p w14:paraId="6E250788" w14:textId="77777777" w:rsidR="008B0ACF" w:rsidRDefault="008B0A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5D232" w14:textId="77777777" w:rsidR="008B0ACF" w:rsidRDefault="008B0A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4188577"/>
      <w:docPartObj>
        <w:docPartGallery w:val="Page Numbers (Bottom of Page)"/>
        <w:docPartUnique/>
      </w:docPartObj>
    </w:sdtPr>
    <w:sdtEndPr>
      <w:rPr>
        <w:noProof/>
      </w:rPr>
    </w:sdtEndPr>
    <w:sdtContent>
      <w:p w14:paraId="6E250790" w14:textId="77777777" w:rsidR="008B0ACF" w:rsidRDefault="008B0ACF">
        <w:pPr>
          <w:pStyle w:val="Footer"/>
          <w:jc w:val="right"/>
        </w:pPr>
        <w:r>
          <w:fldChar w:fldCharType="begin"/>
        </w:r>
        <w:r>
          <w:instrText xml:space="preserve"> PAGE   \* MERGEFORMAT </w:instrText>
        </w:r>
        <w:r>
          <w:fldChar w:fldCharType="separate"/>
        </w:r>
        <w:r>
          <w:rPr>
            <w:noProof/>
          </w:rPr>
          <w:t>44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A4506" w14:textId="77777777" w:rsidR="008B0ACF" w:rsidRDefault="008B0ACF" w:rsidP="006458E6">
      <w:pPr>
        <w:spacing w:after="0" w:line="240" w:lineRule="auto"/>
      </w:pPr>
      <w:r>
        <w:separator/>
      </w:r>
    </w:p>
  </w:footnote>
  <w:footnote w:type="continuationSeparator" w:id="0">
    <w:p w14:paraId="2E6270FC" w14:textId="77777777" w:rsidR="008B0ACF" w:rsidRDefault="008B0ACF" w:rsidP="006458E6">
      <w:pPr>
        <w:spacing w:after="0" w:line="240" w:lineRule="auto"/>
      </w:pPr>
      <w:r>
        <w:continuationSeparator/>
      </w:r>
    </w:p>
  </w:footnote>
  <w:footnote w:type="continuationNotice" w:id="1">
    <w:p w14:paraId="240C4B93" w14:textId="77777777" w:rsidR="008B0ACF" w:rsidRDefault="008B0ACF">
      <w:pPr>
        <w:spacing w:after="0" w:line="240" w:lineRule="auto"/>
      </w:pPr>
    </w:p>
  </w:footnote>
  <w:footnote w:id="2">
    <w:p w14:paraId="58D25418" w14:textId="42240334" w:rsidR="008B0ACF" w:rsidRPr="00FC66CD" w:rsidRDefault="008B0ACF" w:rsidP="00F1634C">
      <w:pPr>
        <w:pStyle w:val="FootnoteText"/>
        <w:jc w:val="both"/>
        <w:rPr>
          <w:rFonts w:ascii="Garamond" w:hAnsi="Garamond"/>
          <w:lang w:val="sq-AL"/>
        </w:rPr>
      </w:pPr>
      <w:r w:rsidRPr="00FC66CD">
        <w:rPr>
          <w:rStyle w:val="FootnoteReference"/>
          <w:rFonts w:ascii="Garamond" w:hAnsi="Garamond"/>
          <w:lang w:val="sq-AL"/>
        </w:rPr>
        <w:footnoteRef/>
      </w:r>
      <w:r w:rsidRPr="00FC66CD">
        <w:rPr>
          <w:rFonts w:ascii="Garamond" w:hAnsi="Garamond"/>
          <w:lang w:val="sq-AL"/>
        </w:rPr>
        <w:t xml:space="preserve"> Vlerësimi i kritikalitetit të ngjarjeve të rrezikut operacional bëhet sipas matricës së frekuencës dhe impaktit nga ushtrimi i hartëzimit dhe vetëvlerësimit të rreziqeve</w:t>
      </w:r>
      <w:r>
        <w:rPr>
          <w:rFonts w:ascii="Garamond" w:hAnsi="Garamond"/>
          <w:lang w:val="sq-AL"/>
        </w:rPr>
        <w:t>,</w:t>
      </w:r>
      <w:r w:rsidRPr="00FC66CD">
        <w:rPr>
          <w:rFonts w:ascii="Garamond" w:hAnsi="Garamond"/>
          <w:lang w:val="sq-AL"/>
        </w:rPr>
        <w:t xml:space="preserve"> dhe kontrolleve në fuqi, referuar nenit 22 të kësaj rregulloreje.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D2016" w14:textId="77777777" w:rsidR="008B0ACF" w:rsidRDefault="008B0A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72907" w14:textId="77777777" w:rsidR="008B0ACF" w:rsidRDefault="008B0A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B55A3" w14:textId="05DBAE66" w:rsidR="008B0ACF" w:rsidRDefault="008B0ACF" w:rsidP="000629FF">
    <w:pPr>
      <w:spacing w:after="0" w:line="24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50791" w14:textId="77777777" w:rsidR="008B0ACF" w:rsidRPr="007E4EA2" w:rsidRDefault="008B0ACF" w:rsidP="0077182A">
    <w:pPr>
      <w:spacing w:line="360" w:lineRule="auto"/>
      <w:jc w:val="center"/>
      <w:rPr>
        <w:rFonts w:ascii="Helvetica" w:hAnsi="Helvetica" w:cs="Helvetica"/>
        <w:b/>
        <w:spacing w:val="20"/>
        <w:sz w:val="15"/>
        <w:szCs w:val="15"/>
        <w:lang w:val="it-IT"/>
      </w:rPr>
    </w:pPr>
    <w:r>
      <w:rPr>
        <w:noProof/>
        <w:lang w:val="en-US"/>
      </w:rPr>
      <w:drawing>
        <wp:anchor distT="0" distB="0" distL="114300" distR="114300" simplePos="0" relativeHeight="251658242" behindDoc="1" locked="0" layoutInCell="1" allowOverlap="1" wp14:anchorId="6E2507A0" wp14:editId="6E2507A1">
          <wp:simplePos x="0" y="0"/>
          <wp:positionH relativeFrom="column">
            <wp:posOffset>2550160</wp:posOffset>
          </wp:positionH>
          <wp:positionV relativeFrom="paragraph">
            <wp:posOffset>-77470</wp:posOffset>
          </wp:positionV>
          <wp:extent cx="464820" cy="699770"/>
          <wp:effectExtent l="0" t="0" r="0" b="5080"/>
          <wp:wrapTight wrapText="bothSides">
            <wp:wrapPolygon edited="0">
              <wp:start x="0" y="0"/>
              <wp:lineTo x="0" y="19405"/>
              <wp:lineTo x="6197" y="21169"/>
              <wp:lineTo x="14164" y="21169"/>
              <wp:lineTo x="20361" y="19405"/>
              <wp:lineTo x="2036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699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250792" w14:textId="77777777" w:rsidR="008B0ACF" w:rsidRPr="001A7477" w:rsidRDefault="008B0ACF" w:rsidP="0077182A">
    <w:pPr>
      <w:spacing w:line="360" w:lineRule="auto"/>
      <w:rPr>
        <w:b/>
        <w:spacing w:val="20"/>
        <w:sz w:val="4"/>
        <w:szCs w:val="4"/>
        <w:lang w:val="it-IT"/>
      </w:rPr>
    </w:pPr>
    <w:r>
      <w:rPr>
        <w:b/>
        <w:spacing w:val="20"/>
        <w:sz w:val="4"/>
        <w:szCs w:val="4"/>
        <w:lang w:val="it-IT"/>
      </w:rPr>
      <w:t xml:space="preserve">    </w:t>
    </w:r>
  </w:p>
  <w:p w14:paraId="6E250793" w14:textId="77777777" w:rsidR="008B0ACF" w:rsidRDefault="008B0ACF" w:rsidP="0077182A">
    <w:pPr>
      <w:tabs>
        <w:tab w:val="center" w:pos="1923"/>
      </w:tabs>
      <w:rPr>
        <w:b/>
        <w:spacing w:val="20"/>
        <w:sz w:val="15"/>
        <w:szCs w:val="15"/>
        <w:lang w:val="it-IT"/>
      </w:rPr>
    </w:pPr>
    <w:r>
      <w:rPr>
        <w:noProof/>
        <w:lang w:val="en-US"/>
      </w:rPr>
      <mc:AlternateContent>
        <mc:Choice Requires="wps">
          <w:drawing>
            <wp:anchor distT="4294967294" distB="4294967294" distL="114300" distR="114300" simplePos="0" relativeHeight="251658240" behindDoc="1" locked="0" layoutInCell="1" allowOverlap="1" wp14:anchorId="6E2507A2" wp14:editId="6E2507A3">
              <wp:simplePos x="0" y="0"/>
              <wp:positionH relativeFrom="margin">
                <wp:align>left</wp:align>
              </wp:positionH>
              <wp:positionV relativeFrom="paragraph">
                <wp:posOffset>37465</wp:posOffset>
              </wp:positionV>
              <wp:extent cx="25908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080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962A077" id="Straight Connector 5" o:spid="_x0000_s1026" style="position:absolute;z-index:-251657216;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page" from="0,2.95pt" to="20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" strokeweight="1pt">
              <o:lock v:ext="edit" shapetype="f"/>
              <w10:wrap anchorx="margin"/>
            </v:line>
          </w:pict>
        </mc:Fallback>
      </mc:AlternateContent>
    </w:r>
    <w:r>
      <w:rPr>
        <w:b/>
        <w:spacing w:val="20"/>
        <w:sz w:val="15"/>
        <w:szCs w:val="15"/>
        <w:lang w:val="it-IT"/>
      </w:rPr>
      <w:tab/>
    </w:r>
    <w:r>
      <w:rPr>
        <w:noProof/>
        <w:lang w:val="en-US"/>
      </w:rPr>
      <mc:AlternateContent>
        <mc:Choice Requires="wps">
          <w:drawing>
            <wp:anchor distT="4294967294" distB="4294967294" distL="114300" distR="114300" simplePos="0" relativeHeight="251658241" behindDoc="1" locked="0" layoutInCell="1" allowOverlap="1" wp14:anchorId="6E2507A4" wp14:editId="6E2507A5">
              <wp:simplePos x="0" y="0"/>
              <wp:positionH relativeFrom="margin">
                <wp:align>right</wp:align>
              </wp:positionH>
              <wp:positionV relativeFrom="paragraph">
                <wp:posOffset>37465</wp:posOffset>
              </wp:positionV>
              <wp:extent cx="2501900" cy="12700"/>
              <wp:effectExtent l="0" t="0" r="31750" b="254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01900" cy="127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9DCB03F" id="Straight Connector 6" o:spid="_x0000_s1026" style="position:absolute;z-index:-251656192;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margin;mso-height-relative:page" from="145.8pt,2.95pt" to="342.8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" strokeweight="1pt">
              <o:lock v:ext="edit" shapetype="f"/>
              <w10:wrap anchorx="margin"/>
            </v:line>
          </w:pict>
        </mc:Fallback>
      </mc:AlternateContent>
    </w:r>
    <w:r>
      <w:rPr>
        <w:b/>
        <w:spacing w:val="20"/>
        <w:sz w:val="15"/>
        <w:szCs w:val="15"/>
        <w:lang w:val="it-IT"/>
      </w:rPr>
      <w:t xml:space="preserve">   </w:t>
    </w:r>
  </w:p>
  <w:p w14:paraId="6E250794" w14:textId="77777777" w:rsidR="008B0ACF" w:rsidRPr="006458E6" w:rsidRDefault="008B0ACF" w:rsidP="0077182A">
    <w:pPr>
      <w:spacing w:after="0" w:line="240" w:lineRule="auto"/>
      <w:jc w:val="center"/>
      <w:rPr>
        <w:rFonts w:ascii="Times New Roman" w:hAnsi="Times New Roman" w:cs="Times New Roman"/>
        <w:b/>
        <w:spacing w:val="20"/>
        <w:sz w:val="15"/>
        <w:szCs w:val="15"/>
      </w:rPr>
    </w:pPr>
    <w:r w:rsidRPr="006458E6">
      <w:rPr>
        <w:rFonts w:ascii="Times New Roman" w:hAnsi="Times New Roman" w:cs="Times New Roman"/>
        <w:b/>
        <w:spacing w:val="20"/>
        <w:sz w:val="15"/>
        <w:szCs w:val="15"/>
        <w:lang w:val="it-IT"/>
      </w:rPr>
      <w:t>R E P U B L I K A  E  S H Q I P Ë R I S Ë</w:t>
    </w:r>
  </w:p>
  <w:p w14:paraId="6E250795" w14:textId="77777777" w:rsidR="008B0ACF" w:rsidRPr="006458E6" w:rsidRDefault="008B0ACF" w:rsidP="0077182A">
    <w:pPr>
      <w:spacing w:after="0" w:line="240" w:lineRule="auto"/>
      <w:jc w:val="center"/>
      <w:rPr>
        <w:rFonts w:ascii="Times New Roman" w:hAnsi="Times New Roman" w:cs="Times New Roman"/>
        <w:b/>
        <w:sz w:val="24"/>
        <w:szCs w:val="24"/>
      </w:rPr>
    </w:pPr>
    <w:r w:rsidRPr="006458E6">
      <w:rPr>
        <w:rFonts w:ascii="Times New Roman" w:hAnsi="Times New Roman" w:cs="Times New Roman"/>
        <w:b/>
        <w:sz w:val="24"/>
        <w:szCs w:val="24"/>
      </w:rPr>
      <w:t>BANKA E SHQIPËRISË</w:t>
    </w:r>
  </w:p>
  <w:p w14:paraId="6E250796" w14:textId="77777777" w:rsidR="008B0ACF" w:rsidRDefault="008B0ACF" w:rsidP="0077182A">
    <w:pPr>
      <w:spacing w:after="0" w:line="240" w:lineRule="auto"/>
      <w:jc w:val="center"/>
    </w:pPr>
    <w:r w:rsidRPr="006458E6">
      <w:rPr>
        <w:rFonts w:ascii="Times New Roman" w:hAnsi="Times New Roman" w:cs="Times New Roman"/>
        <w:b/>
      </w:rPr>
      <w:t>KËSHILLI MBIKËQYRËS</w:t>
    </w:r>
  </w:p>
  <w:p w14:paraId="6E250797" w14:textId="77777777" w:rsidR="008B0ACF" w:rsidRDefault="008B0ACF" w:rsidP="000D3795">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2142B"/>
    <w:multiLevelType w:val="hybridMultilevel"/>
    <w:tmpl w:val="85580F2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734139C"/>
    <w:multiLevelType w:val="hybridMultilevel"/>
    <w:tmpl w:val="B858BE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2D0CE4"/>
    <w:multiLevelType w:val="hybridMultilevel"/>
    <w:tmpl w:val="481CD01A"/>
    <w:lvl w:ilvl="0" w:tplc="F502101A">
      <w:start w:val="1"/>
      <w:numFmt w:val="lowerLetter"/>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C305B1"/>
    <w:multiLevelType w:val="hybridMultilevel"/>
    <w:tmpl w:val="22D6D67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0BB2691A"/>
    <w:multiLevelType w:val="hybridMultilevel"/>
    <w:tmpl w:val="767CEF8A"/>
    <w:lvl w:ilvl="0" w:tplc="04090017">
      <w:start w:val="1"/>
      <w:numFmt w:val="lowerLetter"/>
      <w:lvlText w:val="%1)"/>
      <w:lvlJc w:val="left"/>
      <w:pPr>
        <w:tabs>
          <w:tab w:val="num" w:pos="720"/>
        </w:tabs>
        <w:ind w:left="720" w:hanging="360"/>
      </w:pPr>
    </w:lvl>
    <w:lvl w:ilvl="1" w:tplc="4CF02B32">
      <w:start w:val="2"/>
      <w:numFmt w:val="decimal"/>
      <w:lvlText w:val="%2)"/>
      <w:lvlJc w:val="left"/>
      <w:pPr>
        <w:tabs>
          <w:tab w:val="num" w:pos="1440"/>
        </w:tabs>
        <w:ind w:left="1440" w:hanging="360"/>
      </w:pPr>
      <w:rPr>
        <w:rFonts w:hint="default"/>
      </w:rPr>
    </w:lvl>
    <w:lvl w:ilvl="2" w:tplc="F7005C8E">
      <w:start w:val="10"/>
      <w:numFmt w:val="decimal"/>
      <w:lvlText w:val="%3"/>
      <w:lvlJc w:val="left"/>
      <w:pPr>
        <w:tabs>
          <w:tab w:val="num" w:pos="2340"/>
        </w:tabs>
        <w:ind w:left="2340" w:hanging="360"/>
      </w:pPr>
      <w:rPr>
        <w:rFonts w:hint="default"/>
      </w:rPr>
    </w:lvl>
    <w:lvl w:ilvl="3" w:tplc="0614A868">
      <w:start w:val="1"/>
      <w:numFmt w:val="decimal"/>
      <w:lvlText w:val="%4)"/>
      <w:lvlJc w:val="left"/>
      <w:pPr>
        <w:tabs>
          <w:tab w:val="num" w:pos="2880"/>
        </w:tabs>
        <w:ind w:left="2880" w:hanging="360"/>
      </w:pPr>
      <w:rPr>
        <w:rFonts w:hint="default"/>
      </w:rPr>
    </w:lvl>
    <w:lvl w:ilvl="4" w:tplc="4CF02B32">
      <w:start w:val="2"/>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AE13D4"/>
    <w:multiLevelType w:val="hybridMultilevel"/>
    <w:tmpl w:val="7F2051E4"/>
    <w:lvl w:ilvl="0" w:tplc="83E2DC56">
      <w:start w:val="1"/>
      <w:numFmt w:val="decimal"/>
      <w:lvlText w:val="%1."/>
      <w:lvlJc w:val="left"/>
      <w:pPr>
        <w:ind w:left="360" w:hanging="360"/>
      </w:pPr>
      <w:rPr>
        <w:rFonts w:eastAsia="Arial Unicode M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 w15:restartNumberingAfterBreak="0">
    <w:nsid w:val="0D3B3723"/>
    <w:multiLevelType w:val="hybridMultilevel"/>
    <w:tmpl w:val="155A8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5113CD"/>
    <w:multiLevelType w:val="hybridMultilevel"/>
    <w:tmpl w:val="6CA44D98"/>
    <w:lvl w:ilvl="0" w:tplc="2002409A">
      <w:start w:val="1"/>
      <w:numFmt w:val="decimal"/>
      <w:lvlText w:val="%1."/>
      <w:lvlJc w:val="left"/>
      <w:pPr>
        <w:tabs>
          <w:tab w:val="num" w:pos="360"/>
        </w:tabs>
        <w:ind w:left="360" w:hanging="360"/>
      </w:pPr>
      <w:rPr>
        <w:rFonts w:ascii="Times New Roman" w:hAnsi="Times New Roman" w:cs="Times New Roman" w:hint="default"/>
        <w:sz w:val="24"/>
        <w:szCs w:val="24"/>
      </w:rPr>
    </w:lvl>
    <w:lvl w:ilvl="1" w:tplc="08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EA63139"/>
    <w:multiLevelType w:val="hybridMultilevel"/>
    <w:tmpl w:val="3B0C9D20"/>
    <w:lvl w:ilvl="0" w:tplc="04090017">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15:restartNumberingAfterBreak="0">
    <w:nsid w:val="10D607C0"/>
    <w:multiLevelType w:val="hybridMultilevel"/>
    <w:tmpl w:val="7CC4CCCA"/>
    <w:lvl w:ilvl="0" w:tplc="167AABB0">
      <w:start w:val="1"/>
      <w:numFmt w:val="lowerLetter"/>
      <w:lvlText w:val="%1)"/>
      <w:lvlJc w:val="left"/>
      <w:pPr>
        <w:tabs>
          <w:tab w:val="num" w:pos="720"/>
        </w:tabs>
        <w:ind w:left="720" w:hanging="360"/>
      </w:pPr>
      <w:rPr>
        <w:rFonts w:ascii="Times New Roman" w:eastAsia="Arial Unicode MS"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1772E18"/>
    <w:multiLevelType w:val="hybridMultilevel"/>
    <w:tmpl w:val="290C04A6"/>
    <w:lvl w:ilvl="0" w:tplc="A19C5ED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AB82E2D"/>
    <w:multiLevelType w:val="hybridMultilevel"/>
    <w:tmpl w:val="7CAE862E"/>
    <w:lvl w:ilvl="0" w:tplc="0409001B">
      <w:start w:val="1"/>
      <w:numFmt w:val="lowerRoman"/>
      <w:lvlText w:val="%1."/>
      <w:lvlJc w:val="right"/>
      <w:pPr>
        <w:tabs>
          <w:tab w:val="num" w:pos="1428"/>
        </w:tabs>
        <w:ind w:left="1428" w:hanging="360"/>
      </w:pPr>
      <w:rPr>
        <w:rFonts w:hint="default"/>
      </w:rPr>
    </w:lvl>
    <w:lvl w:ilvl="1" w:tplc="040C0003">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1ED45D48"/>
    <w:multiLevelType w:val="hybridMultilevel"/>
    <w:tmpl w:val="88DA803A"/>
    <w:lvl w:ilvl="0" w:tplc="A19C5ED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2D3388"/>
    <w:multiLevelType w:val="hybridMultilevel"/>
    <w:tmpl w:val="22265520"/>
    <w:lvl w:ilvl="0" w:tplc="041C000F">
      <w:start w:val="1"/>
      <w:numFmt w:val="decimal"/>
      <w:lvlText w:val="%1."/>
      <w:lvlJc w:val="left"/>
      <w:pPr>
        <w:ind w:left="720" w:hanging="360"/>
      </w:pPr>
      <w:rPr>
        <w:rFonts w:hint="default"/>
      </w:rPr>
    </w:lvl>
    <w:lvl w:ilvl="1" w:tplc="04090017">
      <w:start w:val="1"/>
      <w:numFmt w:val="lowerLetter"/>
      <w:lvlText w:val="%2)"/>
      <w:lvlJc w:val="left"/>
      <w:pPr>
        <w:ind w:left="108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2240201F"/>
    <w:multiLevelType w:val="hybridMultilevel"/>
    <w:tmpl w:val="69A6A3C2"/>
    <w:lvl w:ilvl="0" w:tplc="A19C5ED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8B32C8"/>
    <w:multiLevelType w:val="hybridMultilevel"/>
    <w:tmpl w:val="2BEE94FA"/>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 w15:restartNumberingAfterBreak="0">
    <w:nsid w:val="294F7B9B"/>
    <w:multiLevelType w:val="hybridMultilevel"/>
    <w:tmpl w:val="85A6AD56"/>
    <w:lvl w:ilvl="0" w:tplc="041C000F">
      <w:start w:val="1"/>
      <w:numFmt w:val="decimal"/>
      <w:lvlText w:val="%1."/>
      <w:lvlJc w:val="left"/>
      <w:pPr>
        <w:ind w:left="360" w:hanging="360"/>
      </w:p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 w15:restartNumberingAfterBreak="0">
    <w:nsid w:val="297F1C5D"/>
    <w:multiLevelType w:val="hybridMultilevel"/>
    <w:tmpl w:val="8FAC5F50"/>
    <w:lvl w:ilvl="0" w:tplc="7824831E">
      <w:start w:val="1"/>
      <w:numFmt w:val="lowerLetter"/>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A40B3A"/>
    <w:multiLevelType w:val="hybridMultilevel"/>
    <w:tmpl w:val="DC809BCC"/>
    <w:lvl w:ilvl="0" w:tplc="A19C5ED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08643AA"/>
    <w:multiLevelType w:val="hybridMultilevel"/>
    <w:tmpl w:val="00088936"/>
    <w:lvl w:ilvl="0" w:tplc="A19C5ED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D150E1"/>
    <w:multiLevelType w:val="hybridMultilevel"/>
    <w:tmpl w:val="AECAF442"/>
    <w:lvl w:ilvl="0" w:tplc="08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33A8043B"/>
    <w:multiLevelType w:val="hybridMultilevel"/>
    <w:tmpl w:val="2A4E653C"/>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1466B9"/>
    <w:multiLevelType w:val="hybridMultilevel"/>
    <w:tmpl w:val="49A6C51A"/>
    <w:lvl w:ilvl="0" w:tplc="E332B87E">
      <w:start w:val="1"/>
      <w:numFmt w:val="lowerLetter"/>
      <w:lvlText w:val="%1)"/>
      <w:lvlJc w:val="left"/>
      <w:pPr>
        <w:ind w:left="720" w:hanging="360"/>
      </w:pPr>
      <w:rPr>
        <w:rFonts w:hint="default"/>
        <w:i w:val="0"/>
        <w:sz w:val="24"/>
      </w:rPr>
    </w:lvl>
    <w:lvl w:ilvl="1" w:tplc="04090019">
      <w:start w:val="1"/>
      <w:numFmt w:val="lowerLetter"/>
      <w:lvlText w:val="%2."/>
      <w:lvlJc w:val="left"/>
      <w:pPr>
        <w:ind w:left="17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3A773D"/>
    <w:multiLevelType w:val="hybridMultilevel"/>
    <w:tmpl w:val="E376BD84"/>
    <w:lvl w:ilvl="0" w:tplc="04090017">
      <w:start w:val="1"/>
      <w:numFmt w:val="lowerLetter"/>
      <w:lvlText w:val="%1)"/>
      <w:lvlJc w:val="left"/>
      <w:pPr>
        <w:ind w:left="1080" w:hanging="360"/>
      </w:pPr>
    </w:lvl>
    <w:lvl w:ilvl="1" w:tplc="084E0024">
      <w:start w:val="1"/>
      <w:numFmt w:val="decimal"/>
      <w:lvlText w:val="%2."/>
      <w:lvlJc w:val="left"/>
      <w:pPr>
        <w:ind w:left="1800" w:hanging="360"/>
      </w:pPr>
      <w:rPr>
        <w:rFonts w:hint="default"/>
      </w:r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4" w15:restartNumberingAfterBreak="0">
    <w:nsid w:val="39B7589C"/>
    <w:multiLevelType w:val="hybridMultilevel"/>
    <w:tmpl w:val="6260811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2D1938"/>
    <w:multiLevelType w:val="hybridMultilevel"/>
    <w:tmpl w:val="D02A9056"/>
    <w:lvl w:ilvl="0" w:tplc="2CBC967E">
      <w:start w:val="1"/>
      <w:numFmt w:val="decimal"/>
      <w:lvlText w:val="%1."/>
      <w:lvlJc w:val="left"/>
      <w:pPr>
        <w:ind w:left="720" w:hanging="360"/>
      </w:pPr>
      <w:rPr>
        <w:rFonts w:eastAsia="Arial Unicode MS" w:hint="default"/>
        <w:sz w:val="24"/>
      </w:rPr>
    </w:lvl>
    <w:lvl w:ilvl="1" w:tplc="04090019">
      <w:start w:val="1"/>
      <w:numFmt w:val="lowerLetter"/>
      <w:lvlText w:val="%2."/>
      <w:lvlJc w:val="left"/>
      <w:pPr>
        <w:ind w:left="17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6F1AA1"/>
    <w:multiLevelType w:val="hybridMultilevel"/>
    <w:tmpl w:val="6096D40A"/>
    <w:lvl w:ilvl="0" w:tplc="0809000F">
      <w:start w:val="1"/>
      <w:numFmt w:val="decimal"/>
      <w:lvlText w:val="%1."/>
      <w:lvlJc w:val="left"/>
      <w:pPr>
        <w:tabs>
          <w:tab w:val="num" w:pos="360"/>
        </w:tabs>
        <w:ind w:left="360" w:hanging="360"/>
      </w:pPr>
      <w:rPr>
        <w:rFonts w:hint="default"/>
      </w:rPr>
    </w:lvl>
    <w:lvl w:ilvl="1" w:tplc="41E69BAC">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D962A2"/>
    <w:multiLevelType w:val="hybridMultilevel"/>
    <w:tmpl w:val="3B0C9D20"/>
    <w:lvl w:ilvl="0" w:tplc="0409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15:restartNumberingAfterBreak="0">
    <w:nsid w:val="437A5579"/>
    <w:multiLevelType w:val="hybridMultilevel"/>
    <w:tmpl w:val="097ADDD8"/>
    <w:lvl w:ilvl="0" w:tplc="0409000F">
      <w:start w:val="1"/>
      <w:numFmt w:val="decimal"/>
      <w:lvlText w:val="%1."/>
      <w:lvlJc w:val="left"/>
      <w:pPr>
        <w:ind w:left="360" w:hanging="360"/>
      </w:p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9" w15:restartNumberingAfterBreak="0">
    <w:nsid w:val="43A428F1"/>
    <w:multiLevelType w:val="hybridMultilevel"/>
    <w:tmpl w:val="3F8C6472"/>
    <w:lvl w:ilvl="0" w:tplc="DEF274F4">
      <w:start w:val="1"/>
      <w:numFmt w:val="decimal"/>
      <w:lvlText w:val="%1."/>
      <w:lvlJc w:val="left"/>
      <w:pPr>
        <w:tabs>
          <w:tab w:val="num" w:pos="360"/>
        </w:tabs>
        <w:ind w:left="360" w:hanging="360"/>
      </w:pPr>
      <w:rPr>
        <w:rFonts w:ascii="Times New Roman" w:hAnsi="Times New Roman" w:cs="Times New Roman" w:hint="default"/>
        <w:sz w:val="24"/>
        <w:szCs w:val="24"/>
      </w:rPr>
    </w:lvl>
    <w:lvl w:ilvl="1" w:tplc="08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3BF3A91"/>
    <w:multiLevelType w:val="hybridMultilevel"/>
    <w:tmpl w:val="0B7006E8"/>
    <w:lvl w:ilvl="0" w:tplc="4268F8F6">
      <w:start w:val="1"/>
      <w:numFmt w:val="lowerLetter"/>
      <w:lvlText w:val="%1)"/>
      <w:lvlJc w:val="left"/>
      <w:pPr>
        <w:tabs>
          <w:tab w:val="num" w:pos="720"/>
        </w:tabs>
        <w:ind w:left="720" w:hanging="360"/>
      </w:pPr>
      <w:rPr>
        <w:rFonts w:ascii="Times New Roman" w:hAnsi="Times New Roman" w:cs="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5CA2994"/>
    <w:multiLevelType w:val="hybridMultilevel"/>
    <w:tmpl w:val="BF26B5CE"/>
    <w:lvl w:ilvl="0" w:tplc="08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15:restartNumberingAfterBreak="0">
    <w:nsid w:val="46991485"/>
    <w:multiLevelType w:val="hybridMultilevel"/>
    <w:tmpl w:val="6A800A9E"/>
    <w:lvl w:ilvl="0" w:tplc="08090017">
      <w:start w:val="1"/>
      <w:numFmt w:val="lowerLetter"/>
      <w:lvlText w:val="%1)"/>
      <w:lvlJc w:val="left"/>
      <w:pPr>
        <w:tabs>
          <w:tab w:val="num" w:pos="720"/>
        </w:tabs>
        <w:ind w:left="720" w:hanging="360"/>
      </w:pPr>
      <w:rPr>
        <w:rFonts w:hint="default"/>
        <w:b w:val="0"/>
      </w:rPr>
    </w:lvl>
    <w:lvl w:ilvl="1" w:tplc="0409000F">
      <w:start w:val="1"/>
      <w:numFmt w:val="decimal"/>
      <w:lvlText w:val="%2."/>
      <w:lvlJc w:val="left"/>
      <w:pPr>
        <w:tabs>
          <w:tab w:val="num" w:pos="1170"/>
        </w:tabs>
        <w:ind w:left="117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6F61C8D"/>
    <w:multiLevelType w:val="hybridMultilevel"/>
    <w:tmpl w:val="F6804FE4"/>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4" w15:restartNumberingAfterBreak="0">
    <w:nsid w:val="4CE95E93"/>
    <w:multiLevelType w:val="hybridMultilevel"/>
    <w:tmpl w:val="BF76C90A"/>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147522B"/>
    <w:multiLevelType w:val="hybridMultilevel"/>
    <w:tmpl w:val="068EC7C2"/>
    <w:lvl w:ilvl="0" w:tplc="C55C11C4">
      <w:start w:val="1"/>
      <w:numFmt w:val="lowerRoman"/>
      <w:lvlText w:val="%1."/>
      <w:lvlJc w:val="righ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6" w15:restartNumberingAfterBreak="0">
    <w:nsid w:val="524B3BA5"/>
    <w:multiLevelType w:val="hybridMultilevel"/>
    <w:tmpl w:val="22961E86"/>
    <w:lvl w:ilvl="0" w:tplc="CC2A046C">
      <w:start w:val="2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3D01B8E"/>
    <w:multiLevelType w:val="hybridMultilevel"/>
    <w:tmpl w:val="AC4675B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5D75086"/>
    <w:multiLevelType w:val="hybridMultilevel"/>
    <w:tmpl w:val="CB841668"/>
    <w:lvl w:ilvl="0" w:tplc="04090017">
      <w:start w:val="1"/>
      <w:numFmt w:val="lowerLetter"/>
      <w:lvlText w:val="%1)"/>
      <w:lvlJc w:val="left"/>
      <w:pPr>
        <w:ind w:left="1080" w:hanging="360"/>
      </w:pPr>
      <w:rPr>
        <w:rFont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9" w15:restartNumberingAfterBreak="0">
    <w:nsid w:val="57800DD4"/>
    <w:multiLevelType w:val="hybridMultilevel"/>
    <w:tmpl w:val="85580F2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15:restartNumberingAfterBreak="0">
    <w:nsid w:val="5903101A"/>
    <w:multiLevelType w:val="hybridMultilevel"/>
    <w:tmpl w:val="F268FEC6"/>
    <w:lvl w:ilvl="0" w:tplc="041C000F">
      <w:start w:val="1"/>
      <w:numFmt w:val="decimal"/>
      <w:lvlText w:val="%1."/>
      <w:lvlJc w:val="left"/>
      <w:pPr>
        <w:ind w:left="720" w:hanging="360"/>
      </w:pPr>
      <w:rPr>
        <w:rFonts w:hint="default"/>
      </w:rPr>
    </w:lvl>
    <w:lvl w:ilvl="1" w:tplc="04090017">
      <w:start w:val="1"/>
      <w:numFmt w:val="lowerLetter"/>
      <w:lvlText w:val="%2)"/>
      <w:lvlJc w:val="left"/>
      <w:pPr>
        <w:ind w:left="108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15:restartNumberingAfterBreak="0">
    <w:nsid w:val="5A276534"/>
    <w:multiLevelType w:val="hybridMultilevel"/>
    <w:tmpl w:val="7CAE7E80"/>
    <w:lvl w:ilvl="0" w:tplc="0409001B">
      <w:start w:val="1"/>
      <w:numFmt w:val="lowerRoman"/>
      <w:lvlText w:val="%1."/>
      <w:lvlJc w:val="right"/>
      <w:pPr>
        <w:tabs>
          <w:tab w:val="num" w:pos="720"/>
        </w:tabs>
        <w:ind w:left="72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2" w15:restartNumberingAfterBreak="0">
    <w:nsid w:val="5F1A322A"/>
    <w:multiLevelType w:val="hybridMultilevel"/>
    <w:tmpl w:val="5EC29E7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3" w15:restartNumberingAfterBreak="0">
    <w:nsid w:val="60283A12"/>
    <w:multiLevelType w:val="hybridMultilevel"/>
    <w:tmpl w:val="88DA803A"/>
    <w:lvl w:ilvl="0" w:tplc="A19C5ED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0735E49"/>
    <w:multiLevelType w:val="hybridMultilevel"/>
    <w:tmpl w:val="DE806570"/>
    <w:lvl w:ilvl="0" w:tplc="E332B87E">
      <w:start w:val="1"/>
      <w:numFmt w:val="lowerLetter"/>
      <w:lvlText w:val="%1)"/>
      <w:lvlJc w:val="left"/>
      <w:pPr>
        <w:ind w:left="720" w:hanging="360"/>
      </w:pPr>
      <w:rPr>
        <w:rFonts w:hint="default"/>
        <w:i w:val="0"/>
        <w:sz w:val="24"/>
      </w:rPr>
    </w:lvl>
    <w:lvl w:ilvl="1" w:tplc="04090019">
      <w:start w:val="1"/>
      <w:numFmt w:val="lowerLetter"/>
      <w:lvlText w:val="%2."/>
      <w:lvlJc w:val="left"/>
      <w:pPr>
        <w:ind w:left="17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FC52B0"/>
    <w:multiLevelType w:val="hybridMultilevel"/>
    <w:tmpl w:val="D452EBB8"/>
    <w:lvl w:ilvl="0" w:tplc="04090017">
      <w:start w:val="1"/>
      <w:numFmt w:val="lowerLetter"/>
      <w:lvlText w:val="%1)"/>
      <w:lvlJc w:val="left"/>
      <w:pPr>
        <w:ind w:left="1080" w:hanging="360"/>
      </w:pPr>
      <w:rPr>
        <w:rFonts w:hint="default"/>
        <w:b w:val="0"/>
      </w:rPr>
    </w:lvl>
    <w:lvl w:ilvl="1" w:tplc="041C0019">
      <w:start w:val="1"/>
      <w:numFmt w:val="lowerLetter"/>
      <w:lvlText w:val="%2."/>
      <w:lvlJc w:val="left"/>
      <w:pPr>
        <w:ind w:left="1530" w:hanging="360"/>
      </w:pPr>
    </w:lvl>
    <w:lvl w:ilvl="2" w:tplc="041C001B">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46" w15:restartNumberingAfterBreak="0">
    <w:nsid w:val="641B2298"/>
    <w:multiLevelType w:val="hybridMultilevel"/>
    <w:tmpl w:val="6ACA62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6E37047"/>
    <w:multiLevelType w:val="hybridMultilevel"/>
    <w:tmpl w:val="2702DC0A"/>
    <w:lvl w:ilvl="0" w:tplc="0409001B">
      <w:start w:val="1"/>
      <w:numFmt w:val="lowerRoman"/>
      <w:lvlText w:val="%1."/>
      <w:lvlJc w:val="right"/>
      <w:pPr>
        <w:tabs>
          <w:tab w:val="num" w:pos="1080"/>
        </w:tabs>
        <w:ind w:left="1080" w:hanging="36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685429A0"/>
    <w:multiLevelType w:val="hybridMultilevel"/>
    <w:tmpl w:val="2ED0648E"/>
    <w:lvl w:ilvl="0" w:tplc="0409001B">
      <w:start w:val="1"/>
      <w:numFmt w:val="lowerRoman"/>
      <w:lvlText w:val="%1."/>
      <w:lvlJc w:val="right"/>
      <w:pPr>
        <w:tabs>
          <w:tab w:val="num" w:pos="1428"/>
        </w:tabs>
        <w:ind w:left="1428" w:hanging="360"/>
      </w:pPr>
      <w:rPr>
        <w:rFonts w:hint="default"/>
      </w:rPr>
    </w:lvl>
    <w:lvl w:ilvl="1" w:tplc="040C0003">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49" w15:restartNumberingAfterBreak="0">
    <w:nsid w:val="68F5528C"/>
    <w:multiLevelType w:val="hybridMultilevel"/>
    <w:tmpl w:val="3DE285B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0" w15:restartNumberingAfterBreak="0">
    <w:nsid w:val="6B0869D4"/>
    <w:multiLevelType w:val="hybridMultilevel"/>
    <w:tmpl w:val="4D762DA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C832494"/>
    <w:multiLevelType w:val="hybridMultilevel"/>
    <w:tmpl w:val="FB883A5A"/>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D3D1E70"/>
    <w:multiLevelType w:val="hybridMultilevel"/>
    <w:tmpl w:val="4AA646D8"/>
    <w:lvl w:ilvl="0" w:tplc="04090017">
      <w:start w:val="1"/>
      <w:numFmt w:val="lowerLetter"/>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6E093017"/>
    <w:multiLevelType w:val="hybridMultilevel"/>
    <w:tmpl w:val="38C8E418"/>
    <w:lvl w:ilvl="0" w:tplc="0409001B">
      <w:start w:val="1"/>
      <w:numFmt w:val="lowerRoman"/>
      <w:lvlText w:val="%1."/>
      <w:lvlJc w:val="right"/>
      <w:pPr>
        <w:tabs>
          <w:tab w:val="num" w:pos="1428"/>
        </w:tabs>
        <w:ind w:left="1428" w:hanging="360"/>
      </w:pPr>
      <w:rPr>
        <w:rFonts w:hint="default"/>
      </w:rPr>
    </w:lvl>
    <w:lvl w:ilvl="1" w:tplc="040C0003">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54" w15:restartNumberingAfterBreak="0">
    <w:nsid w:val="73375FB1"/>
    <w:multiLevelType w:val="hybridMultilevel"/>
    <w:tmpl w:val="3148E022"/>
    <w:lvl w:ilvl="0" w:tplc="08090017">
      <w:start w:val="1"/>
      <w:numFmt w:val="lowerLetter"/>
      <w:lvlText w:val="%1)"/>
      <w:lvlJc w:val="left"/>
      <w:pPr>
        <w:ind w:left="720" w:hanging="360"/>
      </w:pPr>
    </w:lvl>
    <w:lvl w:ilvl="1" w:tplc="F5463BEE">
      <w:start w:val="1"/>
      <w:numFmt w:val="lowerRoman"/>
      <w:lvlText w:val="(%2)"/>
      <w:lvlJc w:val="left"/>
      <w:pPr>
        <w:ind w:left="1800" w:hanging="72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5" w15:restartNumberingAfterBreak="0">
    <w:nsid w:val="758D644E"/>
    <w:multiLevelType w:val="hybridMultilevel"/>
    <w:tmpl w:val="8736AC36"/>
    <w:lvl w:ilvl="0" w:tplc="A19C5ED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C906631"/>
    <w:multiLevelType w:val="hybridMultilevel"/>
    <w:tmpl w:val="FDBC9EFA"/>
    <w:lvl w:ilvl="0" w:tplc="A19C5ED8">
      <w:start w:val="1"/>
      <w:numFmt w:val="decimal"/>
      <w:lvlText w:val="%1."/>
      <w:lvlJc w:val="left"/>
      <w:pPr>
        <w:tabs>
          <w:tab w:val="num" w:pos="360"/>
        </w:tabs>
        <w:ind w:left="360" w:hanging="360"/>
      </w:pPr>
      <w:rPr>
        <w:rFonts w:hint="default"/>
      </w:rPr>
    </w:lvl>
    <w:lvl w:ilvl="1" w:tplc="C55C11C4">
      <w:start w:val="1"/>
      <w:numFmt w:val="lowerRoman"/>
      <w:lvlText w:val="%2."/>
      <w:lvlJc w:val="right"/>
      <w:pPr>
        <w:tabs>
          <w:tab w:val="num" w:pos="1260"/>
        </w:tabs>
        <w:ind w:left="1260" w:hanging="180"/>
      </w:pPr>
      <w:rPr>
        <w:rFonts w:hint="default"/>
      </w:rPr>
    </w:lvl>
    <w:lvl w:ilvl="2" w:tplc="73923D5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FB3581A"/>
    <w:multiLevelType w:val="hybridMultilevel"/>
    <w:tmpl w:val="3178170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0"/>
  </w:num>
  <w:num w:numId="3">
    <w:abstractNumId w:val="56"/>
  </w:num>
  <w:num w:numId="4">
    <w:abstractNumId w:val="10"/>
  </w:num>
  <w:num w:numId="5">
    <w:abstractNumId w:val="9"/>
  </w:num>
  <w:num w:numId="6">
    <w:abstractNumId w:val="29"/>
  </w:num>
  <w:num w:numId="7">
    <w:abstractNumId w:val="43"/>
  </w:num>
  <w:num w:numId="8">
    <w:abstractNumId w:val="37"/>
  </w:num>
  <w:num w:numId="9">
    <w:abstractNumId w:val="26"/>
  </w:num>
  <w:num w:numId="10">
    <w:abstractNumId w:val="18"/>
  </w:num>
  <w:num w:numId="11">
    <w:abstractNumId w:val="30"/>
  </w:num>
  <w:num w:numId="12">
    <w:abstractNumId w:val="32"/>
  </w:num>
  <w:num w:numId="13">
    <w:abstractNumId w:val="52"/>
  </w:num>
  <w:num w:numId="14">
    <w:abstractNumId w:val="57"/>
  </w:num>
  <w:num w:numId="15">
    <w:abstractNumId w:val="55"/>
  </w:num>
  <w:num w:numId="16">
    <w:abstractNumId w:val="54"/>
  </w:num>
  <w:num w:numId="17">
    <w:abstractNumId w:val="31"/>
  </w:num>
  <w:num w:numId="18">
    <w:abstractNumId w:val="20"/>
  </w:num>
  <w:num w:numId="19">
    <w:abstractNumId w:val="15"/>
  </w:num>
  <w:num w:numId="20">
    <w:abstractNumId w:val="8"/>
  </w:num>
  <w:num w:numId="21">
    <w:abstractNumId w:val="45"/>
  </w:num>
  <w:num w:numId="22">
    <w:abstractNumId w:val="19"/>
  </w:num>
  <w:num w:numId="23">
    <w:abstractNumId w:val="28"/>
  </w:num>
  <w:num w:numId="24">
    <w:abstractNumId w:val="16"/>
  </w:num>
  <w:num w:numId="25">
    <w:abstractNumId w:val="49"/>
  </w:num>
  <w:num w:numId="26">
    <w:abstractNumId w:val="13"/>
  </w:num>
  <w:num w:numId="27">
    <w:abstractNumId w:val="38"/>
  </w:num>
  <w:num w:numId="28">
    <w:abstractNumId w:val="0"/>
  </w:num>
  <w:num w:numId="29">
    <w:abstractNumId w:val="3"/>
  </w:num>
  <w:num w:numId="30">
    <w:abstractNumId w:val="7"/>
  </w:num>
  <w:num w:numId="31">
    <w:abstractNumId w:val="27"/>
  </w:num>
  <w:num w:numId="32">
    <w:abstractNumId w:val="14"/>
  </w:num>
  <w:num w:numId="33">
    <w:abstractNumId w:val="5"/>
  </w:num>
  <w:num w:numId="34">
    <w:abstractNumId w:val="33"/>
  </w:num>
  <w:num w:numId="35">
    <w:abstractNumId w:val="21"/>
  </w:num>
  <w:num w:numId="36">
    <w:abstractNumId w:val="42"/>
  </w:num>
  <w:num w:numId="37">
    <w:abstractNumId w:val="1"/>
  </w:num>
  <w:num w:numId="38">
    <w:abstractNumId w:val="25"/>
  </w:num>
  <w:num w:numId="39">
    <w:abstractNumId w:val="12"/>
  </w:num>
  <w:num w:numId="40">
    <w:abstractNumId w:val="23"/>
  </w:num>
  <w:num w:numId="41">
    <w:abstractNumId w:val="46"/>
  </w:num>
  <w:num w:numId="42">
    <w:abstractNumId w:val="17"/>
  </w:num>
  <w:num w:numId="43">
    <w:abstractNumId w:val="35"/>
  </w:num>
  <w:num w:numId="44">
    <w:abstractNumId w:val="2"/>
  </w:num>
  <w:num w:numId="45">
    <w:abstractNumId w:val="51"/>
  </w:num>
  <w:num w:numId="46">
    <w:abstractNumId w:val="41"/>
  </w:num>
  <w:num w:numId="47">
    <w:abstractNumId w:val="24"/>
  </w:num>
  <w:num w:numId="48">
    <w:abstractNumId w:val="47"/>
  </w:num>
  <w:num w:numId="49">
    <w:abstractNumId w:val="40"/>
  </w:num>
  <w:num w:numId="50">
    <w:abstractNumId w:val="11"/>
  </w:num>
  <w:num w:numId="51">
    <w:abstractNumId w:val="48"/>
  </w:num>
  <w:num w:numId="52">
    <w:abstractNumId w:val="53"/>
  </w:num>
  <w:num w:numId="53">
    <w:abstractNumId w:val="22"/>
  </w:num>
  <w:num w:numId="54">
    <w:abstractNumId w:val="44"/>
  </w:num>
  <w:num w:numId="55">
    <w:abstractNumId w:val="34"/>
  </w:num>
  <w:num w:numId="56">
    <w:abstractNumId w:val="36"/>
  </w:num>
  <w:num w:numId="57">
    <w:abstractNumId w:val="6"/>
  </w:num>
  <w:num w:numId="58">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28E"/>
    <w:rsid w:val="0000031B"/>
    <w:rsid w:val="00006DC7"/>
    <w:rsid w:val="00006E79"/>
    <w:rsid w:val="000113EA"/>
    <w:rsid w:val="00013D04"/>
    <w:rsid w:val="00015CD0"/>
    <w:rsid w:val="0001671A"/>
    <w:rsid w:val="000168B7"/>
    <w:rsid w:val="00016EE9"/>
    <w:rsid w:val="00020671"/>
    <w:rsid w:val="0002520F"/>
    <w:rsid w:val="000257C4"/>
    <w:rsid w:val="00026AC1"/>
    <w:rsid w:val="00027849"/>
    <w:rsid w:val="00031CBD"/>
    <w:rsid w:val="000332D2"/>
    <w:rsid w:val="00033E2A"/>
    <w:rsid w:val="0003432B"/>
    <w:rsid w:val="00034358"/>
    <w:rsid w:val="00036A1C"/>
    <w:rsid w:val="00040369"/>
    <w:rsid w:val="0004116D"/>
    <w:rsid w:val="00043C03"/>
    <w:rsid w:val="00046358"/>
    <w:rsid w:val="000470C1"/>
    <w:rsid w:val="00051732"/>
    <w:rsid w:val="00052D72"/>
    <w:rsid w:val="00052F15"/>
    <w:rsid w:val="0005331A"/>
    <w:rsid w:val="00053C66"/>
    <w:rsid w:val="00053CF2"/>
    <w:rsid w:val="00056228"/>
    <w:rsid w:val="000571DB"/>
    <w:rsid w:val="0005773A"/>
    <w:rsid w:val="0005798E"/>
    <w:rsid w:val="00061EA1"/>
    <w:rsid w:val="000629FF"/>
    <w:rsid w:val="0006428D"/>
    <w:rsid w:val="00064440"/>
    <w:rsid w:val="000661A7"/>
    <w:rsid w:val="00067907"/>
    <w:rsid w:val="00070F6E"/>
    <w:rsid w:val="00077144"/>
    <w:rsid w:val="000800A9"/>
    <w:rsid w:val="00081F37"/>
    <w:rsid w:val="0008485C"/>
    <w:rsid w:val="000873C7"/>
    <w:rsid w:val="00090728"/>
    <w:rsid w:val="000910C9"/>
    <w:rsid w:val="00092378"/>
    <w:rsid w:val="00092C17"/>
    <w:rsid w:val="00094605"/>
    <w:rsid w:val="00096D93"/>
    <w:rsid w:val="000A0056"/>
    <w:rsid w:val="000A046F"/>
    <w:rsid w:val="000A12DA"/>
    <w:rsid w:val="000A20CA"/>
    <w:rsid w:val="000A2F03"/>
    <w:rsid w:val="000A4B40"/>
    <w:rsid w:val="000A4D91"/>
    <w:rsid w:val="000A68F4"/>
    <w:rsid w:val="000A7F29"/>
    <w:rsid w:val="000B0532"/>
    <w:rsid w:val="000B1E3E"/>
    <w:rsid w:val="000B21F0"/>
    <w:rsid w:val="000B2C76"/>
    <w:rsid w:val="000B3242"/>
    <w:rsid w:val="000B69BB"/>
    <w:rsid w:val="000B74EA"/>
    <w:rsid w:val="000C164C"/>
    <w:rsid w:val="000C23BC"/>
    <w:rsid w:val="000C3B65"/>
    <w:rsid w:val="000C566F"/>
    <w:rsid w:val="000C7E56"/>
    <w:rsid w:val="000D066F"/>
    <w:rsid w:val="000D0F10"/>
    <w:rsid w:val="000D2C86"/>
    <w:rsid w:val="000D3524"/>
    <w:rsid w:val="000D3795"/>
    <w:rsid w:val="000D4442"/>
    <w:rsid w:val="000D49BF"/>
    <w:rsid w:val="000D4B08"/>
    <w:rsid w:val="000D6447"/>
    <w:rsid w:val="000D7B18"/>
    <w:rsid w:val="000E06D3"/>
    <w:rsid w:val="000E0A9A"/>
    <w:rsid w:val="000E0B98"/>
    <w:rsid w:val="000E5E8D"/>
    <w:rsid w:val="000E7ADD"/>
    <w:rsid w:val="000F04BC"/>
    <w:rsid w:val="000F410C"/>
    <w:rsid w:val="000F7FC3"/>
    <w:rsid w:val="00100753"/>
    <w:rsid w:val="001021F5"/>
    <w:rsid w:val="00106494"/>
    <w:rsid w:val="0010741D"/>
    <w:rsid w:val="00110975"/>
    <w:rsid w:val="001109E4"/>
    <w:rsid w:val="001120AE"/>
    <w:rsid w:val="001132B7"/>
    <w:rsid w:val="001164A9"/>
    <w:rsid w:val="00116E33"/>
    <w:rsid w:val="00121EEC"/>
    <w:rsid w:val="001234E5"/>
    <w:rsid w:val="00124851"/>
    <w:rsid w:val="00125001"/>
    <w:rsid w:val="0012619B"/>
    <w:rsid w:val="00126CD7"/>
    <w:rsid w:val="0012781E"/>
    <w:rsid w:val="0013074A"/>
    <w:rsid w:val="00131055"/>
    <w:rsid w:val="0013544A"/>
    <w:rsid w:val="0013775D"/>
    <w:rsid w:val="001409E0"/>
    <w:rsid w:val="00142466"/>
    <w:rsid w:val="00142650"/>
    <w:rsid w:val="001429C2"/>
    <w:rsid w:val="0014524D"/>
    <w:rsid w:val="001467A0"/>
    <w:rsid w:val="00147D93"/>
    <w:rsid w:val="0015017F"/>
    <w:rsid w:val="001513F3"/>
    <w:rsid w:val="001520CF"/>
    <w:rsid w:val="00152B47"/>
    <w:rsid w:val="00153029"/>
    <w:rsid w:val="00153C0F"/>
    <w:rsid w:val="00154EDC"/>
    <w:rsid w:val="001550E8"/>
    <w:rsid w:val="00156D96"/>
    <w:rsid w:val="00160017"/>
    <w:rsid w:val="00160EF6"/>
    <w:rsid w:val="00162BF5"/>
    <w:rsid w:val="00163F7C"/>
    <w:rsid w:val="0016516F"/>
    <w:rsid w:val="00167C9E"/>
    <w:rsid w:val="0017299A"/>
    <w:rsid w:val="00174D1B"/>
    <w:rsid w:val="00176010"/>
    <w:rsid w:val="00177D81"/>
    <w:rsid w:val="00180732"/>
    <w:rsid w:val="0018122B"/>
    <w:rsid w:val="00185812"/>
    <w:rsid w:val="00185942"/>
    <w:rsid w:val="0018694F"/>
    <w:rsid w:val="001907F2"/>
    <w:rsid w:val="00193A87"/>
    <w:rsid w:val="00193B63"/>
    <w:rsid w:val="00194BAB"/>
    <w:rsid w:val="00194FD8"/>
    <w:rsid w:val="00197A8B"/>
    <w:rsid w:val="001A1452"/>
    <w:rsid w:val="001A1AA0"/>
    <w:rsid w:val="001A2035"/>
    <w:rsid w:val="001A44A6"/>
    <w:rsid w:val="001B0A80"/>
    <w:rsid w:val="001B1319"/>
    <w:rsid w:val="001B2595"/>
    <w:rsid w:val="001B2CDC"/>
    <w:rsid w:val="001B3AE3"/>
    <w:rsid w:val="001B422B"/>
    <w:rsid w:val="001B633B"/>
    <w:rsid w:val="001B7B36"/>
    <w:rsid w:val="001C2301"/>
    <w:rsid w:val="001C23EE"/>
    <w:rsid w:val="001C2690"/>
    <w:rsid w:val="001C2FF1"/>
    <w:rsid w:val="001C323F"/>
    <w:rsid w:val="001C36E2"/>
    <w:rsid w:val="001C5E46"/>
    <w:rsid w:val="001C6378"/>
    <w:rsid w:val="001D073F"/>
    <w:rsid w:val="001D0E9A"/>
    <w:rsid w:val="001D1F6A"/>
    <w:rsid w:val="001D2068"/>
    <w:rsid w:val="001D2F47"/>
    <w:rsid w:val="001D42B7"/>
    <w:rsid w:val="001D4DB5"/>
    <w:rsid w:val="001D517B"/>
    <w:rsid w:val="001D6253"/>
    <w:rsid w:val="001D7F8C"/>
    <w:rsid w:val="001E0936"/>
    <w:rsid w:val="001E1EC1"/>
    <w:rsid w:val="001E6029"/>
    <w:rsid w:val="001E6207"/>
    <w:rsid w:val="001E6AF8"/>
    <w:rsid w:val="001E6E5D"/>
    <w:rsid w:val="001E74AB"/>
    <w:rsid w:val="001E7A54"/>
    <w:rsid w:val="001F01CA"/>
    <w:rsid w:val="001F0D82"/>
    <w:rsid w:val="001F26D0"/>
    <w:rsid w:val="001F4122"/>
    <w:rsid w:val="00201924"/>
    <w:rsid w:val="00205352"/>
    <w:rsid w:val="002075A5"/>
    <w:rsid w:val="00210F2D"/>
    <w:rsid w:val="0021159F"/>
    <w:rsid w:val="00213A19"/>
    <w:rsid w:val="00213B47"/>
    <w:rsid w:val="002142C3"/>
    <w:rsid w:val="00216239"/>
    <w:rsid w:val="002167DE"/>
    <w:rsid w:val="0021734D"/>
    <w:rsid w:val="00220419"/>
    <w:rsid w:val="00221393"/>
    <w:rsid w:val="00222076"/>
    <w:rsid w:val="0022280B"/>
    <w:rsid w:val="00223605"/>
    <w:rsid w:val="002248EE"/>
    <w:rsid w:val="00225512"/>
    <w:rsid w:val="0022628F"/>
    <w:rsid w:val="00226E1C"/>
    <w:rsid w:val="00231C84"/>
    <w:rsid w:val="00232492"/>
    <w:rsid w:val="00232522"/>
    <w:rsid w:val="0023254D"/>
    <w:rsid w:val="00232FE8"/>
    <w:rsid w:val="002339E5"/>
    <w:rsid w:val="00234114"/>
    <w:rsid w:val="00237106"/>
    <w:rsid w:val="002375C8"/>
    <w:rsid w:val="00237A78"/>
    <w:rsid w:val="0024058E"/>
    <w:rsid w:val="00241AE0"/>
    <w:rsid w:val="00244D72"/>
    <w:rsid w:val="002471E0"/>
    <w:rsid w:val="00247FDB"/>
    <w:rsid w:val="00250852"/>
    <w:rsid w:val="00250A91"/>
    <w:rsid w:val="0025445F"/>
    <w:rsid w:val="00255851"/>
    <w:rsid w:val="00255DCC"/>
    <w:rsid w:val="002570BA"/>
    <w:rsid w:val="00265E2B"/>
    <w:rsid w:val="00267206"/>
    <w:rsid w:val="00272652"/>
    <w:rsid w:val="002731DE"/>
    <w:rsid w:val="00275010"/>
    <w:rsid w:val="00281F91"/>
    <w:rsid w:val="00282743"/>
    <w:rsid w:val="0028371B"/>
    <w:rsid w:val="00284B98"/>
    <w:rsid w:val="00290624"/>
    <w:rsid w:val="0029171A"/>
    <w:rsid w:val="00292A6B"/>
    <w:rsid w:val="00295B45"/>
    <w:rsid w:val="00297E74"/>
    <w:rsid w:val="00297FA3"/>
    <w:rsid w:val="002A02E5"/>
    <w:rsid w:val="002A08E4"/>
    <w:rsid w:val="002A157B"/>
    <w:rsid w:val="002A195A"/>
    <w:rsid w:val="002A3D57"/>
    <w:rsid w:val="002A6002"/>
    <w:rsid w:val="002A68E8"/>
    <w:rsid w:val="002A79D7"/>
    <w:rsid w:val="002A7E44"/>
    <w:rsid w:val="002B0547"/>
    <w:rsid w:val="002B0FD6"/>
    <w:rsid w:val="002B1AA1"/>
    <w:rsid w:val="002B3571"/>
    <w:rsid w:val="002B3907"/>
    <w:rsid w:val="002B5A03"/>
    <w:rsid w:val="002B5B87"/>
    <w:rsid w:val="002B6A15"/>
    <w:rsid w:val="002B743E"/>
    <w:rsid w:val="002C0B4E"/>
    <w:rsid w:val="002C11F6"/>
    <w:rsid w:val="002C6F22"/>
    <w:rsid w:val="002C72B3"/>
    <w:rsid w:val="002C733E"/>
    <w:rsid w:val="002C7C76"/>
    <w:rsid w:val="002D48D7"/>
    <w:rsid w:val="002D4C01"/>
    <w:rsid w:val="002D5122"/>
    <w:rsid w:val="002D5BD8"/>
    <w:rsid w:val="002D7EB5"/>
    <w:rsid w:val="002E3C3D"/>
    <w:rsid w:val="002E3ECC"/>
    <w:rsid w:val="002E57E0"/>
    <w:rsid w:val="002E604B"/>
    <w:rsid w:val="002E7B6C"/>
    <w:rsid w:val="002F43AF"/>
    <w:rsid w:val="002F46F2"/>
    <w:rsid w:val="002F4A24"/>
    <w:rsid w:val="002F4BCB"/>
    <w:rsid w:val="002F5BC7"/>
    <w:rsid w:val="002F63DB"/>
    <w:rsid w:val="002F690D"/>
    <w:rsid w:val="002F6962"/>
    <w:rsid w:val="002F6B3A"/>
    <w:rsid w:val="002F6BDB"/>
    <w:rsid w:val="002F6E41"/>
    <w:rsid w:val="002F71A5"/>
    <w:rsid w:val="00302214"/>
    <w:rsid w:val="00305188"/>
    <w:rsid w:val="00306009"/>
    <w:rsid w:val="0030607A"/>
    <w:rsid w:val="00311213"/>
    <w:rsid w:val="003137B8"/>
    <w:rsid w:val="0031388A"/>
    <w:rsid w:val="00313E7E"/>
    <w:rsid w:val="00315010"/>
    <w:rsid w:val="0031501E"/>
    <w:rsid w:val="00316DDD"/>
    <w:rsid w:val="00316ED5"/>
    <w:rsid w:val="00321539"/>
    <w:rsid w:val="003223D9"/>
    <w:rsid w:val="003233E0"/>
    <w:rsid w:val="003239BF"/>
    <w:rsid w:val="00324C32"/>
    <w:rsid w:val="00324CC0"/>
    <w:rsid w:val="00324D65"/>
    <w:rsid w:val="003271ED"/>
    <w:rsid w:val="00327CAF"/>
    <w:rsid w:val="003300D3"/>
    <w:rsid w:val="00331F61"/>
    <w:rsid w:val="00337893"/>
    <w:rsid w:val="00337925"/>
    <w:rsid w:val="00341D13"/>
    <w:rsid w:val="0034369D"/>
    <w:rsid w:val="00344065"/>
    <w:rsid w:val="0034494F"/>
    <w:rsid w:val="00344ACD"/>
    <w:rsid w:val="00344FFC"/>
    <w:rsid w:val="0034553E"/>
    <w:rsid w:val="003467D0"/>
    <w:rsid w:val="00347019"/>
    <w:rsid w:val="003478BA"/>
    <w:rsid w:val="0034794D"/>
    <w:rsid w:val="003502A9"/>
    <w:rsid w:val="00350F1F"/>
    <w:rsid w:val="00351524"/>
    <w:rsid w:val="00354562"/>
    <w:rsid w:val="00354922"/>
    <w:rsid w:val="00354B69"/>
    <w:rsid w:val="00356ABC"/>
    <w:rsid w:val="003577F2"/>
    <w:rsid w:val="00357E1E"/>
    <w:rsid w:val="00361238"/>
    <w:rsid w:val="00361717"/>
    <w:rsid w:val="00361876"/>
    <w:rsid w:val="00362F7A"/>
    <w:rsid w:val="003657EA"/>
    <w:rsid w:val="0036618D"/>
    <w:rsid w:val="00366E18"/>
    <w:rsid w:val="003712AF"/>
    <w:rsid w:val="0037180E"/>
    <w:rsid w:val="00371F69"/>
    <w:rsid w:val="00372270"/>
    <w:rsid w:val="00372A1C"/>
    <w:rsid w:val="00374E09"/>
    <w:rsid w:val="00375E4F"/>
    <w:rsid w:val="003761A5"/>
    <w:rsid w:val="0037633E"/>
    <w:rsid w:val="0037714D"/>
    <w:rsid w:val="00380540"/>
    <w:rsid w:val="003823B8"/>
    <w:rsid w:val="00383C5B"/>
    <w:rsid w:val="00383E37"/>
    <w:rsid w:val="003859E4"/>
    <w:rsid w:val="00391DE7"/>
    <w:rsid w:val="003923C1"/>
    <w:rsid w:val="0039246D"/>
    <w:rsid w:val="00392D58"/>
    <w:rsid w:val="00393349"/>
    <w:rsid w:val="00395570"/>
    <w:rsid w:val="00396984"/>
    <w:rsid w:val="00397B69"/>
    <w:rsid w:val="00397CE9"/>
    <w:rsid w:val="003A09DA"/>
    <w:rsid w:val="003A175A"/>
    <w:rsid w:val="003A2C3F"/>
    <w:rsid w:val="003A2C90"/>
    <w:rsid w:val="003A2DB9"/>
    <w:rsid w:val="003A4297"/>
    <w:rsid w:val="003A523D"/>
    <w:rsid w:val="003B087F"/>
    <w:rsid w:val="003B18A6"/>
    <w:rsid w:val="003B3968"/>
    <w:rsid w:val="003B5098"/>
    <w:rsid w:val="003B54E3"/>
    <w:rsid w:val="003B55ED"/>
    <w:rsid w:val="003C051D"/>
    <w:rsid w:val="003C1057"/>
    <w:rsid w:val="003C1D0D"/>
    <w:rsid w:val="003C28D9"/>
    <w:rsid w:val="003C3A2B"/>
    <w:rsid w:val="003C424E"/>
    <w:rsid w:val="003C4FBB"/>
    <w:rsid w:val="003C598E"/>
    <w:rsid w:val="003D0D33"/>
    <w:rsid w:val="003D1931"/>
    <w:rsid w:val="003D2FA2"/>
    <w:rsid w:val="003D37B5"/>
    <w:rsid w:val="003D40E8"/>
    <w:rsid w:val="003D6A96"/>
    <w:rsid w:val="003D720A"/>
    <w:rsid w:val="003E13A7"/>
    <w:rsid w:val="003E50DB"/>
    <w:rsid w:val="003E5145"/>
    <w:rsid w:val="003E59F8"/>
    <w:rsid w:val="003E7566"/>
    <w:rsid w:val="003F02CB"/>
    <w:rsid w:val="003F1FAB"/>
    <w:rsid w:val="003F395E"/>
    <w:rsid w:val="003F3C05"/>
    <w:rsid w:val="003F6E42"/>
    <w:rsid w:val="003F769C"/>
    <w:rsid w:val="00400573"/>
    <w:rsid w:val="004028CE"/>
    <w:rsid w:val="004051C5"/>
    <w:rsid w:val="004068BB"/>
    <w:rsid w:val="00410218"/>
    <w:rsid w:val="00412CA3"/>
    <w:rsid w:val="00416042"/>
    <w:rsid w:val="004171CD"/>
    <w:rsid w:val="004203F5"/>
    <w:rsid w:val="00421BEE"/>
    <w:rsid w:val="00422ED6"/>
    <w:rsid w:val="0042347E"/>
    <w:rsid w:val="00423B40"/>
    <w:rsid w:val="00424A9A"/>
    <w:rsid w:val="00425514"/>
    <w:rsid w:val="004260C0"/>
    <w:rsid w:val="00426A8C"/>
    <w:rsid w:val="00426B20"/>
    <w:rsid w:val="0042730F"/>
    <w:rsid w:val="00431AAD"/>
    <w:rsid w:val="00432417"/>
    <w:rsid w:val="00433A83"/>
    <w:rsid w:val="00434084"/>
    <w:rsid w:val="0044117C"/>
    <w:rsid w:val="00441F5F"/>
    <w:rsid w:val="00442134"/>
    <w:rsid w:val="00442D69"/>
    <w:rsid w:val="00444A1D"/>
    <w:rsid w:val="00445AB0"/>
    <w:rsid w:val="00447225"/>
    <w:rsid w:val="00450146"/>
    <w:rsid w:val="004518B4"/>
    <w:rsid w:val="00453278"/>
    <w:rsid w:val="00453BE4"/>
    <w:rsid w:val="00453FCB"/>
    <w:rsid w:val="0045467B"/>
    <w:rsid w:val="00454B26"/>
    <w:rsid w:val="004554A4"/>
    <w:rsid w:val="0045594D"/>
    <w:rsid w:val="00457D2F"/>
    <w:rsid w:val="0046067F"/>
    <w:rsid w:val="00460692"/>
    <w:rsid w:val="00462D82"/>
    <w:rsid w:val="004647C0"/>
    <w:rsid w:val="00465EAF"/>
    <w:rsid w:val="00466BBE"/>
    <w:rsid w:val="00467151"/>
    <w:rsid w:val="0047043F"/>
    <w:rsid w:val="00470D1A"/>
    <w:rsid w:val="00471862"/>
    <w:rsid w:val="00474D79"/>
    <w:rsid w:val="00480915"/>
    <w:rsid w:val="00481A30"/>
    <w:rsid w:val="0048201A"/>
    <w:rsid w:val="00483C5C"/>
    <w:rsid w:val="0048538E"/>
    <w:rsid w:val="00485B54"/>
    <w:rsid w:val="00487317"/>
    <w:rsid w:val="004939C8"/>
    <w:rsid w:val="00494642"/>
    <w:rsid w:val="004A0A55"/>
    <w:rsid w:val="004A1941"/>
    <w:rsid w:val="004A2BFE"/>
    <w:rsid w:val="004A4647"/>
    <w:rsid w:val="004A488E"/>
    <w:rsid w:val="004A4F48"/>
    <w:rsid w:val="004A5727"/>
    <w:rsid w:val="004A5FF8"/>
    <w:rsid w:val="004A724A"/>
    <w:rsid w:val="004B1001"/>
    <w:rsid w:val="004B1DD0"/>
    <w:rsid w:val="004B2352"/>
    <w:rsid w:val="004B31D0"/>
    <w:rsid w:val="004B5E44"/>
    <w:rsid w:val="004B5EF3"/>
    <w:rsid w:val="004B5F27"/>
    <w:rsid w:val="004B76BB"/>
    <w:rsid w:val="004C09D0"/>
    <w:rsid w:val="004C0CE2"/>
    <w:rsid w:val="004C17D5"/>
    <w:rsid w:val="004C1D2C"/>
    <w:rsid w:val="004C1D65"/>
    <w:rsid w:val="004C1F53"/>
    <w:rsid w:val="004C4FD3"/>
    <w:rsid w:val="004C59EE"/>
    <w:rsid w:val="004D07FC"/>
    <w:rsid w:val="004D0F82"/>
    <w:rsid w:val="004D2472"/>
    <w:rsid w:val="004D4119"/>
    <w:rsid w:val="004D4846"/>
    <w:rsid w:val="004D547D"/>
    <w:rsid w:val="004D5884"/>
    <w:rsid w:val="004D6547"/>
    <w:rsid w:val="004D7626"/>
    <w:rsid w:val="004E1287"/>
    <w:rsid w:val="004E3BFD"/>
    <w:rsid w:val="004E5B20"/>
    <w:rsid w:val="004E79B1"/>
    <w:rsid w:val="004F0082"/>
    <w:rsid w:val="004F0127"/>
    <w:rsid w:val="004F2BB7"/>
    <w:rsid w:val="004F4C29"/>
    <w:rsid w:val="004F5D91"/>
    <w:rsid w:val="004F5E01"/>
    <w:rsid w:val="004F781F"/>
    <w:rsid w:val="004F7F7E"/>
    <w:rsid w:val="00500224"/>
    <w:rsid w:val="00501634"/>
    <w:rsid w:val="00502504"/>
    <w:rsid w:val="00504798"/>
    <w:rsid w:val="00504DF1"/>
    <w:rsid w:val="00506F46"/>
    <w:rsid w:val="00510EA4"/>
    <w:rsid w:val="005142AD"/>
    <w:rsid w:val="0051711F"/>
    <w:rsid w:val="00524401"/>
    <w:rsid w:val="00526F41"/>
    <w:rsid w:val="00530998"/>
    <w:rsid w:val="00530F9E"/>
    <w:rsid w:val="00532B96"/>
    <w:rsid w:val="00533AFE"/>
    <w:rsid w:val="0053587F"/>
    <w:rsid w:val="00535CDE"/>
    <w:rsid w:val="00536A2D"/>
    <w:rsid w:val="005379EC"/>
    <w:rsid w:val="00537B1B"/>
    <w:rsid w:val="00543372"/>
    <w:rsid w:val="00544A70"/>
    <w:rsid w:val="00544E35"/>
    <w:rsid w:val="005474BE"/>
    <w:rsid w:val="00547906"/>
    <w:rsid w:val="00547BE9"/>
    <w:rsid w:val="0055053D"/>
    <w:rsid w:val="0055106E"/>
    <w:rsid w:val="00551D98"/>
    <w:rsid w:val="00551E0E"/>
    <w:rsid w:val="005524D2"/>
    <w:rsid w:val="00552C67"/>
    <w:rsid w:val="005574D0"/>
    <w:rsid w:val="00561D64"/>
    <w:rsid w:val="005628F6"/>
    <w:rsid w:val="005634D2"/>
    <w:rsid w:val="00567E24"/>
    <w:rsid w:val="005704E3"/>
    <w:rsid w:val="00572374"/>
    <w:rsid w:val="00573310"/>
    <w:rsid w:val="00575614"/>
    <w:rsid w:val="00576731"/>
    <w:rsid w:val="00576822"/>
    <w:rsid w:val="00576A4D"/>
    <w:rsid w:val="00576E66"/>
    <w:rsid w:val="005839F2"/>
    <w:rsid w:val="005853F9"/>
    <w:rsid w:val="00587465"/>
    <w:rsid w:val="005905CC"/>
    <w:rsid w:val="00590A26"/>
    <w:rsid w:val="00593A8E"/>
    <w:rsid w:val="005954E9"/>
    <w:rsid w:val="0059669B"/>
    <w:rsid w:val="00597247"/>
    <w:rsid w:val="00597301"/>
    <w:rsid w:val="005976B4"/>
    <w:rsid w:val="005A4C01"/>
    <w:rsid w:val="005A76A1"/>
    <w:rsid w:val="005A76A2"/>
    <w:rsid w:val="005B5348"/>
    <w:rsid w:val="005B5B60"/>
    <w:rsid w:val="005C14EC"/>
    <w:rsid w:val="005C4076"/>
    <w:rsid w:val="005C5F1C"/>
    <w:rsid w:val="005D1175"/>
    <w:rsid w:val="005D1553"/>
    <w:rsid w:val="005D1C78"/>
    <w:rsid w:val="005D1D8A"/>
    <w:rsid w:val="005D4078"/>
    <w:rsid w:val="005D55C3"/>
    <w:rsid w:val="005E24A9"/>
    <w:rsid w:val="005E2DD8"/>
    <w:rsid w:val="005E34A9"/>
    <w:rsid w:val="005E51AF"/>
    <w:rsid w:val="005E5279"/>
    <w:rsid w:val="005E69D6"/>
    <w:rsid w:val="005E6B4C"/>
    <w:rsid w:val="005F12DC"/>
    <w:rsid w:val="005F5F08"/>
    <w:rsid w:val="005F6C27"/>
    <w:rsid w:val="005F736C"/>
    <w:rsid w:val="00600AA0"/>
    <w:rsid w:val="00601B3B"/>
    <w:rsid w:val="00603DC3"/>
    <w:rsid w:val="00605B30"/>
    <w:rsid w:val="00605D2C"/>
    <w:rsid w:val="006073D9"/>
    <w:rsid w:val="00607699"/>
    <w:rsid w:val="00607D78"/>
    <w:rsid w:val="006118F2"/>
    <w:rsid w:val="00611C18"/>
    <w:rsid w:val="00611C80"/>
    <w:rsid w:val="006120ED"/>
    <w:rsid w:val="00612D49"/>
    <w:rsid w:val="00612F47"/>
    <w:rsid w:val="00613392"/>
    <w:rsid w:val="006151D9"/>
    <w:rsid w:val="006160BA"/>
    <w:rsid w:val="006177D1"/>
    <w:rsid w:val="006223F6"/>
    <w:rsid w:val="00622859"/>
    <w:rsid w:val="006301FF"/>
    <w:rsid w:val="006302A8"/>
    <w:rsid w:val="0063062A"/>
    <w:rsid w:val="0063170B"/>
    <w:rsid w:val="00633718"/>
    <w:rsid w:val="00634B59"/>
    <w:rsid w:val="006352AF"/>
    <w:rsid w:val="006423AB"/>
    <w:rsid w:val="00642E4F"/>
    <w:rsid w:val="006458E6"/>
    <w:rsid w:val="006461BB"/>
    <w:rsid w:val="006468F3"/>
    <w:rsid w:val="00646EB2"/>
    <w:rsid w:val="006478AC"/>
    <w:rsid w:val="00647D80"/>
    <w:rsid w:val="00650AC5"/>
    <w:rsid w:val="00651B8D"/>
    <w:rsid w:val="00651C9A"/>
    <w:rsid w:val="00652233"/>
    <w:rsid w:val="00653267"/>
    <w:rsid w:val="00653CB3"/>
    <w:rsid w:val="006543A2"/>
    <w:rsid w:val="0065541B"/>
    <w:rsid w:val="00656257"/>
    <w:rsid w:val="00660A9B"/>
    <w:rsid w:val="00660E36"/>
    <w:rsid w:val="00661765"/>
    <w:rsid w:val="0066207B"/>
    <w:rsid w:val="00662D35"/>
    <w:rsid w:val="00663083"/>
    <w:rsid w:val="00663AA6"/>
    <w:rsid w:val="00663E93"/>
    <w:rsid w:val="00664C07"/>
    <w:rsid w:val="00665D4C"/>
    <w:rsid w:val="006671CE"/>
    <w:rsid w:val="00667C1E"/>
    <w:rsid w:val="006703D2"/>
    <w:rsid w:val="0067104E"/>
    <w:rsid w:val="00671804"/>
    <w:rsid w:val="00672FD2"/>
    <w:rsid w:val="0067330E"/>
    <w:rsid w:val="0067406B"/>
    <w:rsid w:val="0067664D"/>
    <w:rsid w:val="00677B50"/>
    <w:rsid w:val="006831C5"/>
    <w:rsid w:val="00683C1C"/>
    <w:rsid w:val="00686342"/>
    <w:rsid w:val="006868E8"/>
    <w:rsid w:val="00686BF7"/>
    <w:rsid w:val="0069037B"/>
    <w:rsid w:val="00690876"/>
    <w:rsid w:val="00691125"/>
    <w:rsid w:val="00692524"/>
    <w:rsid w:val="00695718"/>
    <w:rsid w:val="0069789F"/>
    <w:rsid w:val="006A0BF7"/>
    <w:rsid w:val="006A23E7"/>
    <w:rsid w:val="006A380E"/>
    <w:rsid w:val="006A3CB2"/>
    <w:rsid w:val="006A3F2B"/>
    <w:rsid w:val="006A4910"/>
    <w:rsid w:val="006A4FB9"/>
    <w:rsid w:val="006A7D2C"/>
    <w:rsid w:val="006B5332"/>
    <w:rsid w:val="006B5775"/>
    <w:rsid w:val="006B6E8E"/>
    <w:rsid w:val="006B7060"/>
    <w:rsid w:val="006C1D27"/>
    <w:rsid w:val="006C2A75"/>
    <w:rsid w:val="006C4F97"/>
    <w:rsid w:val="006C58C8"/>
    <w:rsid w:val="006C59AD"/>
    <w:rsid w:val="006C6BF7"/>
    <w:rsid w:val="006D09A2"/>
    <w:rsid w:val="006D161C"/>
    <w:rsid w:val="006D35B2"/>
    <w:rsid w:val="006D3784"/>
    <w:rsid w:val="006D49A4"/>
    <w:rsid w:val="006D5C89"/>
    <w:rsid w:val="006D5D1C"/>
    <w:rsid w:val="006E10A8"/>
    <w:rsid w:val="006E7F33"/>
    <w:rsid w:val="006F0F7B"/>
    <w:rsid w:val="006F1C5D"/>
    <w:rsid w:val="006F40FF"/>
    <w:rsid w:val="006F4E5E"/>
    <w:rsid w:val="006F5A53"/>
    <w:rsid w:val="007009EE"/>
    <w:rsid w:val="007021E6"/>
    <w:rsid w:val="007037CF"/>
    <w:rsid w:val="007042BA"/>
    <w:rsid w:val="0070561B"/>
    <w:rsid w:val="00707003"/>
    <w:rsid w:val="00714A5E"/>
    <w:rsid w:val="00715368"/>
    <w:rsid w:val="00715F0C"/>
    <w:rsid w:val="007213CF"/>
    <w:rsid w:val="00721AF4"/>
    <w:rsid w:val="00722419"/>
    <w:rsid w:val="007231A5"/>
    <w:rsid w:val="00723DD4"/>
    <w:rsid w:val="00724B18"/>
    <w:rsid w:val="0072739F"/>
    <w:rsid w:val="00730056"/>
    <w:rsid w:val="007301D5"/>
    <w:rsid w:val="007309F8"/>
    <w:rsid w:val="007362B0"/>
    <w:rsid w:val="007371F5"/>
    <w:rsid w:val="007400A3"/>
    <w:rsid w:val="0074019C"/>
    <w:rsid w:val="00740521"/>
    <w:rsid w:val="00740968"/>
    <w:rsid w:val="00740EFB"/>
    <w:rsid w:val="00741D9C"/>
    <w:rsid w:val="00745A2C"/>
    <w:rsid w:val="0074684B"/>
    <w:rsid w:val="00752B03"/>
    <w:rsid w:val="00753924"/>
    <w:rsid w:val="007556A5"/>
    <w:rsid w:val="007563C6"/>
    <w:rsid w:val="00762B38"/>
    <w:rsid w:val="0077182A"/>
    <w:rsid w:val="00774EE0"/>
    <w:rsid w:val="00777106"/>
    <w:rsid w:val="00777AC8"/>
    <w:rsid w:val="00781298"/>
    <w:rsid w:val="007829E8"/>
    <w:rsid w:val="00782A66"/>
    <w:rsid w:val="00782B40"/>
    <w:rsid w:val="00783565"/>
    <w:rsid w:val="007835FE"/>
    <w:rsid w:val="00785234"/>
    <w:rsid w:val="00785398"/>
    <w:rsid w:val="0078540E"/>
    <w:rsid w:val="00786D26"/>
    <w:rsid w:val="00790857"/>
    <w:rsid w:val="007959CF"/>
    <w:rsid w:val="007A2B75"/>
    <w:rsid w:val="007A3965"/>
    <w:rsid w:val="007A73B3"/>
    <w:rsid w:val="007B15AD"/>
    <w:rsid w:val="007B387C"/>
    <w:rsid w:val="007B5857"/>
    <w:rsid w:val="007B5DED"/>
    <w:rsid w:val="007B63F2"/>
    <w:rsid w:val="007B76D4"/>
    <w:rsid w:val="007C15E9"/>
    <w:rsid w:val="007C1EC8"/>
    <w:rsid w:val="007C3D0D"/>
    <w:rsid w:val="007C51D8"/>
    <w:rsid w:val="007C54EC"/>
    <w:rsid w:val="007C579A"/>
    <w:rsid w:val="007D0905"/>
    <w:rsid w:val="007D488B"/>
    <w:rsid w:val="007D507B"/>
    <w:rsid w:val="007D526B"/>
    <w:rsid w:val="007E18AC"/>
    <w:rsid w:val="007E42E4"/>
    <w:rsid w:val="007E5904"/>
    <w:rsid w:val="007E60F5"/>
    <w:rsid w:val="007E6616"/>
    <w:rsid w:val="007E6FA0"/>
    <w:rsid w:val="007F0FB9"/>
    <w:rsid w:val="007F24A6"/>
    <w:rsid w:val="007F3801"/>
    <w:rsid w:val="007F42D6"/>
    <w:rsid w:val="007F4AD7"/>
    <w:rsid w:val="007F6023"/>
    <w:rsid w:val="007F7CDB"/>
    <w:rsid w:val="008006D3"/>
    <w:rsid w:val="00801841"/>
    <w:rsid w:val="008025D7"/>
    <w:rsid w:val="00802B3C"/>
    <w:rsid w:val="0080398D"/>
    <w:rsid w:val="00803D90"/>
    <w:rsid w:val="00804BE8"/>
    <w:rsid w:val="008057BA"/>
    <w:rsid w:val="008101B9"/>
    <w:rsid w:val="008107CE"/>
    <w:rsid w:val="008108EE"/>
    <w:rsid w:val="008129A0"/>
    <w:rsid w:val="00814EF2"/>
    <w:rsid w:val="00816948"/>
    <w:rsid w:val="0081731A"/>
    <w:rsid w:val="008212B5"/>
    <w:rsid w:val="00822826"/>
    <w:rsid w:val="00822D83"/>
    <w:rsid w:val="008234E8"/>
    <w:rsid w:val="00824D75"/>
    <w:rsid w:val="0082711D"/>
    <w:rsid w:val="00827497"/>
    <w:rsid w:val="00831788"/>
    <w:rsid w:val="00832318"/>
    <w:rsid w:val="00834527"/>
    <w:rsid w:val="00835B53"/>
    <w:rsid w:val="00836596"/>
    <w:rsid w:val="00842557"/>
    <w:rsid w:val="0084330B"/>
    <w:rsid w:val="00843364"/>
    <w:rsid w:val="0084393F"/>
    <w:rsid w:val="00846B9F"/>
    <w:rsid w:val="00846EEE"/>
    <w:rsid w:val="00846FA3"/>
    <w:rsid w:val="008509E7"/>
    <w:rsid w:val="00850DE5"/>
    <w:rsid w:val="008529F4"/>
    <w:rsid w:val="00853AC2"/>
    <w:rsid w:val="008542B7"/>
    <w:rsid w:val="008551B3"/>
    <w:rsid w:val="00856686"/>
    <w:rsid w:val="0086185A"/>
    <w:rsid w:val="00862449"/>
    <w:rsid w:val="00862A95"/>
    <w:rsid w:val="00862B3A"/>
    <w:rsid w:val="008635F9"/>
    <w:rsid w:val="00863DF4"/>
    <w:rsid w:val="008640AA"/>
    <w:rsid w:val="00865A54"/>
    <w:rsid w:val="00865B6E"/>
    <w:rsid w:val="00866E55"/>
    <w:rsid w:val="008676BB"/>
    <w:rsid w:val="00871BD6"/>
    <w:rsid w:val="00872A5D"/>
    <w:rsid w:val="00874022"/>
    <w:rsid w:val="00874050"/>
    <w:rsid w:val="0087592C"/>
    <w:rsid w:val="00875A59"/>
    <w:rsid w:val="0087703E"/>
    <w:rsid w:val="00877710"/>
    <w:rsid w:val="00877EC3"/>
    <w:rsid w:val="00880809"/>
    <w:rsid w:val="008819C6"/>
    <w:rsid w:val="00884318"/>
    <w:rsid w:val="008874B6"/>
    <w:rsid w:val="00887548"/>
    <w:rsid w:val="008921CF"/>
    <w:rsid w:val="00893E98"/>
    <w:rsid w:val="0089520E"/>
    <w:rsid w:val="00896348"/>
    <w:rsid w:val="00897CAA"/>
    <w:rsid w:val="00897CB9"/>
    <w:rsid w:val="008A0D61"/>
    <w:rsid w:val="008A3521"/>
    <w:rsid w:val="008A4558"/>
    <w:rsid w:val="008A4838"/>
    <w:rsid w:val="008A49BF"/>
    <w:rsid w:val="008A6321"/>
    <w:rsid w:val="008B0ACF"/>
    <w:rsid w:val="008B14AA"/>
    <w:rsid w:val="008B39D3"/>
    <w:rsid w:val="008B5152"/>
    <w:rsid w:val="008B55B3"/>
    <w:rsid w:val="008B681D"/>
    <w:rsid w:val="008B6B2E"/>
    <w:rsid w:val="008B7F5B"/>
    <w:rsid w:val="008C1A66"/>
    <w:rsid w:val="008C5E90"/>
    <w:rsid w:val="008C6D61"/>
    <w:rsid w:val="008C70A8"/>
    <w:rsid w:val="008C7E6C"/>
    <w:rsid w:val="008D37C4"/>
    <w:rsid w:val="008D4CC6"/>
    <w:rsid w:val="008D5A7C"/>
    <w:rsid w:val="008D66B6"/>
    <w:rsid w:val="008E066C"/>
    <w:rsid w:val="008E24E2"/>
    <w:rsid w:val="008E442C"/>
    <w:rsid w:val="008E4A97"/>
    <w:rsid w:val="008E5B82"/>
    <w:rsid w:val="008E66DF"/>
    <w:rsid w:val="008F2090"/>
    <w:rsid w:val="008F374A"/>
    <w:rsid w:val="008F38D1"/>
    <w:rsid w:val="008F4B1B"/>
    <w:rsid w:val="008F6EEE"/>
    <w:rsid w:val="008F75E3"/>
    <w:rsid w:val="008F7F20"/>
    <w:rsid w:val="0090058E"/>
    <w:rsid w:val="00900734"/>
    <w:rsid w:val="009019B9"/>
    <w:rsid w:val="00902284"/>
    <w:rsid w:val="00902B78"/>
    <w:rsid w:val="00906A90"/>
    <w:rsid w:val="00906BAF"/>
    <w:rsid w:val="00913D90"/>
    <w:rsid w:val="00914657"/>
    <w:rsid w:val="009178B9"/>
    <w:rsid w:val="00917BB9"/>
    <w:rsid w:val="00921A3B"/>
    <w:rsid w:val="00923423"/>
    <w:rsid w:val="009263FE"/>
    <w:rsid w:val="00927290"/>
    <w:rsid w:val="00932A73"/>
    <w:rsid w:val="00932B89"/>
    <w:rsid w:val="00933BD3"/>
    <w:rsid w:val="00934F51"/>
    <w:rsid w:val="00935EED"/>
    <w:rsid w:val="00936C51"/>
    <w:rsid w:val="00941079"/>
    <w:rsid w:val="009422A3"/>
    <w:rsid w:val="009437DE"/>
    <w:rsid w:val="0094388C"/>
    <w:rsid w:val="00943FA6"/>
    <w:rsid w:val="00944323"/>
    <w:rsid w:val="00946DDD"/>
    <w:rsid w:val="00947128"/>
    <w:rsid w:val="00952514"/>
    <w:rsid w:val="009534B8"/>
    <w:rsid w:val="009549C6"/>
    <w:rsid w:val="00956954"/>
    <w:rsid w:val="00956E76"/>
    <w:rsid w:val="009603AA"/>
    <w:rsid w:val="00962C22"/>
    <w:rsid w:val="00963DF5"/>
    <w:rsid w:val="00965428"/>
    <w:rsid w:val="00966DE0"/>
    <w:rsid w:val="00971813"/>
    <w:rsid w:val="00971933"/>
    <w:rsid w:val="00972311"/>
    <w:rsid w:val="009732F7"/>
    <w:rsid w:val="0097406F"/>
    <w:rsid w:val="00976899"/>
    <w:rsid w:val="0098003C"/>
    <w:rsid w:val="009839C4"/>
    <w:rsid w:val="00984F98"/>
    <w:rsid w:val="00987EAC"/>
    <w:rsid w:val="00990095"/>
    <w:rsid w:val="009906CF"/>
    <w:rsid w:val="00991184"/>
    <w:rsid w:val="0099328B"/>
    <w:rsid w:val="009970BA"/>
    <w:rsid w:val="009A276D"/>
    <w:rsid w:val="009A38A8"/>
    <w:rsid w:val="009A4CC4"/>
    <w:rsid w:val="009A4DDC"/>
    <w:rsid w:val="009A57EF"/>
    <w:rsid w:val="009A5B3F"/>
    <w:rsid w:val="009A63A6"/>
    <w:rsid w:val="009A764A"/>
    <w:rsid w:val="009B0517"/>
    <w:rsid w:val="009B28FD"/>
    <w:rsid w:val="009B2ED2"/>
    <w:rsid w:val="009B43F3"/>
    <w:rsid w:val="009B4E52"/>
    <w:rsid w:val="009B6516"/>
    <w:rsid w:val="009B7D78"/>
    <w:rsid w:val="009C1403"/>
    <w:rsid w:val="009C1F08"/>
    <w:rsid w:val="009C2957"/>
    <w:rsid w:val="009D08A0"/>
    <w:rsid w:val="009D0A03"/>
    <w:rsid w:val="009D0B5B"/>
    <w:rsid w:val="009D4761"/>
    <w:rsid w:val="009D4ACF"/>
    <w:rsid w:val="009D573A"/>
    <w:rsid w:val="009D6C55"/>
    <w:rsid w:val="009E1952"/>
    <w:rsid w:val="009E1C99"/>
    <w:rsid w:val="009E1D40"/>
    <w:rsid w:val="009E2368"/>
    <w:rsid w:val="009E2F62"/>
    <w:rsid w:val="009E3178"/>
    <w:rsid w:val="009E3387"/>
    <w:rsid w:val="009E37DF"/>
    <w:rsid w:val="009E796E"/>
    <w:rsid w:val="009F1022"/>
    <w:rsid w:val="009F112B"/>
    <w:rsid w:val="009F1169"/>
    <w:rsid w:val="009F1760"/>
    <w:rsid w:val="009F32CF"/>
    <w:rsid w:val="009F3830"/>
    <w:rsid w:val="009F430C"/>
    <w:rsid w:val="009F56BA"/>
    <w:rsid w:val="009F58A3"/>
    <w:rsid w:val="009F666B"/>
    <w:rsid w:val="00A0025E"/>
    <w:rsid w:val="00A00644"/>
    <w:rsid w:val="00A0323A"/>
    <w:rsid w:val="00A0497B"/>
    <w:rsid w:val="00A06F6D"/>
    <w:rsid w:val="00A15306"/>
    <w:rsid w:val="00A15F3A"/>
    <w:rsid w:val="00A16A57"/>
    <w:rsid w:val="00A1708F"/>
    <w:rsid w:val="00A17AD9"/>
    <w:rsid w:val="00A21030"/>
    <w:rsid w:val="00A214B8"/>
    <w:rsid w:val="00A2371A"/>
    <w:rsid w:val="00A23E9A"/>
    <w:rsid w:val="00A242C4"/>
    <w:rsid w:val="00A268B7"/>
    <w:rsid w:val="00A269AD"/>
    <w:rsid w:val="00A31780"/>
    <w:rsid w:val="00A317D9"/>
    <w:rsid w:val="00A331DE"/>
    <w:rsid w:val="00A35928"/>
    <w:rsid w:val="00A35F3F"/>
    <w:rsid w:val="00A41DF4"/>
    <w:rsid w:val="00A4261E"/>
    <w:rsid w:val="00A43D69"/>
    <w:rsid w:val="00A44582"/>
    <w:rsid w:val="00A45E31"/>
    <w:rsid w:val="00A46B80"/>
    <w:rsid w:val="00A46F2D"/>
    <w:rsid w:val="00A47B84"/>
    <w:rsid w:val="00A51EDA"/>
    <w:rsid w:val="00A52BBF"/>
    <w:rsid w:val="00A60783"/>
    <w:rsid w:val="00A60CBA"/>
    <w:rsid w:val="00A61251"/>
    <w:rsid w:val="00A62636"/>
    <w:rsid w:val="00A659E9"/>
    <w:rsid w:val="00A65DCE"/>
    <w:rsid w:val="00A65E58"/>
    <w:rsid w:val="00A667EA"/>
    <w:rsid w:val="00A66D80"/>
    <w:rsid w:val="00A672A7"/>
    <w:rsid w:val="00A70848"/>
    <w:rsid w:val="00A70978"/>
    <w:rsid w:val="00A70ABC"/>
    <w:rsid w:val="00A71AF4"/>
    <w:rsid w:val="00A71FF2"/>
    <w:rsid w:val="00A725B7"/>
    <w:rsid w:val="00A7335B"/>
    <w:rsid w:val="00A74A1D"/>
    <w:rsid w:val="00A74DE0"/>
    <w:rsid w:val="00A75C0E"/>
    <w:rsid w:val="00A82865"/>
    <w:rsid w:val="00A8310C"/>
    <w:rsid w:val="00A84099"/>
    <w:rsid w:val="00A84AE3"/>
    <w:rsid w:val="00A85522"/>
    <w:rsid w:val="00A9108F"/>
    <w:rsid w:val="00A910A5"/>
    <w:rsid w:val="00A930B9"/>
    <w:rsid w:val="00A934E3"/>
    <w:rsid w:val="00AA1713"/>
    <w:rsid w:val="00AA3ADB"/>
    <w:rsid w:val="00AA4EFE"/>
    <w:rsid w:val="00AA60D1"/>
    <w:rsid w:val="00AA60D6"/>
    <w:rsid w:val="00AA6C60"/>
    <w:rsid w:val="00AA747D"/>
    <w:rsid w:val="00AB3886"/>
    <w:rsid w:val="00AB53EC"/>
    <w:rsid w:val="00AB6A2E"/>
    <w:rsid w:val="00AB7B54"/>
    <w:rsid w:val="00AB7F31"/>
    <w:rsid w:val="00AC0674"/>
    <w:rsid w:val="00AC0C90"/>
    <w:rsid w:val="00AC10E7"/>
    <w:rsid w:val="00AC2C03"/>
    <w:rsid w:val="00AC4F26"/>
    <w:rsid w:val="00AC5874"/>
    <w:rsid w:val="00AC7726"/>
    <w:rsid w:val="00AD2231"/>
    <w:rsid w:val="00AD3FE8"/>
    <w:rsid w:val="00AD749F"/>
    <w:rsid w:val="00AE0D7B"/>
    <w:rsid w:val="00AE1918"/>
    <w:rsid w:val="00AE24F0"/>
    <w:rsid w:val="00AE393D"/>
    <w:rsid w:val="00AE6CA2"/>
    <w:rsid w:val="00AF1529"/>
    <w:rsid w:val="00AF1E9E"/>
    <w:rsid w:val="00AF2FAA"/>
    <w:rsid w:val="00AF3123"/>
    <w:rsid w:val="00AF4A35"/>
    <w:rsid w:val="00AF5199"/>
    <w:rsid w:val="00AF60A4"/>
    <w:rsid w:val="00AF623A"/>
    <w:rsid w:val="00AF646F"/>
    <w:rsid w:val="00AF6A39"/>
    <w:rsid w:val="00AF6DB1"/>
    <w:rsid w:val="00AF78B0"/>
    <w:rsid w:val="00B02EDD"/>
    <w:rsid w:val="00B05F45"/>
    <w:rsid w:val="00B06728"/>
    <w:rsid w:val="00B12BE1"/>
    <w:rsid w:val="00B12C4D"/>
    <w:rsid w:val="00B14A6B"/>
    <w:rsid w:val="00B204DF"/>
    <w:rsid w:val="00B25BA5"/>
    <w:rsid w:val="00B26CDF"/>
    <w:rsid w:val="00B26F01"/>
    <w:rsid w:val="00B2733A"/>
    <w:rsid w:val="00B27FE7"/>
    <w:rsid w:val="00B30203"/>
    <w:rsid w:val="00B337CB"/>
    <w:rsid w:val="00B34A30"/>
    <w:rsid w:val="00B35986"/>
    <w:rsid w:val="00B374B9"/>
    <w:rsid w:val="00B37CD1"/>
    <w:rsid w:val="00B407BC"/>
    <w:rsid w:val="00B42BF8"/>
    <w:rsid w:val="00B42C58"/>
    <w:rsid w:val="00B50422"/>
    <w:rsid w:val="00B53D1B"/>
    <w:rsid w:val="00B560C6"/>
    <w:rsid w:val="00B578D3"/>
    <w:rsid w:val="00B606DE"/>
    <w:rsid w:val="00B67A34"/>
    <w:rsid w:val="00B70313"/>
    <w:rsid w:val="00B72EEE"/>
    <w:rsid w:val="00B73222"/>
    <w:rsid w:val="00B73689"/>
    <w:rsid w:val="00B74C01"/>
    <w:rsid w:val="00B75616"/>
    <w:rsid w:val="00B7600E"/>
    <w:rsid w:val="00B76775"/>
    <w:rsid w:val="00B8012E"/>
    <w:rsid w:val="00B8050E"/>
    <w:rsid w:val="00B83063"/>
    <w:rsid w:val="00B8355D"/>
    <w:rsid w:val="00B84261"/>
    <w:rsid w:val="00B8558D"/>
    <w:rsid w:val="00B8631C"/>
    <w:rsid w:val="00B8654B"/>
    <w:rsid w:val="00B918B1"/>
    <w:rsid w:val="00B94653"/>
    <w:rsid w:val="00B96B06"/>
    <w:rsid w:val="00B974CF"/>
    <w:rsid w:val="00BA16B7"/>
    <w:rsid w:val="00BA20B4"/>
    <w:rsid w:val="00BA3525"/>
    <w:rsid w:val="00BA37E9"/>
    <w:rsid w:val="00BA7106"/>
    <w:rsid w:val="00BB255F"/>
    <w:rsid w:val="00BB2EE7"/>
    <w:rsid w:val="00BB3742"/>
    <w:rsid w:val="00BB460B"/>
    <w:rsid w:val="00BC131C"/>
    <w:rsid w:val="00BC1CAE"/>
    <w:rsid w:val="00BC2432"/>
    <w:rsid w:val="00BC3443"/>
    <w:rsid w:val="00BC3B7C"/>
    <w:rsid w:val="00BC3C37"/>
    <w:rsid w:val="00BC486B"/>
    <w:rsid w:val="00BC499F"/>
    <w:rsid w:val="00BC4A95"/>
    <w:rsid w:val="00BC5663"/>
    <w:rsid w:val="00BC6BB4"/>
    <w:rsid w:val="00BC6C2D"/>
    <w:rsid w:val="00BC7342"/>
    <w:rsid w:val="00BC76AD"/>
    <w:rsid w:val="00BD18AF"/>
    <w:rsid w:val="00BD1AB1"/>
    <w:rsid w:val="00BD24C1"/>
    <w:rsid w:val="00BD2E65"/>
    <w:rsid w:val="00BD401D"/>
    <w:rsid w:val="00BD453C"/>
    <w:rsid w:val="00BD59DF"/>
    <w:rsid w:val="00BD5E28"/>
    <w:rsid w:val="00BD6682"/>
    <w:rsid w:val="00BD68C2"/>
    <w:rsid w:val="00BE3ED5"/>
    <w:rsid w:val="00BE607C"/>
    <w:rsid w:val="00BF013F"/>
    <w:rsid w:val="00BF08E8"/>
    <w:rsid w:val="00BF54EF"/>
    <w:rsid w:val="00BF5F99"/>
    <w:rsid w:val="00C0067F"/>
    <w:rsid w:val="00C01829"/>
    <w:rsid w:val="00C0293D"/>
    <w:rsid w:val="00C03ED8"/>
    <w:rsid w:val="00C04C37"/>
    <w:rsid w:val="00C04DAD"/>
    <w:rsid w:val="00C05F08"/>
    <w:rsid w:val="00C06F66"/>
    <w:rsid w:val="00C06FE1"/>
    <w:rsid w:val="00C1159D"/>
    <w:rsid w:val="00C11C30"/>
    <w:rsid w:val="00C11D11"/>
    <w:rsid w:val="00C1248D"/>
    <w:rsid w:val="00C16EFB"/>
    <w:rsid w:val="00C204DD"/>
    <w:rsid w:val="00C224EF"/>
    <w:rsid w:val="00C2428E"/>
    <w:rsid w:val="00C25BF1"/>
    <w:rsid w:val="00C30F95"/>
    <w:rsid w:val="00C31717"/>
    <w:rsid w:val="00C34FDE"/>
    <w:rsid w:val="00C368E0"/>
    <w:rsid w:val="00C37A4A"/>
    <w:rsid w:val="00C37AB7"/>
    <w:rsid w:val="00C41B82"/>
    <w:rsid w:val="00C430A3"/>
    <w:rsid w:val="00C4651C"/>
    <w:rsid w:val="00C47177"/>
    <w:rsid w:val="00C5275A"/>
    <w:rsid w:val="00C528ED"/>
    <w:rsid w:val="00C53F64"/>
    <w:rsid w:val="00C543B8"/>
    <w:rsid w:val="00C553F9"/>
    <w:rsid w:val="00C62348"/>
    <w:rsid w:val="00C64269"/>
    <w:rsid w:val="00C644EF"/>
    <w:rsid w:val="00C645A6"/>
    <w:rsid w:val="00C659C1"/>
    <w:rsid w:val="00C659E5"/>
    <w:rsid w:val="00C6795D"/>
    <w:rsid w:val="00C67DF5"/>
    <w:rsid w:val="00C727EB"/>
    <w:rsid w:val="00C736BE"/>
    <w:rsid w:val="00C73955"/>
    <w:rsid w:val="00C7474C"/>
    <w:rsid w:val="00C74D51"/>
    <w:rsid w:val="00C75A41"/>
    <w:rsid w:val="00C776CE"/>
    <w:rsid w:val="00C77DE4"/>
    <w:rsid w:val="00C77EEC"/>
    <w:rsid w:val="00C829B9"/>
    <w:rsid w:val="00C842A3"/>
    <w:rsid w:val="00C84426"/>
    <w:rsid w:val="00C8667C"/>
    <w:rsid w:val="00C874A0"/>
    <w:rsid w:val="00C87702"/>
    <w:rsid w:val="00C87837"/>
    <w:rsid w:val="00C87FB6"/>
    <w:rsid w:val="00C90A75"/>
    <w:rsid w:val="00C90ACA"/>
    <w:rsid w:val="00C92880"/>
    <w:rsid w:val="00C941F5"/>
    <w:rsid w:val="00C95DC5"/>
    <w:rsid w:val="00C9776E"/>
    <w:rsid w:val="00CA0FC7"/>
    <w:rsid w:val="00CA59DD"/>
    <w:rsid w:val="00CA5F5C"/>
    <w:rsid w:val="00CB01A3"/>
    <w:rsid w:val="00CB0243"/>
    <w:rsid w:val="00CB2E97"/>
    <w:rsid w:val="00CB46B0"/>
    <w:rsid w:val="00CB52EB"/>
    <w:rsid w:val="00CB5B8D"/>
    <w:rsid w:val="00CB7EE0"/>
    <w:rsid w:val="00CC061E"/>
    <w:rsid w:val="00CC06D1"/>
    <w:rsid w:val="00CC0995"/>
    <w:rsid w:val="00CC3AF0"/>
    <w:rsid w:val="00CC6477"/>
    <w:rsid w:val="00CC667A"/>
    <w:rsid w:val="00CC7B37"/>
    <w:rsid w:val="00CD1306"/>
    <w:rsid w:val="00CD2A2F"/>
    <w:rsid w:val="00CD362B"/>
    <w:rsid w:val="00CE08AD"/>
    <w:rsid w:val="00CE1806"/>
    <w:rsid w:val="00CE264C"/>
    <w:rsid w:val="00CE2AE9"/>
    <w:rsid w:val="00CE33BD"/>
    <w:rsid w:val="00CE34BF"/>
    <w:rsid w:val="00CE7275"/>
    <w:rsid w:val="00CE7640"/>
    <w:rsid w:val="00CF1E29"/>
    <w:rsid w:val="00CF2B77"/>
    <w:rsid w:val="00D00213"/>
    <w:rsid w:val="00D0061A"/>
    <w:rsid w:val="00D044E4"/>
    <w:rsid w:val="00D10921"/>
    <w:rsid w:val="00D16C0D"/>
    <w:rsid w:val="00D17CE1"/>
    <w:rsid w:val="00D20524"/>
    <w:rsid w:val="00D21AD7"/>
    <w:rsid w:val="00D222A2"/>
    <w:rsid w:val="00D22EAE"/>
    <w:rsid w:val="00D2306F"/>
    <w:rsid w:val="00D23D6F"/>
    <w:rsid w:val="00D243DD"/>
    <w:rsid w:val="00D24BF0"/>
    <w:rsid w:val="00D256BD"/>
    <w:rsid w:val="00D25D4B"/>
    <w:rsid w:val="00D260A8"/>
    <w:rsid w:val="00D2665F"/>
    <w:rsid w:val="00D26C69"/>
    <w:rsid w:val="00D274C5"/>
    <w:rsid w:val="00D27945"/>
    <w:rsid w:val="00D3050C"/>
    <w:rsid w:val="00D32A6C"/>
    <w:rsid w:val="00D32D53"/>
    <w:rsid w:val="00D3523F"/>
    <w:rsid w:val="00D36702"/>
    <w:rsid w:val="00D36EEC"/>
    <w:rsid w:val="00D4406E"/>
    <w:rsid w:val="00D444B6"/>
    <w:rsid w:val="00D450B8"/>
    <w:rsid w:val="00D466F9"/>
    <w:rsid w:val="00D5142A"/>
    <w:rsid w:val="00D5349D"/>
    <w:rsid w:val="00D54200"/>
    <w:rsid w:val="00D54C4F"/>
    <w:rsid w:val="00D55674"/>
    <w:rsid w:val="00D55AF3"/>
    <w:rsid w:val="00D567CB"/>
    <w:rsid w:val="00D60A42"/>
    <w:rsid w:val="00D61128"/>
    <w:rsid w:val="00D61C91"/>
    <w:rsid w:val="00D628DC"/>
    <w:rsid w:val="00D6291D"/>
    <w:rsid w:val="00D63BA9"/>
    <w:rsid w:val="00D677E2"/>
    <w:rsid w:val="00D67F03"/>
    <w:rsid w:val="00D7170C"/>
    <w:rsid w:val="00D72904"/>
    <w:rsid w:val="00D748C3"/>
    <w:rsid w:val="00D74FEC"/>
    <w:rsid w:val="00D7530F"/>
    <w:rsid w:val="00D75572"/>
    <w:rsid w:val="00D80D47"/>
    <w:rsid w:val="00D90193"/>
    <w:rsid w:val="00D91ECF"/>
    <w:rsid w:val="00D94A3B"/>
    <w:rsid w:val="00DA3811"/>
    <w:rsid w:val="00DA51D7"/>
    <w:rsid w:val="00DB153A"/>
    <w:rsid w:val="00DB6BB8"/>
    <w:rsid w:val="00DB78B9"/>
    <w:rsid w:val="00DC120A"/>
    <w:rsid w:val="00DC20F8"/>
    <w:rsid w:val="00DC2448"/>
    <w:rsid w:val="00DC2809"/>
    <w:rsid w:val="00DC297F"/>
    <w:rsid w:val="00DC3D98"/>
    <w:rsid w:val="00DC474E"/>
    <w:rsid w:val="00DC526D"/>
    <w:rsid w:val="00DC744F"/>
    <w:rsid w:val="00DD130B"/>
    <w:rsid w:val="00DD15AA"/>
    <w:rsid w:val="00DD40E1"/>
    <w:rsid w:val="00DD6B93"/>
    <w:rsid w:val="00DD6FD4"/>
    <w:rsid w:val="00DD7238"/>
    <w:rsid w:val="00DE171D"/>
    <w:rsid w:val="00DE4C10"/>
    <w:rsid w:val="00DE4CD2"/>
    <w:rsid w:val="00DF08E3"/>
    <w:rsid w:val="00DF1258"/>
    <w:rsid w:val="00DF1822"/>
    <w:rsid w:val="00DF49CD"/>
    <w:rsid w:val="00DF4FB7"/>
    <w:rsid w:val="00DF5BA7"/>
    <w:rsid w:val="00DF7BFF"/>
    <w:rsid w:val="00DF7EC0"/>
    <w:rsid w:val="00E000FC"/>
    <w:rsid w:val="00E00FA2"/>
    <w:rsid w:val="00E0214A"/>
    <w:rsid w:val="00E02894"/>
    <w:rsid w:val="00E06418"/>
    <w:rsid w:val="00E06A67"/>
    <w:rsid w:val="00E075D9"/>
    <w:rsid w:val="00E07BD1"/>
    <w:rsid w:val="00E11980"/>
    <w:rsid w:val="00E11A85"/>
    <w:rsid w:val="00E12C2D"/>
    <w:rsid w:val="00E1313D"/>
    <w:rsid w:val="00E154E0"/>
    <w:rsid w:val="00E159E4"/>
    <w:rsid w:val="00E20D3B"/>
    <w:rsid w:val="00E22EF8"/>
    <w:rsid w:val="00E26393"/>
    <w:rsid w:val="00E33C40"/>
    <w:rsid w:val="00E33C49"/>
    <w:rsid w:val="00E3588C"/>
    <w:rsid w:val="00E359CF"/>
    <w:rsid w:val="00E37703"/>
    <w:rsid w:val="00E41E49"/>
    <w:rsid w:val="00E45436"/>
    <w:rsid w:val="00E47BD0"/>
    <w:rsid w:val="00E51DC4"/>
    <w:rsid w:val="00E5226E"/>
    <w:rsid w:val="00E56071"/>
    <w:rsid w:val="00E56CB7"/>
    <w:rsid w:val="00E56E6F"/>
    <w:rsid w:val="00E56FA9"/>
    <w:rsid w:val="00E57993"/>
    <w:rsid w:val="00E6044C"/>
    <w:rsid w:val="00E607E3"/>
    <w:rsid w:val="00E625E7"/>
    <w:rsid w:val="00E62738"/>
    <w:rsid w:val="00E63055"/>
    <w:rsid w:val="00E64614"/>
    <w:rsid w:val="00E70250"/>
    <w:rsid w:val="00E702BB"/>
    <w:rsid w:val="00E71374"/>
    <w:rsid w:val="00E7335C"/>
    <w:rsid w:val="00E73396"/>
    <w:rsid w:val="00E744B1"/>
    <w:rsid w:val="00E74643"/>
    <w:rsid w:val="00E75FB8"/>
    <w:rsid w:val="00E7732A"/>
    <w:rsid w:val="00E800DB"/>
    <w:rsid w:val="00E803C7"/>
    <w:rsid w:val="00E8387A"/>
    <w:rsid w:val="00E920F5"/>
    <w:rsid w:val="00E92CA0"/>
    <w:rsid w:val="00EA0B44"/>
    <w:rsid w:val="00EA0E68"/>
    <w:rsid w:val="00EA1F43"/>
    <w:rsid w:val="00EA2EE5"/>
    <w:rsid w:val="00EA41E8"/>
    <w:rsid w:val="00EA5CFC"/>
    <w:rsid w:val="00EA61B0"/>
    <w:rsid w:val="00EA6525"/>
    <w:rsid w:val="00EB0667"/>
    <w:rsid w:val="00EB0CF6"/>
    <w:rsid w:val="00EB1893"/>
    <w:rsid w:val="00EB201A"/>
    <w:rsid w:val="00EB21B5"/>
    <w:rsid w:val="00EB270F"/>
    <w:rsid w:val="00EB36F7"/>
    <w:rsid w:val="00EB40D9"/>
    <w:rsid w:val="00EB5D34"/>
    <w:rsid w:val="00EB6B8A"/>
    <w:rsid w:val="00EB7517"/>
    <w:rsid w:val="00EC1834"/>
    <w:rsid w:val="00EC1D56"/>
    <w:rsid w:val="00EC223F"/>
    <w:rsid w:val="00EC24BF"/>
    <w:rsid w:val="00EC529B"/>
    <w:rsid w:val="00EC7ECD"/>
    <w:rsid w:val="00ED0CC0"/>
    <w:rsid w:val="00ED129B"/>
    <w:rsid w:val="00ED4E00"/>
    <w:rsid w:val="00ED7521"/>
    <w:rsid w:val="00ED7F75"/>
    <w:rsid w:val="00EE0EC1"/>
    <w:rsid w:val="00EE1131"/>
    <w:rsid w:val="00EE3EE4"/>
    <w:rsid w:val="00EF0769"/>
    <w:rsid w:val="00EF09E3"/>
    <w:rsid w:val="00EF3EED"/>
    <w:rsid w:val="00EF48AA"/>
    <w:rsid w:val="00EF5445"/>
    <w:rsid w:val="00F011A1"/>
    <w:rsid w:val="00F01484"/>
    <w:rsid w:val="00F029A9"/>
    <w:rsid w:val="00F02FDB"/>
    <w:rsid w:val="00F1162C"/>
    <w:rsid w:val="00F11DCA"/>
    <w:rsid w:val="00F12DB0"/>
    <w:rsid w:val="00F13286"/>
    <w:rsid w:val="00F142CB"/>
    <w:rsid w:val="00F14D41"/>
    <w:rsid w:val="00F1634C"/>
    <w:rsid w:val="00F16678"/>
    <w:rsid w:val="00F16DA6"/>
    <w:rsid w:val="00F2027A"/>
    <w:rsid w:val="00F20339"/>
    <w:rsid w:val="00F2056F"/>
    <w:rsid w:val="00F21FED"/>
    <w:rsid w:val="00F22B8D"/>
    <w:rsid w:val="00F241B4"/>
    <w:rsid w:val="00F2543D"/>
    <w:rsid w:val="00F263C0"/>
    <w:rsid w:val="00F2704E"/>
    <w:rsid w:val="00F2737A"/>
    <w:rsid w:val="00F27F7A"/>
    <w:rsid w:val="00F32BFF"/>
    <w:rsid w:val="00F432D1"/>
    <w:rsid w:val="00F4342F"/>
    <w:rsid w:val="00F442E9"/>
    <w:rsid w:val="00F4545B"/>
    <w:rsid w:val="00F47553"/>
    <w:rsid w:val="00F514E0"/>
    <w:rsid w:val="00F51FFE"/>
    <w:rsid w:val="00F52913"/>
    <w:rsid w:val="00F5416E"/>
    <w:rsid w:val="00F54B42"/>
    <w:rsid w:val="00F620D6"/>
    <w:rsid w:val="00F634F8"/>
    <w:rsid w:val="00F639C7"/>
    <w:rsid w:val="00F63FBD"/>
    <w:rsid w:val="00F6613F"/>
    <w:rsid w:val="00F727BB"/>
    <w:rsid w:val="00F72AC9"/>
    <w:rsid w:val="00F7505E"/>
    <w:rsid w:val="00F77BAC"/>
    <w:rsid w:val="00F80C22"/>
    <w:rsid w:val="00F8123D"/>
    <w:rsid w:val="00F82FE4"/>
    <w:rsid w:val="00F83A71"/>
    <w:rsid w:val="00F84015"/>
    <w:rsid w:val="00F85C10"/>
    <w:rsid w:val="00F902A1"/>
    <w:rsid w:val="00F90B52"/>
    <w:rsid w:val="00F917BF"/>
    <w:rsid w:val="00F91E9F"/>
    <w:rsid w:val="00F92345"/>
    <w:rsid w:val="00F93CCC"/>
    <w:rsid w:val="00F94AB5"/>
    <w:rsid w:val="00F96807"/>
    <w:rsid w:val="00FA01EE"/>
    <w:rsid w:val="00FA1EF1"/>
    <w:rsid w:val="00FA355C"/>
    <w:rsid w:val="00FA3AC0"/>
    <w:rsid w:val="00FA70CF"/>
    <w:rsid w:val="00FB1D49"/>
    <w:rsid w:val="00FB3A69"/>
    <w:rsid w:val="00FB469E"/>
    <w:rsid w:val="00FB47DB"/>
    <w:rsid w:val="00FB545D"/>
    <w:rsid w:val="00FC0223"/>
    <w:rsid w:val="00FC06BD"/>
    <w:rsid w:val="00FC1AFF"/>
    <w:rsid w:val="00FC25A0"/>
    <w:rsid w:val="00FC281B"/>
    <w:rsid w:val="00FC66CD"/>
    <w:rsid w:val="00FC7FF6"/>
    <w:rsid w:val="00FD15FF"/>
    <w:rsid w:val="00FD320C"/>
    <w:rsid w:val="00FD3EF9"/>
    <w:rsid w:val="00FD4039"/>
    <w:rsid w:val="00FD676D"/>
    <w:rsid w:val="00FD6DE1"/>
    <w:rsid w:val="00FE2126"/>
    <w:rsid w:val="00FE27B2"/>
    <w:rsid w:val="00FE4750"/>
    <w:rsid w:val="00FE6BF3"/>
    <w:rsid w:val="00FE6CEC"/>
    <w:rsid w:val="00FF072B"/>
    <w:rsid w:val="00FF0CFE"/>
    <w:rsid w:val="00FF1AD4"/>
    <w:rsid w:val="00FF65CA"/>
    <w:rsid w:val="00FF6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250012"/>
  <w15:chartTrackingRefBased/>
  <w15:docId w15:val="{1E131E0C-6A30-4587-AC2D-06526467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q-AL"/>
    </w:rPr>
  </w:style>
  <w:style w:type="paragraph" w:styleId="Heading1">
    <w:name w:val="heading 1"/>
    <w:basedOn w:val="Normal"/>
    <w:link w:val="Heading1Char"/>
    <w:uiPriority w:val="99"/>
    <w:qFormat/>
    <w:rsid w:val="003479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qFormat/>
    <w:rsid w:val="00E075D9"/>
    <w:pPr>
      <w:keepNext/>
      <w:spacing w:after="0" w:line="240" w:lineRule="auto"/>
      <w:jc w:val="center"/>
      <w:outlineLvl w:val="1"/>
    </w:pPr>
    <w:rPr>
      <w:rFonts w:ascii="Times New Roman" w:hAnsi="Times New Roman" w:cs="Times New Roman"/>
      <w:b/>
      <w:sz w:val="24"/>
      <w:szCs w:val="20"/>
    </w:rPr>
  </w:style>
  <w:style w:type="paragraph" w:styleId="Heading4">
    <w:name w:val="heading 4"/>
    <w:basedOn w:val="Normal"/>
    <w:next w:val="Normal"/>
    <w:link w:val="Heading4Char"/>
    <w:qFormat/>
    <w:rsid w:val="00E075D9"/>
    <w:pPr>
      <w:keepNext/>
      <w:spacing w:before="240" w:after="60" w:line="240" w:lineRule="auto"/>
      <w:outlineLvl w:val="3"/>
    </w:pPr>
    <w:rPr>
      <w:rFonts w:ascii="Times New Roman" w:hAnsi="Times New Roman" w:cs="Times New Roman"/>
      <w:b/>
      <w:bCs/>
      <w:sz w:val="28"/>
      <w:szCs w:val="28"/>
    </w:rPr>
  </w:style>
  <w:style w:type="paragraph" w:styleId="Heading6">
    <w:name w:val="heading 6"/>
    <w:basedOn w:val="Normal"/>
    <w:next w:val="Normal"/>
    <w:link w:val="Heading6Char"/>
    <w:qFormat/>
    <w:rsid w:val="00E075D9"/>
    <w:pPr>
      <w:spacing w:before="240" w:after="60" w:line="240" w:lineRule="auto"/>
      <w:outlineLvl w:val="5"/>
    </w:pPr>
    <w:rPr>
      <w:rFonts w:ascii="Times New Roman" w:hAnsi="Times New Roman" w:cs="Times New Roman"/>
      <w:b/>
      <w:bCs/>
    </w:rPr>
  </w:style>
  <w:style w:type="paragraph" w:styleId="Heading7">
    <w:name w:val="heading 7"/>
    <w:basedOn w:val="Normal"/>
    <w:next w:val="Normal"/>
    <w:link w:val="Heading7Char"/>
    <w:qFormat/>
    <w:rsid w:val="00E075D9"/>
    <w:pPr>
      <w:spacing w:before="240" w:after="60" w:line="240" w:lineRule="auto"/>
      <w:outlineLvl w:val="6"/>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FF1AD4"/>
    <w:pPr>
      <w:ind w:left="720"/>
      <w:contextualSpacing/>
    </w:pPr>
  </w:style>
  <w:style w:type="paragraph" w:styleId="Header">
    <w:name w:val="header"/>
    <w:basedOn w:val="Normal"/>
    <w:link w:val="HeaderChar"/>
    <w:unhideWhenUsed/>
    <w:rsid w:val="006458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8E6"/>
    <w:rPr>
      <w:lang w:val="sq-AL"/>
    </w:rPr>
  </w:style>
  <w:style w:type="paragraph" w:styleId="Footer">
    <w:name w:val="footer"/>
    <w:basedOn w:val="Normal"/>
    <w:link w:val="FooterChar"/>
    <w:unhideWhenUsed/>
    <w:rsid w:val="00645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8E6"/>
    <w:rPr>
      <w:lang w:val="sq-AL"/>
    </w:rPr>
  </w:style>
  <w:style w:type="character" w:styleId="CommentReference">
    <w:name w:val="annotation reference"/>
    <w:rsid w:val="006458E6"/>
    <w:rPr>
      <w:sz w:val="16"/>
      <w:szCs w:val="16"/>
    </w:rPr>
  </w:style>
  <w:style w:type="paragraph" w:styleId="CommentText">
    <w:name w:val="annotation text"/>
    <w:basedOn w:val="Normal"/>
    <w:link w:val="CommentTextChar"/>
    <w:rsid w:val="006458E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458E6"/>
    <w:rPr>
      <w:rFonts w:ascii="Times New Roman" w:eastAsia="Times New Roman" w:hAnsi="Times New Roman" w:cs="Times New Roman"/>
      <w:sz w:val="20"/>
      <w:szCs w:val="20"/>
      <w:lang w:val="sq-AL"/>
    </w:rPr>
  </w:style>
  <w:style w:type="paragraph" w:styleId="BalloonText">
    <w:name w:val="Balloon Text"/>
    <w:basedOn w:val="Normal"/>
    <w:link w:val="BalloonTextChar"/>
    <w:semiHidden/>
    <w:unhideWhenUsed/>
    <w:rsid w:val="006458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8E6"/>
    <w:rPr>
      <w:rFonts w:ascii="Segoe UI" w:hAnsi="Segoe UI" w:cs="Segoe UI"/>
      <w:sz w:val="18"/>
      <w:szCs w:val="18"/>
      <w:lang w:val="sq-AL"/>
    </w:rPr>
  </w:style>
  <w:style w:type="paragraph" w:styleId="CommentSubject">
    <w:name w:val="annotation subject"/>
    <w:basedOn w:val="CommentText"/>
    <w:next w:val="CommentText"/>
    <w:link w:val="CommentSubjectChar"/>
    <w:semiHidden/>
    <w:unhideWhenUsed/>
    <w:rsid w:val="00BD24C1"/>
    <w:pPr>
      <w:spacing w:after="160"/>
    </w:pPr>
    <w:rPr>
      <w:rFonts w:asciiTheme="minorHAnsi" w:eastAsia="MS Mincho" w:hAnsiTheme="minorHAnsi" w:cstheme="minorBidi"/>
      <w:b/>
      <w:bCs/>
    </w:rPr>
  </w:style>
  <w:style w:type="character" w:customStyle="1" w:styleId="CommentSubjectChar">
    <w:name w:val="Comment Subject Char"/>
    <w:basedOn w:val="CommentTextChar"/>
    <w:link w:val="CommentSubject"/>
    <w:uiPriority w:val="99"/>
    <w:semiHidden/>
    <w:rsid w:val="00BD24C1"/>
    <w:rPr>
      <w:rFonts w:ascii="Times New Roman" w:eastAsia="Times New Roman" w:hAnsi="Times New Roman" w:cs="Times New Roman"/>
      <w:b/>
      <w:bCs/>
      <w:sz w:val="20"/>
      <w:szCs w:val="20"/>
      <w:lang w:val="sq-AL"/>
    </w:rPr>
  </w:style>
  <w:style w:type="paragraph" w:customStyle="1" w:styleId="Default">
    <w:name w:val="Default"/>
    <w:rsid w:val="00660E36"/>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rsid w:val="00CB0243"/>
    <w:pPr>
      <w:spacing w:after="0" w:line="240" w:lineRule="auto"/>
      <w:ind w:left="720"/>
      <w:jc w:val="both"/>
    </w:pPr>
    <w:rPr>
      <w:rFonts w:ascii="Book Antiqua" w:hAnsi="Book Antiqua" w:cs="Times New Roman"/>
      <w:sz w:val="26"/>
      <w:szCs w:val="20"/>
      <w:lang w:val="en-US"/>
    </w:rPr>
  </w:style>
  <w:style w:type="character" w:customStyle="1" w:styleId="BodyTextIndentChar">
    <w:name w:val="Body Text Indent Char"/>
    <w:basedOn w:val="DefaultParagraphFont"/>
    <w:link w:val="BodyTextIndent"/>
    <w:rsid w:val="00CB0243"/>
    <w:rPr>
      <w:rFonts w:ascii="Book Antiqua" w:hAnsi="Book Antiqua" w:cs="Times New Roman"/>
      <w:sz w:val="26"/>
      <w:szCs w:val="20"/>
    </w:rPr>
  </w:style>
  <w:style w:type="table" w:styleId="TableGrid">
    <w:name w:val="Table Grid"/>
    <w:basedOn w:val="TableNormal"/>
    <w:rsid w:val="00923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53924"/>
    <w:rPr>
      <w:b/>
      <w:bCs/>
    </w:rPr>
  </w:style>
  <w:style w:type="paragraph" w:styleId="Revision">
    <w:name w:val="Revision"/>
    <w:hidden/>
    <w:uiPriority w:val="99"/>
    <w:semiHidden/>
    <w:rsid w:val="00DD6FD4"/>
    <w:pPr>
      <w:spacing w:after="0" w:line="240" w:lineRule="auto"/>
    </w:pPr>
    <w:rPr>
      <w:lang w:val="sq-AL"/>
    </w:rPr>
  </w:style>
  <w:style w:type="paragraph" w:styleId="NormalWeb">
    <w:name w:val="Normal (Web)"/>
    <w:basedOn w:val="Normal"/>
    <w:uiPriority w:val="99"/>
    <w:semiHidden/>
    <w:unhideWhenUsed/>
    <w:rsid w:val="00E12C2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9"/>
    <w:rsid w:val="0034794D"/>
    <w:rPr>
      <w:rFonts w:ascii="Times New Roman" w:eastAsia="Times New Roman" w:hAnsi="Times New Roman" w:cs="Times New Roman"/>
      <w:b/>
      <w:bCs/>
      <w:kern w:val="36"/>
      <w:sz w:val="48"/>
      <w:szCs w:val="48"/>
    </w:rPr>
  </w:style>
  <w:style w:type="character" w:styleId="Hyperlink">
    <w:name w:val="Hyperlink"/>
    <w:basedOn w:val="DefaultParagraphFont"/>
    <w:unhideWhenUsed/>
    <w:rsid w:val="00CE264C"/>
    <w:rPr>
      <w:color w:val="0563C1" w:themeColor="hyperlink"/>
      <w:u w:val="single"/>
    </w:rPr>
  </w:style>
  <w:style w:type="character" w:customStyle="1" w:styleId="ListParagraphChar">
    <w:name w:val="List Paragraph Char"/>
    <w:link w:val="ListParagraph"/>
    <w:locked/>
    <w:rsid w:val="00A269AD"/>
    <w:rPr>
      <w:lang w:val="sq-AL"/>
    </w:rPr>
  </w:style>
  <w:style w:type="character" w:customStyle="1" w:styleId="Heading2Char">
    <w:name w:val="Heading 2 Char"/>
    <w:basedOn w:val="DefaultParagraphFont"/>
    <w:link w:val="Heading2"/>
    <w:rsid w:val="00E075D9"/>
    <w:rPr>
      <w:rFonts w:ascii="Times New Roman" w:hAnsi="Times New Roman" w:cs="Times New Roman"/>
      <w:b/>
      <w:sz w:val="24"/>
      <w:szCs w:val="20"/>
      <w:lang w:val="sq-AL"/>
    </w:rPr>
  </w:style>
  <w:style w:type="character" w:customStyle="1" w:styleId="Heading4Char">
    <w:name w:val="Heading 4 Char"/>
    <w:basedOn w:val="DefaultParagraphFont"/>
    <w:link w:val="Heading4"/>
    <w:rsid w:val="00E075D9"/>
    <w:rPr>
      <w:rFonts w:ascii="Times New Roman" w:hAnsi="Times New Roman" w:cs="Times New Roman"/>
      <w:b/>
      <w:bCs/>
      <w:sz w:val="28"/>
      <w:szCs w:val="28"/>
      <w:lang w:val="sq-AL"/>
    </w:rPr>
  </w:style>
  <w:style w:type="character" w:customStyle="1" w:styleId="Heading6Char">
    <w:name w:val="Heading 6 Char"/>
    <w:basedOn w:val="DefaultParagraphFont"/>
    <w:link w:val="Heading6"/>
    <w:rsid w:val="00E075D9"/>
    <w:rPr>
      <w:rFonts w:ascii="Times New Roman" w:hAnsi="Times New Roman" w:cs="Times New Roman"/>
      <w:b/>
      <w:bCs/>
      <w:lang w:val="sq-AL"/>
    </w:rPr>
  </w:style>
  <w:style w:type="character" w:customStyle="1" w:styleId="Heading7Char">
    <w:name w:val="Heading 7 Char"/>
    <w:basedOn w:val="DefaultParagraphFont"/>
    <w:link w:val="Heading7"/>
    <w:rsid w:val="00E075D9"/>
    <w:rPr>
      <w:rFonts w:ascii="Times New Roman" w:hAnsi="Times New Roman" w:cs="Times New Roman"/>
      <w:sz w:val="24"/>
      <w:szCs w:val="24"/>
      <w:lang w:val="sq-AL"/>
    </w:rPr>
  </w:style>
  <w:style w:type="table" w:customStyle="1" w:styleId="TableStyle1">
    <w:name w:val="Table Style1"/>
    <w:basedOn w:val="TableGrid8"/>
    <w:rsid w:val="00E075D9"/>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E075D9"/>
    <w:pPr>
      <w:spacing w:after="0" w:line="240" w:lineRule="auto"/>
    </w:pPr>
    <w:rPr>
      <w:rFonts w:ascii="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PageNumber">
    <w:name w:val="page number"/>
    <w:basedOn w:val="DefaultParagraphFont"/>
    <w:rsid w:val="00E075D9"/>
  </w:style>
  <w:style w:type="paragraph" w:styleId="PlainText">
    <w:name w:val="Plain Text"/>
    <w:basedOn w:val="Normal"/>
    <w:link w:val="PlainTextChar"/>
    <w:rsid w:val="00E075D9"/>
    <w:pPr>
      <w:spacing w:after="0" w:line="240" w:lineRule="auto"/>
    </w:pPr>
    <w:rPr>
      <w:rFonts w:ascii="Courier New" w:hAnsi="Courier New" w:cs="Times New Roman"/>
      <w:sz w:val="20"/>
      <w:szCs w:val="20"/>
      <w:lang w:val="en-US"/>
    </w:rPr>
  </w:style>
  <w:style w:type="character" w:customStyle="1" w:styleId="PlainTextChar">
    <w:name w:val="Plain Text Char"/>
    <w:basedOn w:val="DefaultParagraphFont"/>
    <w:link w:val="PlainText"/>
    <w:rsid w:val="00E075D9"/>
    <w:rPr>
      <w:rFonts w:ascii="Courier New" w:hAnsi="Courier New" w:cs="Times New Roman"/>
      <w:sz w:val="20"/>
      <w:szCs w:val="20"/>
    </w:rPr>
  </w:style>
  <w:style w:type="paragraph" w:styleId="BodyText">
    <w:name w:val="Body Text"/>
    <w:basedOn w:val="Normal"/>
    <w:link w:val="BodyTextChar"/>
    <w:rsid w:val="00E075D9"/>
    <w:pPr>
      <w:spacing w:after="0" w:line="360" w:lineRule="auto"/>
      <w:jc w:val="both"/>
    </w:pPr>
    <w:rPr>
      <w:rFonts w:ascii="Arial" w:hAnsi="Arial" w:cs="Arial"/>
      <w:sz w:val="24"/>
      <w:szCs w:val="24"/>
    </w:rPr>
  </w:style>
  <w:style w:type="character" w:customStyle="1" w:styleId="BodyTextChar">
    <w:name w:val="Body Text Char"/>
    <w:basedOn w:val="DefaultParagraphFont"/>
    <w:link w:val="BodyText"/>
    <w:rsid w:val="00E075D9"/>
    <w:rPr>
      <w:rFonts w:ascii="Arial" w:hAnsi="Arial" w:cs="Arial"/>
      <w:sz w:val="24"/>
      <w:szCs w:val="24"/>
      <w:lang w:val="sq-AL"/>
    </w:rPr>
  </w:style>
  <w:style w:type="paragraph" w:styleId="FootnoteText">
    <w:name w:val="footnote text"/>
    <w:basedOn w:val="Normal"/>
    <w:link w:val="FootnoteTextChar1"/>
    <w:rsid w:val="00E075D9"/>
    <w:pPr>
      <w:spacing w:after="0" w:line="240" w:lineRule="auto"/>
    </w:pPr>
    <w:rPr>
      <w:rFonts w:ascii="Times New Roman" w:hAnsi="Times New Roman" w:cs="Times New Roman"/>
      <w:sz w:val="20"/>
      <w:szCs w:val="20"/>
      <w:lang w:val="en-US"/>
    </w:rPr>
  </w:style>
  <w:style w:type="character" w:customStyle="1" w:styleId="FootnoteTextChar">
    <w:name w:val="Footnote Text Char"/>
    <w:basedOn w:val="DefaultParagraphFont"/>
    <w:semiHidden/>
    <w:rsid w:val="00E075D9"/>
    <w:rPr>
      <w:sz w:val="20"/>
      <w:szCs w:val="20"/>
      <w:lang w:val="sq-AL"/>
    </w:rPr>
  </w:style>
  <w:style w:type="paragraph" w:styleId="BodyTextIndent2">
    <w:name w:val="Body Text Indent 2"/>
    <w:basedOn w:val="Normal"/>
    <w:link w:val="BodyTextIndent2Char"/>
    <w:rsid w:val="00E075D9"/>
    <w:pPr>
      <w:spacing w:after="120" w:line="480" w:lineRule="auto"/>
      <w:ind w:left="360"/>
    </w:pPr>
    <w:rPr>
      <w:rFonts w:ascii="Times New Roman" w:hAnsi="Times New Roman" w:cs="Times New Roman"/>
      <w:sz w:val="24"/>
      <w:szCs w:val="24"/>
    </w:rPr>
  </w:style>
  <w:style w:type="character" w:customStyle="1" w:styleId="BodyTextIndent2Char">
    <w:name w:val="Body Text Indent 2 Char"/>
    <w:basedOn w:val="DefaultParagraphFont"/>
    <w:link w:val="BodyTextIndent2"/>
    <w:rsid w:val="00E075D9"/>
    <w:rPr>
      <w:rFonts w:ascii="Times New Roman" w:hAnsi="Times New Roman" w:cs="Times New Roman"/>
      <w:sz w:val="24"/>
      <w:szCs w:val="24"/>
      <w:lang w:val="sq-AL"/>
    </w:rPr>
  </w:style>
  <w:style w:type="paragraph" w:styleId="BodyText2">
    <w:name w:val="Body Text 2"/>
    <w:basedOn w:val="Normal"/>
    <w:link w:val="BodyText2Char"/>
    <w:rsid w:val="00E075D9"/>
    <w:pPr>
      <w:spacing w:after="120" w:line="480" w:lineRule="auto"/>
    </w:pPr>
    <w:rPr>
      <w:rFonts w:ascii="Times New Roman" w:hAnsi="Times New Roman" w:cs="Times New Roman"/>
      <w:sz w:val="24"/>
      <w:szCs w:val="24"/>
    </w:rPr>
  </w:style>
  <w:style w:type="character" w:customStyle="1" w:styleId="BodyText2Char">
    <w:name w:val="Body Text 2 Char"/>
    <w:basedOn w:val="DefaultParagraphFont"/>
    <w:link w:val="BodyText2"/>
    <w:rsid w:val="00E075D9"/>
    <w:rPr>
      <w:rFonts w:ascii="Times New Roman" w:hAnsi="Times New Roman" w:cs="Times New Roman"/>
      <w:sz w:val="24"/>
      <w:szCs w:val="24"/>
      <w:lang w:val="sq-AL"/>
    </w:rPr>
  </w:style>
  <w:style w:type="paragraph" w:styleId="BodyText3">
    <w:name w:val="Body Text 3"/>
    <w:basedOn w:val="Normal"/>
    <w:link w:val="BodyText3Char"/>
    <w:rsid w:val="00E075D9"/>
    <w:pPr>
      <w:spacing w:after="120" w:line="240" w:lineRule="auto"/>
    </w:pPr>
    <w:rPr>
      <w:rFonts w:ascii="Times New Roman" w:hAnsi="Times New Roman" w:cs="Times New Roman"/>
      <w:sz w:val="16"/>
      <w:szCs w:val="16"/>
    </w:rPr>
  </w:style>
  <w:style w:type="character" w:customStyle="1" w:styleId="BodyText3Char">
    <w:name w:val="Body Text 3 Char"/>
    <w:basedOn w:val="DefaultParagraphFont"/>
    <w:link w:val="BodyText3"/>
    <w:rsid w:val="00E075D9"/>
    <w:rPr>
      <w:rFonts w:ascii="Times New Roman" w:hAnsi="Times New Roman" w:cs="Times New Roman"/>
      <w:sz w:val="16"/>
      <w:szCs w:val="16"/>
      <w:lang w:val="sq-AL"/>
    </w:rPr>
  </w:style>
  <w:style w:type="character" w:styleId="FootnoteReference">
    <w:name w:val="footnote reference"/>
    <w:semiHidden/>
    <w:rsid w:val="00E075D9"/>
    <w:rPr>
      <w:vertAlign w:val="superscript"/>
    </w:rPr>
  </w:style>
  <w:style w:type="paragraph" w:styleId="List">
    <w:name w:val="List"/>
    <w:basedOn w:val="Normal"/>
    <w:rsid w:val="00E075D9"/>
    <w:pPr>
      <w:spacing w:after="0" w:line="240" w:lineRule="auto"/>
      <w:ind w:left="283" w:hanging="283"/>
      <w:contextualSpacing/>
      <w:jc w:val="both"/>
    </w:pPr>
    <w:rPr>
      <w:rFonts w:ascii="Times New Roman" w:hAnsi="Times New Roman" w:cs="Times New Roman"/>
      <w:sz w:val="24"/>
      <w:szCs w:val="24"/>
      <w:lang w:val="en-US" w:eastAsia="ru-RU"/>
    </w:rPr>
  </w:style>
  <w:style w:type="paragraph" w:customStyle="1" w:styleId="CharCharChar1CharCharCharCharCharChar">
    <w:name w:val="Char Char Char1 Char Char Char Char Char Char"/>
    <w:basedOn w:val="Normal"/>
    <w:rsid w:val="00E075D9"/>
    <w:pPr>
      <w:spacing w:line="240" w:lineRule="exact"/>
    </w:pPr>
    <w:rPr>
      <w:rFonts w:ascii="Tahoma" w:hAnsi="Tahoma" w:cs="Times New Roman"/>
      <w:sz w:val="20"/>
      <w:szCs w:val="20"/>
      <w:lang w:val="en-US"/>
    </w:rPr>
  </w:style>
  <w:style w:type="paragraph" w:customStyle="1" w:styleId="CharCharChar">
    <w:name w:val="Char Char Char"/>
    <w:basedOn w:val="Normal"/>
    <w:rsid w:val="00E075D9"/>
    <w:pPr>
      <w:spacing w:line="240" w:lineRule="exact"/>
    </w:pPr>
    <w:rPr>
      <w:rFonts w:ascii="Tahoma" w:hAnsi="Tahoma" w:cs="Times New Roman"/>
      <w:sz w:val="20"/>
      <w:szCs w:val="20"/>
      <w:lang w:val="en-US"/>
    </w:rPr>
  </w:style>
  <w:style w:type="paragraph" w:customStyle="1" w:styleId="CharCharCharCharCharCharCharCharChar">
    <w:name w:val="Char Char Char Char Char Char Char Char Char"/>
    <w:basedOn w:val="Normal"/>
    <w:rsid w:val="00E075D9"/>
    <w:pPr>
      <w:spacing w:line="240" w:lineRule="exact"/>
    </w:pPr>
    <w:rPr>
      <w:rFonts w:ascii="Tahoma" w:hAnsi="Tahoma" w:cs="Times New Roman"/>
      <w:sz w:val="20"/>
      <w:szCs w:val="20"/>
      <w:lang w:val="en-US"/>
    </w:rPr>
  </w:style>
  <w:style w:type="paragraph" w:styleId="DocumentMap">
    <w:name w:val="Document Map"/>
    <w:basedOn w:val="Normal"/>
    <w:link w:val="DocumentMapChar"/>
    <w:semiHidden/>
    <w:rsid w:val="00E075D9"/>
    <w:pPr>
      <w:shd w:val="clear" w:color="auto" w:fill="000080"/>
      <w:spacing w:after="0" w:line="240" w:lineRule="auto"/>
    </w:pPr>
    <w:rPr>
      <w:rFonts w:ascii="Tahoma" w:hAnsi="Tahoma" w:cs="Tahoma"/>
      <w:sz w:val="20"/>
      <w:szCs w:val="20"/>
    </w:rPr>
  </w:style>
  <w:style w:type="character" w:customStyle="1" w:styleId="DocumentMapChar">
    <w:name w:val="Document Map Char"/>
    <w:basedOn w:val="DefaultParagraphFont"/>
    <w:link w:val="DocumentMap"/>
    <w:semiHidden/>
    <w:rsid w:val="00E075D9"/>
    <w:rPr>
      <w:rFonts w:ascii="Tahoma" w:hAnsi="Tahoma" w:cs="Tahoma"/>
      <w:sz w:val="20"/>
      <w:szCs w:val="20"/>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E075D9"/>
    <w:pPr>
      <w:spacing w:line="240" w:lineRule="exact"/>
    </w:pPr>
    <w:rPr>
      <w:rFonts w:ascii="Tahoma" w:hAnsi="Tahoma" w:cs="Times New Roman"/>
      <w:sz w:val="20"/>
      <w:szCs w:val="20"/>
      <w:lang w:val="en-US"/>
    </w:rPr>
  </w:style>
  <w:style w:type="paragraph" w:customStyle="1" w:styleId="CharCharCharCharCharCharCharCharCharCharChar">
    <w:name w:val="Char Char Char Char Char Char Char Char Char Char Char"/>
    <w:basedOn w:val="Normal"/>
    <w:rsid w:val="00E075D9"/>
    <w:pPr>
      <w:spacing w:line="240" w:lineRule="exact"/>
    </w:pPr>
    <w:rPr>
      <w:rFonts w:ascii="Tahoma" w:hAnsi="Tahoma" w:cs="Times New Roman"/>
      <w:sz w:val="20"/>
      <w:szCs w:val="20"/>
      <w:lang w:val="en-US"/>
    </w:rPr>
  </w:style>
  <w:style w:type="paragraph" w:customStyle="1" w:styleId="CharChar">
    <w:name w:val="Char Char"/>
    <w:basedOn w:val="Normal"/>
    <w:rsid w:val="00E075D9"/>
    <w:pPr>
      <w:spacing w:line="240" w:lineRule="exact"/>
    </w:pPr>
    <w:rPr>
      <w:rFonts w:ascii="Tahoma" w:hAnsi="Tahoma" w:cs="Times New Roman"/>
      <w:sz w:val="20"/>
      <w:szCs w:val="20"/>
      <w:lang w:val="en-US"/>
    </w:rPr>
  </w:style>
  <w:style w:type="paragraph" w:customStyle="1" w:styleId="CharCharChar1">
    <w:name w:val="Char Char Char1"/>
    <w:basedOn w:val="Normal"/>
    <w:rsid w:val="00E075D9"/>
    <w:pPr>
      <w:spacing w:line="240" w:lineRule="exact"/>
    </w:pPr>
    <w:rPr>
      <w:rFonts w:ascii="Tahoma" w:hAnsi="Tahoma" w:cs="Times New Roman"/>
      <w:sz w:val="20"/>
      <w:szCs w:val="20"/>
      <w:lang w:val="en-US"/>
    </w:rPr>
  </w:style>
  <w:style w:type="paragraph" w:customStyle="1" w:styleId="Char">
    <w:name w:val="Char"/>
    <w:basedOn w:val="Normal"/>
    <w:rsid w:val="00E075D9"/>
    <w:pPr>
      <w:spacing w:line="240" w:lineRule="exact"/>
    </w:pPr>
    <w:rPr>
      <w:rFonts w:ascii="Tahoma" w:hAnsi="Tahoma" w:cs="Times New Roman"/>
      <w:sz w:val="20"/>
      <w:szCs w:val="20"/>
      <w:lang w:val="en-US"/>
    </w:rPr>
  </w:style>
  <w:style w:type="paragraph" w:styleId="TOC1">
    <w:name w:val="toc 1"/>
    <w:basedOn w:val="Normal"/>
    <w:next w:val="Normal"/>
    <w:autoRedefine/>
    <w:semiHidden/>
    <w:rsid w:val="00E075D9"/>
    <w:pPr>
      <w:spacing w:after="0" w:line="240" w:lineRule="auto"/>
      <w:jc w:val="both"/>
    </w:pPr>
    <w:rPr>
      <w:rFonts w:ascii="Arial" w:hAnsi="Arial" w:cs="Times New Roman"/>
      <w:b/>
      <w:sz w:val="24"/>
      <w:szCs w:val="20"/>
      <w:lang w:val="it-IT"/>
    </w:rPr>
  </w:style>
  <w:style w:type="paragraph" w:customStyle="1" w:styleId="CharCharCharCharCharCharCharCharCharCharCharCharCharCharCharChar">
    <w:name w:val="Char Char Char Char Char Char Char Char Char Char Char Char Char Char Char Char"/>
    <w:basedOn w:val="Normal"/>
    <w:rsid w:val="00E075D9"/>
    <w:pPr>
      <w:spacing w:line="240" w:lineRule="exact"/>
    </w:pPr>
    <w:rPr>
      <w:rFonts w:ascii="Tahoma" w:hAnsi="Tahoma" w:cs="Times New Roman"/>
      <w:sz w:val="20"/>
      <w:szCs w:val="20"/>
      <w:lang w:val="en-US"/>
    </w:rPr>
  </w:style>
  <w:style w:type="character" w:customStyle="1" w:styleId="shorttext">
    <w:name w:val="short_text"/>
    <w:basedOn w:val="DefaultParagraphFont"/>
    <w:rsid w:val="00E075D9"/>
  </w:style>
  <w:style w:type="character" w:customStyle="1" w:styleId="longtext">
    <w:name w:val="long_text"/>
    <w:basedOn w:val="DefaultParagraphFont"/>
    <w:rsid w:val="00E075D9"/>
  </w:style>
  <w:style w:type="character" w:customStyle="1" w:styleId="longtext1">
    <w:name w:val="long_text1"/>
    <w:rsid w:val="00E075D9"/>
    <w:rPr>
      <w:sz w:val="20"/>
      <w:szCs w:val="20"/>
    </w:rPr>
  </w:style>
  <w:style w:type="paragraph" w:customStyle="1" w:styleId="CharCharChar1CharCharCharCharCharChar1">
    <w:name w:val="Char Char Char1 Char Char Char Char Char Char1"/>
    <w:basedOn w:val="Normal"/>
    <w:rsid w:val="00E075D9"/>
    <w:pPr>
      <w:spacing w:line="240" w:lineRule="exact"/>
    </w:pPr>
    <w:rPr>
      <w:rFonts w:ascii="Tahoma" w:hAnsi="Tahoma" w:cs="Times New Roman"/>
      <w:sz w:val="20"/>
      <w:szCs w:val="20"/>
      <w:lang w:val="en-US"/>
    </w:rPr>
  </w:style>
  <w:style w:type="paragraph" w:customStyle="1" w:styleId="CharCharCharCharCharCharCharCharCharChar">
    <w:name w:val="Char Char Char Char Char Char Char Char Char Char"/>
    <w:basedOn w:val="Normal"/>
    <w:rsid w:val="00E075D9"/>
    <w:pPr>
      <w:spacing w:line="240" w:lineRule="exact"/>
    </w:pPr>
    <w:rPr>
      <w:rFonts w:ascii="Tahoma" w:hAnsi="Tahoma" w:cs="Times New Roman"/>
      <w:sz w:val="20"/>
      <w:szCs w:val="20"/>
      <w:lang w:val="en-US"/>
    </w:rPr>
  </w:style>
  <w:style w:type="character" w:customStyle="1" w:styleId="mediumtext">
    <w:name w:val="medium_text"/>
    <w:basedOn w:val="DefaultParagraphFont"/>
    <w:rsid w:val="00E075D9"/>
  </w:style>
  <w:style w:type="paragraph" w:customStyle="1" w:styleId="CM1">
    <w:name w:val="CM1"/>
    <w:basedOn w:val="Default"/>
    <w:next w:val="Default"/>
    <w:uiPriority w:val="99"/>
    <w:rsid w:val="00E075D9"/>
    <w:rPr>
      <w:rFonts w:ascii="EUAlbertina" w:hAnsi="EUAlbertina" w:cs="Times New Roman"/>
      <w:color w:val="auto"/>
      <w:lang w:val="sq-AL" w:eastAsia="sq-AL"/>
    </w:rPr>
  </w:style>
  <w:style w:type="paragraph" w:customStyle="1" w:styleId="CM3">
    <w:name w:val="CM3"/>
    <w:basedOn w:val="Default"/>
    <w:next w:val="Default"/>
    <w:uiPriority w:val="99"/>
    <w:rsid w:val="00E075D9"/>
    <w:rPr>
      <w:rFonts w:ascii="EUAlbertina" w:hAnsi="EUAlbertina" w:cs="Times New Roman"/>
      <w:color w:val="auto"/>
      <w:lang w:val="sq-AL" w:eastAsia="sq-AL"/>
    </w:rPr>
  </w:style>
  <w:style w:type="character" w:customStyle="1" w:styleId="FootnoteTextChar1">
    <w:name w:val="Footnote Text Char1"/>
    <w:link w:val="FootnoteText"/>
    <w:semiHidden/>
    <w:locked/>
    <w:rsid w:val="00E075D9"/>
    <w:rPr>
      <w:rFonts w:ascii="Times New Roman" w:hAnsi="Times New Roman" w:cs="Times New Roman"/>
      <w:sz w:val="20"/>
      <w:szCs w:val="20"/>
    </w:rPr>
  </w:style>
  <w:style w:type="table" w:customStyle="1" w:styleId="TableGrid1">
    <w:name w:val="Table Grid1"/>
    <w:basedOn w:val="TableNormal"/>
    <w:next w:val="TableGrid"/>
    <w:uiPriority w:val="39"/>
    <w:rsid w:val="00FD3EF9"/>
    <w:pPr>
      <w:spacing w:after="0" w:line="240" w:lineRule="auto"/>
    </w:pPr>
    <w:rPr>
      <w:rFonts w:eastAsiaTheme="minorHAnsi"/>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IIII">
    <w:name w:val="TEKSTIIII"/>
    <w:basedOn w:val="Normal"/>
    <w:qFormat/>
    <w:rsid w:val="00D20524"/>
    <w:pPr>
      <w:spacing w:after="0" w:line="240" w:lineRule="auto"/>
      <w:ind w:firstLine="284"/>
      <w:jc w:val="both"/>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68679">
      <w:bodyDiv w:val="1"/>
      <w:marLeft w:val="0"/>
      <w:marRight w:val="0"/>
      <w:marTop w:val="0"/>
      <w:marBottom w:val="0"/>
      <w:divBdr>
        <w:top w:val="none" w:sz="0" w:space="0" w:color="auto"/>
        <w:left w:val="none" w:sz="0" w:space="0" w:color="auto"/>
        <w:bottom w:val="none" w:sz="0" w:space="0" w:color="auto"/>
        <w:right w:val="none" w:sz="0" w:space="0" w:color="auto"/>
      </w:divBdr>
    </w:div>
    <w:div w:id="163210959">
      <w:bodyDiv w:val="1"/>
      <w:marLeft w:val="0"/>
      <w:marRight w:val="0"/>
      <w:marTop w:val="0"/>
      <w:marBottom w:val="0"/>
      <w:divBdr>
        <w:top w:val="none" w:sz="0" w:space="0" w:color="auto"/>
        <w:left w:val="none" w:sz="0" w:space="0" w:color="auto"/>
        <w:bottom w:val="none" w:sz="0" w:space="0" w:color="auto"/>
        <w:right w:val="none" w:sz="0" w:space="0" w:color="auto"/>
      </w:divBdr>
    </w:div>
    <w:div w:id="255409272">
      <w:bodyDiv w:val="1"/>
      <w:marLeft w:val="0"/>
      <w:marRight w:val="0"/>
      <w:marTop w:val="0"/>
      <w:marBottom w:val="0"/>
      <w:divBdr>
        <w:top w:val="none" w:sz="0" w:space="0" w:color="auto"/>
        <w:left w:val="none" w:sz="0" w:space="0" w:color="auto"/>
        <w:bottom w:val="none" w:sz="0" w:space="0" w:color="auto"/>
        <w:right w:val="none" w:sz="0" w:space="0" w:color="auto"/>
      </w:divBdr>
    </w:div>
    <w:div w:id="1003514702">
      <w:bodyDiv w:val="1"/>
      <w:marLeft w:val="0"/>
      <w:marRight w:val="0"/>
      <w:marTop w:val="0"/>
      <w:marBottom w:val="0"/>
      <w:divBdr>
        <w:top w:val="none" w:sz="0" w:space="0" w:color="auto"/>
        <w:left w:val="none" w:sz="0" w:space="0" w:color="auto"/>
        <w:bottom w:val="none" w:sz="0" w:space="0" w:color="auto"/>
        <w:right w:val="none" w:sz="0" w:space="0" w:color="auto"/>
      </w:divBdr>
    </w:div>
    <w:div w:id="1049066226">
      <w:bodyDiv w:val="1"/>
      <w:marLeft w:val="0"/>
      <w:marRight w:val="0"/>
      <w:marTop w:val="0"/>
      <w:marBottom w:val="0"/>
      <w:divBdr>
        <w:top w:val="none" w:sz="0" w:space="0" w:color="auto"/>
        <w:left w:val="none" w:sz="0" w:space="0" w:color="auto"/>
        <w:bottom w:val="none" w:sz="0" w:space="0" w:color="auto"/>
        <w:right w:val="none" w:sz="0" w:space="0" w:color="auto"/>
      </w:divBdr>
    </w:div>
    <w:div w:id="1204947495">
      <w:bodyDiv w:val="1"/>
      <w:marLeft w:val="0"/>
      <w:marRight w:val="0"/>
      <w:marTop w:val="0"/>
      <w:marBottom w:val="0"/>
      <w:divBdr>
        <w:top w:val="none" w:sz="0" w:space="0" w:color="auto"/>
        <w:left w:val="none" w:sz="0" w:space="0" w:color="auto"/>
        <w:bottom w:val="none" w:sz="0" w:space="0" w:color="auto"/>
        <w:right w:val="none" w:sz="0" w:space="0" w:color="auto"/>
      </w:divBdr>
    </w:div>
    <w:div w:id="1781796813">
      <w:bodyDiv w:val="1"/>
      <w:marLeft w:val="0"/>
      <w:marRight w:val="0"/>
      <w:marTop w:val="0"/>
      <w:marBottom w:val="0"/>
      <w:divBdr>
        <w:top w:val="none" w:sz="0" w:space="0" w:color="auto"/>
        <w:left w:val="none" w:sz="0" w:space="0" w:color="auto"/>
        <w:bottom w:val="none" w:sz="0" w:space="0" w:color="auto"/>
        <w:right w:val="none" w:sz="0" w:space="0" w:color="auto"/>
      </w:divBdr>
    </w:div>
    <w:div w:id="1867015496">
      <w:bodyDiv w:val="1"/>
      <w:marLeft w:val="0"/>
      <w:marRight w:val="0"/>
      <w:marTop w:val="0"/>
      <w:marBottom w:val="0"/>
      <w:divBdr>
        <w:top w:val="none" w:sz="0" w:space="0" w:color="auto"/>
        <w:left w:val="none" w:sz="0" w:space="0" w:color="auto"/>
        <w:bottom w:val="none" w:sz="0" w:space="0" w:color="auto"/>
        <w:right w:val="none" w:sz="0" w:space="0" w:color="auto"/>
      </w:divBdr>
    </w:div>
    <w:div w:id="2100904648">
      <w:bodyDiv w:val="1"/>
      <w:marLeft w:val="0"/>
      <w:marRight w:val="0"/>
      <w:marTop w:val="0"/>
      <w:marBottom w:val="0"/>
      <w:divBdr>
        <w:top w:val="none" w:sz="0" w:space="0" w:color="auto"/>
        <w:left w:val="none" w:sz="0" w:space="0" w:color="auto"/>
        <w:bottom w:val="none" w:sz="0" w:space="0" w:color="auto"/>
        <w:right w:val="none" w:sz="0" w:space="0" w:color="auto"/>
      </w:divBdr>
      <w:divsChild>
        <w:div w:id="1322083175">
          <w:marLeft w:val="0"/>
          <w:marRight w:val="0"/>
          <w:marTop w:val="0"/>
          <w:marBottom w:val="0"/>
          <w:divBdr>
            <w:top w:val="none" w:sz="0" w:space="0" w:color="auto"/>
            <w:left w:val="none" w:sz="0" w:space="0" w:color="auto"/>
            <w:bottom w:val="none" w:sz="0" w:space="0" w:color="auto"/>
            <w:right w:val="none" w:sz="0" w:space="0" w:color="auto"/>
          </w:divBdr>
          <w:divsChild>
            <w:div w:id="1771125736">
              <w:marLeft w:val="0"/>
              <w:marRight w:val="0"/>
              <w:marTop w:val="0"/>
              <w:marBottom w:val="0"/>
              <w:divBdr>
                <w:top w:val="none" w:sz="0" w:space="19" w:color="DDDDDD"/>
                <w:left w:val="none" w:sz="0" w:space="0" w:color="auto"/>
                <w:bottom w:val="none" w:sz="0" w:space="0" w:color="auto"/>
                <w:right w:val="none" w:sz="0" w:space="0" w:color="auto"/>
              </w:divBdr>
            </w:div>
          </w:divsChild>
        </w:div>
        <w:div w:id="1492210495">
          <w:marLeft w:val="0"/>
          <w:marRight w:val="0"/>
          <w:marTop w:val="0"/>
          <w:marBottom w:val="0"/>
          <w:divBdr>
            <w:top w:val="none" w:sz="0" w:space="0" w:color="DDDDDD"/>
            <w:left w:val="none" w:sz="0" w:space="0" w:color="DDDDDD"/>
            <w:bottom w:val="none" w:sz="0" w:space="0" w:color="auto"/>
            <w:right w:val="none" w:sz="0" w:space="0" w:color="DDDDDD"/>
          </w:divBdr>
          <w:divsChild>
            <w:div w:id="180310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51</Nr_x002e__x0020_akti>
    <Data_x0020_e_x0020_Krijimit xmlns="0e656187-b300-4fb0-8bf4-3a50f872073c">2024-11-13T15:31:32Z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2024-11-13T00:00:00Z</Date_x0020_protokolli>
    <Titulli xmlns="0e656187-b300-4fb0-8bf4-3a50f872073c">Për miratimin e rregullores "Për administrimin e rrezikut operacional nga bankat, institucionet e pagesave dhe institucionet e parasë elektronike"</Titulli>
    <Modifikuesi xmlns="0e656187-b300-4fb0-8bf4-3a50f872073c">Amarilda.Muja</Modifikuesi>
    <Nr_x002e__x0020_prot_x0020_QBZ xmlns="0e656187-b300-4fb0-8bf4-3a50f872073c">1943/1</Nr_x002e__x0020_prot_x0020_QBZ>
    <Data_x0020_e_x0020_Modifikimit xmlns="0e656187-b300-4fb0-8bf4-3a50f872073c">2024-11-14T11:23:44Z</Data_x0020_e_x0020_Modifikimit>
    <Dekretuar xmlns="0e656187-b300-4fb0-8bf4-3a50f872073c">false</Dekretuar>
    <Data xmlns="0e656187-b300-4fb0-8bf4-3a50f872073c">2024-11-06T00:00:00Z</Data>
    <Nr_x002e__x0020_protokolli_x0020_i_x0020_aktit xmlns="0e656187-b300-4fb0-8bf4-3a50f872073c">4636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0ECFEC0CD2D44209907C4B0CA13F772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440B6-1CE2-4FE9-A150-711F98756AA5}">
  <ds:schemaRefs>
    <ds:schemaRef ds:uri="http://schemas.openxmlformats.org/package/2006/metadata/core-properties"/>
    <ds:schemaRef ds:uri="http://schemas.microsoft.com/office/2006/metadata/properties"/>
    <ds:schemaRef ds:uri="http://purl.org/dc/elements/1.1/"/>
    <ds:schemaRef ds:uri="http://purl.org/dc/dcmitype/"/>
    <ds:schemaRef ds:uri="http://www.w3.org/XML/1998/namespace"/>
    <ds:schemaRef ds:uri="http://purl.org/dc/terms/"/>
    <ds:schemaRef ds:uri="http://schemas.microsoft.com/office/2006/documentManagement/types"/>
    <ds:schemaRef ds:uri="0e656187-b300-4fb0-8bf4-3a50f872073c"/>
  </ds:schemaRefs>
</ds:datastoreItem>
</file>

<file path=customXml/itemProps2.xml><?xml version="1.0" encoding="utf-8"?>
<ds:datastoreItem xmlns:ds="http://schemas.openxmlformats.org/officeDocument/2006/customXml" ds:itemID="{BB9020E6-965A-4E29-BF63-DE643A360A3F}">
  <ds:schemaRefs>
    <ds:schemaRef ds:uri="http://schemas.microsoft.com/sharepoint/v3/contenttype/forms"/>
  </ds:schemaRefs>
</ds:datastoreItem>
</file>

<file path=customXml/itemProps3.xml><?xml version="1.0" encoding="utf-8"?>
<ds:datastoreItem xmlns:ds="http://schemas.openxmlformats.org/officeDocument/2006/customXml" ds:itemID="{0340D7FE-059A-40EC-9A67-DAA60E6F4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F401961-098C-4A32-96D8-FEC3F137F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30</Pages>
  <Words>12939</Words>
  <Characters>73756</Characters>
  <Application>Microsoft Office Word</Application>
  <DocSecurity>0</DocSecurity>
  <Lines>614</Lines>
  <Paragraphs>173</Paragraphs>
  <ScaleCrop>false</ScaleCrop>
  <HeadingPairs>
    <vt:vector size="2" baseType="variant">
      <vt:variant>
        <vt:lpstr>Title</vt:lpstr>
      </vt:variant>
      <vt:variant>
        <vt:i4>1</vt:i4>
      </vt:variant>
    </vt:vector>
  </HeadingPairs>
  <TitlesOfParts>
    <vt:vector size="1" baseType="lpstr">
      <vt:lpstr>Për miratimin e rregullores "Për administrimin e rrezikut operacional nga bankat, institucionet e pagesave dhe institucionet e parasë elektronike"</vt:lpstr>
    </vt:vector>
  </TitlesOfParts>
  <Company/>
  <LinksUpToDate>false</LinksUpToDate>
  <CharactersWithSpaces>86522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administrimin e rrezikut operacional nga bankat, institucionet e pagesave dhe institucionet e parasë elektronike"</dc:title>
  <dc:creator>Irini Kalluci</dc:creator>
  <cp:lastModifiedBy>Amarilda Muja</cp:lastModifiedBy>
  <cp:revision>27</cp:revision>
  <cp:lastPrinted>2024-11-06T07:33:00Z</cp:lastPrinted>
  <dcterms:created xsi:type="dcterms:W3CDTF">2024-11-13T14:27:00Z</dcterms:created>
  <dcterms:modified xsi:type="dcterms:W3CDTF">2024-11-14T11:26:00Z</dcterms:modified>
</cp:coreProperties>
</file>