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4F70B" w14:textId="7777777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F8262F">
        <w:rPr>
          <w:rFonts w:ascii="Garamond" w:hAnsi="Garamond" w:cs="Times New Roman"/>
          <w:b/>
          <w:bCs/>
          <w:color w:val="000000"/>
          <w:sz w:val="24"/>
          <w:szCs w:val="24"/>
        </w:rPr>
        <w:t>VENDIM</w:t>
      </w:r>
    </w:p>
    <w:p w14:paraId="52562242" w14:textId="7777777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F8262F">
        <w:rPr>
          <w:rFonts w:ascii="Garamond" w:hAnsi="Garamond" w:cs="Times New Roman"/>
          <w:b/>
          <w:bCs/>
          <w:color w:val="000000"/>
          <w:sz w:val="24"/>
          <w:szCs w:val="24"/>
        </w:rPr>
        <w:t>Nr. 57, datë 6.11.2024</w:t>
      </w:r>
    </w:p>
    <w:p w14:paraId="4D6D1FD5" w14:textId="77777777" w:rsidR="007415B0" w:rsidRPr="00F8262F" w:rsidRDefault="007415B0" w:rsidP="007415B0">
      <w:pPr>
        <w:tabs>
          <w:tab w:val="left" w:pos="630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62128060" w14:textId="78652F35" w:rsidR="007415B0" w:rsidRPr="00604626" w:rsidRDefault="007415B0" w:rsidP="00604626">
      <w:pPr>
        <w:pStyle w:val="NoSpacing"/>
        <w:jc w:val="center"/>
        <w:rPr>
          <w:rFonts w:ascii="Garamond" w:hAnsi="Garamond"/>
          <w:b/>
          <w:bCs/>
          <w:sz w:val="24"/>
          <w:szCs w:val="24"/>
        </w:rPr>
      </w:pPr>
      <w:r w:rsidRPr="00604626">
        <w:rPr>
          <w:rFonts w:ascii="Garamond" w:hAnsi="Garamond"/>
          <w:b/>
          <w:bCs/>
          <w:sz w:val="24"/>
          <w:szCs w:val="24"/>
        </w:rPr>
        <w:t>PËR</w:t>
      </w:r>
      <w:r w:rsidR="00892765">
        <w:rPr>
          <w:rFonts w:ascii="Garamond" w:hAnsi="Garamond"/>
          <w:b/>
          <w:bCs/>
          <w:sz w:val="24"/>
          <w:szCs w:val="24"/>
        </w:rPr>
        <w:t xml:space="preserve"> </w:t>
      </w:r>
      <w:r w:rsidRPr="00604626">
        <w:rPr>
          <w:rFonts w:ascii="Garamond" w:hAnsi="Garamond"/>
          <w:b/>
          <w:bCs/>
          <w:sz w:val="24"/>
          <w:szCs w:val="24"/>
        </w:rPr>
        <w:t>DISA NDRYSHIME NË VENDIMIN E KËSHILLIT MBIKËQYRËS NR. 81, DATË 15.11.2006</w:t>
      </w:r>
      <w:r w:rsidR="00604626" w:rsidRPr="00604626">
        <w:rPr>
          <w:rFonts w:ascii="Garamond" w:hAnsi="Garamond"/>
          <w:b/>
          <w:bCs/>
          <w:sz w:val="24"/>
          <w:szCs w:val="24"/>
        </w:rPr>
        <w:t>,</w:t>
      </w:r>
      <w:r w:rsidRPr="00604626">
        <w:rPr>
          <w:rFonts w:ascii="Garamond" w:hAnsi="Garamond"/>
          <w:b/>
          <w:bCs/>
          <w:sz w:val="24"/>
          <w:szCs w:val="24"/>
        </w:rPr>
        <w:t xml:space="preserve"> “PËR MIRATIMIN E RREGULLORES </w:t>
      </w:r>
      <w:r w:rsidR="00604626" w:rsidRPr="00604626">
        <w:rPr>
          <w:rFonts w:ascii="Garamond" w:hAnsi="Garamond"/>
          <w:b/>
          <w:bCs/>
          <w:sz w:val="24"/>
          <w:szCs w:val="24"/>
        </w:rPr>
        <w:t>‘</w:t>
      </w:r>
      <w:r w:rsidRPr="00604626">
        <w:rPr>
          <w:rFonts w:ascii="Garamond" w:hAnsi="Garamond"/>
          <w:b/>
          <w:bCs/>
          <w:sz w:val="24"/>
          <w:szCs w:val="24"/>
        </w:rPr>
        <w:t>PËR PROCEDURAT E PROKURIMIT NË BANKËN E SHQIPËRISË</w:t>
      </w:r>
      <w:r w:rsidR="00604626" w:rsidRPr="00604626">
        <w:rPr>
          <w:rFonts w:ascii="Garamond" w:hAnsi="Garamond"/>
          <w:b/>
          <w:bCs/>
          <w:sz w:val="24"/>
          <w:szCs w:val="24"/>
        </w:rPr>
        <w:t>’</w:t>
      </w:r>
      <w:r w:rsidRPr="00604626">
        <w:rPr>
          <w:rFonts w:ascii="Garamond" w:hAnsi="Garamond"/>
          <w:b/>
          <w:bCs/>
          <w:sz w:val="24"/>
          <w:szCs w:val="24"/>
        </w:rPr>
        <w:t>”,</w:t>
      </w:r>
      <w:r w:rsidR="00892765">
        <w:rPr>
          <w:rFonts w:ascii="Garamond" w:hAnsi="Garamond"/>
          <w:b/>
          <w:bCs/>
          <w:sz w:val="24"/>
          <w:szCs w:val="24"/>
        </w:rPr>
        <w:t xml:space="preserve"> </w:t>
      </w:r>
      <w:r w:rsidR="00BC3265" w:rsidRPr="00604626">
        <w:rPr>
          <w:rFonts w:ascii="Garamond" w:hAnsi="Garamond"/>
          <w:b/>
          <w:bCs/>
          <w:sz w:val="24"/>
          <w:szCs w:val="24"/>
        </w:rPr>
        <w:t xml:space="preserve">TË </w:t>
      </w:r>
      <w:r w:rsidRPr="00604626">
        <w:rPr>
          <w:rFonts w:ascii="Garamond" w:hAnsi="Garamond"/>
          <w:b/>
          <w:bCs/>
          <w:sz w:val="24"/>
          <w:szCs w:val="24"/>
        </w:rPr>
        <w:t>NDRYSHUAR</w:t>
      </w:r>
    </w:p>
    <w:p w14:paraId="7AD3DBCE" w14:textId="7777777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</w:p>
    <w:p w14:paraId="2CA4747C" w14:textId="17054C61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>Në bazë dhe për zbatim të nenit 43 shkronjat “c” dhe “g”, nenit 53, pika 4, paragrafi i fundit i ligjit nr. 8269, datë 23.12.1997</w:t>
      </w:r>
      <w:r w:rsidR="00213883">
        <w:rPr>
          <w:rFonts w:ascii="Garamond" w:hAnsi="Garamond" w:cs="Times New Roman"/>
          <w:color w:val="000000"/>
          <w:sz w:val="24"/>
          <w:szCs w:val="24"/>
        </w:rPr>
        <w:t>,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 “Për Bankën e Shqipërisë”, </w:t>
      </w:r>
      <w:r w:rsidR="00213883">
        <w:rPr>
          <w:rFonts w:ascii="Garamond" w:hAnsi="Garamond" w:cs="Times New Roman"/>
          <w:color w:val="000000"/>
          <w:sz w:val="24"/>
          <w:szCs w:val="24"/>
        </w:rPr>
        <w:t>të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 ndryshuar; </w:t>
      </w:r>
      <w:r w:rsidR="00213883" w:rsidRPr="00F8262F">
        <w:rPr>
          <w:rFonts w:ascii="Garamond" w:hAnsi="Garamond" w:cs="Times New Roman"/>
          <w:color w:val="000000"/>
          <w:sz w:val="24"/>
          <w:szCs w:val="24"/>
        </w:rPr>
        <w:t xml:space="preserve">ligjit </w:t>
      </w:r>
      <w:r w:rsidRPr="00F8262F">
        <w:rPr>
          <w:rFonts w:ascii="Garamond" w:hAnsi="Garamond" w:cs="Times New Roman"/>
          <w:color w:val="000000"/>
          <w:sz w:val="24"/>
          <w:szCs w:val="24"/>
        </w:rPr>
        <w:t>nr. 36/2020, datë 16.4.2020</w:t>
      </w:r>
      <w:r w:rsidR="00213883">
        <w:rPr>
          <w:rFonts w:ascii="Garamond" w:hAnsi="Garamond" w:cs="Times New Roman"/>
          <w:color w:val="000000"/>
          <w:sz w:val="24"/>
          <w:szCs w:val="24"/>
        </w:rPr>
        <w:t>,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 “Për prokurimet në fushën e mbrojtjes dhe të sigurisë”; vendimit të Këshillit të Ministrave nr. 1170, datë 24.12.2020</w:t>
      </w:r>
      <w:r w:rsidR="00213883">
        <w:rPr>
          <w:rFonts w:ascii="Garamond" w:hAnsi="Garamond" w:cs="Times New Roman"/>
          <w:color w:val="000000"/>
          <w:sz w:val="24"/>
          <w:szCs w:val="24"/>
        </w:rPr>
        <w:t>,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 “Për miratimin e rregullave të prokurimit në fushën e mbrojtjes dhe të sigurisë”; vendimit të Këshillit të Ministrave nr. 659, datë 23.10.2024</w:t>
      </w:r>
      <w:r w:rsidR="00213883">
        <w:rPr>
          <w:rFonts w:ascii="Garamond" w:hAnsi="Garamond" w:cs="Times New Roman"/>
          <w:color w:val="000000"/>
          <w:sz w:val="24"/>
          <w:szCs w:val="24"/>
        </w:rPr>
        <w:t>,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 “Për miratimin e rregullores </w:t>
      </w:r>
      <w:r w:rsidR="00213883">
        <w:rPr>
          <w:rFonts w:ascii="Garamond" w:hAnsi="Garamond" w:cs="Times New Roman"/>
          <w:color w:val="000000"/>
          <w:sz w:val="24"/>
          <w:szCs w:val="24"/>
        </w:rPr>
        <w:t>‘</w:t>
      </w:r>
      <w:r w:rsidRPr="00F8262F">
        <w:rPr>
          <w:rFonts w:ascii="Garamond" w:hAnsi="Garamond" w:cs="Times New Roman"/>
          <w:color w:val="000000"/>
          <w:sz w:val="24"/>
          <w:szCs w:val="24"/>
        </w:rPr>
        <w:t>Për sigurinë industriale, rregullat, procedurat dhe kërkesat për mbrojtjen e informacionit të klasifikuar gjatë prokurimit në fushën e mbrojtjes dhe sigurisë</w:t>
      </w:r>
      <w:r w:rsidR="00213883">
        <w:rPr>
          <w:rFonts w:ascii="Garamond" w:hAnsi="Garamond" w:cs="Times New Roman"/>
          <w:color w:val="000000"/>
          <w:sz w:val="24"/>
          <w:szCs w:val="24"/>
        </w:rPr>
        <w:t>’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”; dhe me propozim të Departamentit të Administrimit dhe </w:t>
      </w:r>
      <w:r w:rsidR="00213883" w:rsidRPr="00F8262F">
        <w:rPr>
          <w:rFonts w:ascii="Garamond" w:hAnsi="Garamond" w:cs="Times New Roman"/>
          <w:color w:val="000000"/>
          <w:sz w:val="24"/>
          <w:szCs w:val="24"/>
        </w:rPr>
        <w:t xml:space="preserve">kryetarit 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të Entit Prokurues, </w:t>
      </w:r>
    </w:p>
    <w:p w14:paraId="3C157C42" w14:textId="7777777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F4CC732" w14:textId="7777777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>VENDOSI:</w:t>
      </w:r>
    </w:p>
    <w:p w14:paraId="5F828D1F" w14:textId="7777777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> </w:t>
      </w:r>
    </w:p>
    <w:p w14:paraId="2E6CD4CD" w14:textId="35EAAD7B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1. Në rregulloren “Për procedurat e prokurimit në Bankën e Shqipërisë”, miratuar me vendimin e Këshillit Mbikëqyrës nr. 81, datë 15.11.2006, </w:t>
      </w:r>
      <w:r w:rsidR="00213883">
        <w:rPr>
          <w:rFonts w:ascii="Garamond" w:hAnsi="Garamond" w:cs="Times New Roman"/>
          <w:color w:val="000000"/>
          <w:sz w:val="24"/>
          <w:szCs w:val="24"/>
        </w:rPr>
        <w:t>të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 ndryshuar, bëhen ndryshimet e mëposhtme: </w:t>
      </w:r>
    </w:p>
    <w:p w14:paraId="65DAB769" w14:textId="77777777" w:rsidR="007415B0" w:rsidRPr="00F8262F" w:rsidRDefault="007415B0" w:rsidP="007415B0">
      <w:pPr>
        <w:tabs>
          <w:tab w:val="left" w:pos="420"/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>1.1 Në nenin 3, paragrafi i parë numërtohet pika 1.</w:t>
      </w:r>
    </w:p>
    <w:p w14:paraId="300B4840" w14:textId="3366890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1.2 Pas pikës 1 të nenit 3, shtohet pika 2 me përmbajtje si vijon: </w:t>
      </w:r>
    </w:p>
    <w:p w14:paraId="0B939DF2" w14:textId="62FFEB1D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“Përjashtimisht nga përcaktimet në pikën 1 të këtij neni, për prokurimet në fushën e sigurisë do të zbatohen procedurat dhe kërkesat e parashikuara në </w:t>
      </w:r>
      <w:r w:rsidR="006C0302"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ligjin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nr. 36/2020, datë 16.4.2020</w:t>
      </w:r>
      <w:r w:rsidR="00604626">
        <w:rPr>
          <w:rFonts w:ascii="Garamond" w:hAnsi="Garamond" w:cs="Times New Roman"/>
          <w:i/>
          <w:iCs/>
          <w:color w:val="000000"/>
          <w:sz w:val="24"/>
          <w:szCs w:val="24"/>
        </w:rPr>
        <w:t>,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“Për prokurimet në fushën e mbrojtjes dhe të sigurisë”</w:t>
      </w:r>
      <w:r w:rsidR="003B18ED">
        <w:rPr>
          <w:rFonts w:ascii="Garamond" w:hAnsi="Garamond" w:cs="Times New Roman"/>
          <w:i/>
          <w:iCs/>
          <w:color w:val="000000"/>
          <w:sz w:val="24"/>
          <w:szCs w:val="24"/>
        </w:rPr>
        <w:t>,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dhe aktet nënligjore të nxjerra në bazë dhe për zbatim të tij, si dhe nenet 54/1, 54/2, 54/3 dhe 54/4 të kësaj rregulloreje.” </w:t>
      </w:r>
    </w:p>
    <w:p w14:paraId="391F0317" w14:textId="47BDFC7D" w:rsidR="007415B0" w:rsidRPr="00F8262F" w:rsidRDefault="007415B0" w:rsidP="007415B0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>1.3. Paragrafi i dytë ekzistues në nenin 3 rinumërtohet pika 3.</w:t>
      </w:r>
    </w:p>
    <w:p w14:paraId="52F89374" w14:textId="77777777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>1.4. Shkronja “gj” e nenit 10 shfuqizohet.</w:t>
      </w:r>
    </w:p>
    <w:p w14:paraId="48ED057E" w14:textId="77777777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>1.5. Në nenin 13, bëhen ndryshimet si vijon:</w:t>
      </w:r>
    </w:p>
    <w:p w14:paraId="2656A7C7" w14:textId="31DF4DA1" w:rsidR="007415B0" w:rsidRPr="00F8262F" w:rsidRDefault="007415B0" w:rsidP="007415B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>a) Në fjalinë e parë, hiqet togfjalëshi “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në të paktën dy gazeta vend</w:t>
      </w:r>
      <w:r w:rsidR="003B18ED">
        <w:rPr>
          <w:rFonts w:ascii="Garamond" w:hAnsi="Garamond" w:cs="Times New Roman"/>
          <w:i/>
          <w:iCs/>
          <w:color w:val="000000"/>
          <w:sz w:val="24"/>
          <w:szCs w:val="24"/>
        </w:rPr>
        <w:t>ë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se me tirazhin më të madh dhe në tre numra të njëpasnjëshëm të tyre,</w:t>
      </w:r>
      <w:r w:rsidRPr="00F8262F">
        <w:rPr>
          <w:rFonts w:ascii="Garamond" w:hAnsi="Garamond" w:cs="Times New Roman"/>
          <w:color w:val="000000"/>
          <w:sz w:val="24"/>
          <w:szCs w:val="24"/>
        </w:rPr>
        <w:t>”;</w:t>
      </w:r>
    </w:p>
    <w:p w14:paraId="7718F6F1" w14:textId="779282DE" w:rsidR="007415B0" w:rsidRPr="00F8262F" w:rsidRDefault="007415B0" w:rsidP="007415B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>b) Në fjalinë e dytë, zëvendësohet togfjalëshi “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nga data e fundit e shpalljes së njoftimit në gazetë</w:t>
      </w:r>
      <w:r w:rsidRPr="00F8262F">
        <w:rPr>
          <w:rFonts w:ascii="Garamond" w:hAnsi="Garamond" w:cs="Times New Roman"/>
          <w:color w:val="000000"/>
          <w:sz w:val="24"/>
          <w:szCs w:val="24"/>
        </w:rPr>
        <w:t>” me togfjalëshin “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nga data e shpalljes së njoftimit në Website-in e Bankës së Shqipërisë</w:t>
      </w:r>
      <w:r w:rsidRPr="00F8262F">
        <w:rPr>
          <w:rFonts w:ascii="Garamond" w:hAnsi="Garamond" w:cs="Times New Roman"/>
          <w:color w:val="000000"/>
          <w:sz w:val="24"/>
          <w:szCs w:val="24"/>
        </w:rPr>
        <w:t>”;</w:t>
      </w:r>
    </w:p>
    <w:p w14:paraId="3D619112" w14:textId="78CA3140" w:rsidR="007415B0" w:rsidRPr="00F8262F" w:rsidRDefault="007415B0" w:rsidP="007415B0">
      <w:pPr>
        <w:tabs>
          <w:tab w:val="left" w:pos="360"/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1.6. Në nenin 18 “Mënyra e </w:t>
      </w:r>
      <w:r w:rsidR="003B18ED" w:rsidRPr="00F8262F">
        <w:rPr>
          <w:rFonts w:ascii="Garamond" w:hAnsi="Garamond" w:cs="Times New Roman"/>
          <w:color w:val="000000"/>
          <w:sz w:val="24"/>
          <w:szCs w:val="24"/>
        </w:rPr>
        <w:t>dytë</w:t>
      </w:r>
      <w:r w:rsidRPr="00F8262F">
        <w:rPr>
          <w:rFonts w:ascii="Garamond" w:hAnsi="Garamond" w:cs="Times New Roman"/>
          <w:color w:val="000000"/>
          <w:sz w:val="24"/>
          <w:szCs w:val="24"/>
        </w:rPr>
        <w:t>”, shkronja “a” e rregullores, shtohen në fund, fjalitë me përmbajtje si më poshtë:</w:t>
      </w:r>
    </w:p>
    <w:p w14:paraId="289E1F7D" w14:textId="793481AD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“Zarfet e ofertave teknike dhe ekonomike, firmosen në të dy</w:t>
      </w:r>
      <w:r w:rsidR="003B18ED">
        <w:rPr>
          <w:rFonts w:ascii="Garamond" w:hAnsi="Garamond" w:cs="Times New Roman"/>
          <w:i/>
          <w:iCs/>
          <w:color w:val="000000"/>
          <w:sz w:val="24"/>
          <w:szCs w:val="24"/>
        </w:rPr>
        <w:t>ja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anët e hapjes së zarfit, nga anëtarët e Komisionit të Prokurimit, në prezencë të kandidatëve të paraqitur. Ky fakt evidentohet edhe në procesverbalin përkatës. </w:t>
      </w:r>
    </w:p>
    <w:p w14:paraId="63F3EC3E" w14:textId="4AB365C0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Zarfet e ofertës teknike dhe ekonomike depozitohen në dosjen e prokurimit, deri në hapjen e tyre sipas fazave të procedurës.”</w:t>
      </w:r>
    </w:p>
    <w:p w14:paraId="64D880EC" w14:textId="77777777" w:rsidR="007415B0" w:rsidRPr="00F8262F" w:rsidRDefault="007415B0" w:rsidP="007415B0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1.7. Në fjalinë e tretë të nenit 20, zëvendësohet togfjalëshi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“njoftimi në gazetë”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 me togfjalëshin “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njoftimi në Website-in e Bankës së Shqipërisë dhe në Buletinin Zyrtar të Agjencisë së Prokurimit Publik”</w:t>
      </w:r>
      <w:r w:rsidRPr="00F8262F">
        <w:rPr>
          <w:rFonts w:ascii="Garamond" w:hAnsi="Garamond" w:cs="Times New Roman"/>
          <w:color w:val="000000"/>
          <w:sz w:val="24"/>
          <w:szCs w:val="24"/>
        </w:rPr>
        <w:t>:</w:t>
      </w:r>
    </w:p>
    <w:p w14:paraId="2A839A99" w14:textId="77777777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1.8. Në shkronjën “b” të neneve 26 dhe 27, hiqet togfjalëshi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“dhe jo nëpërmjet njoftimit në gazetë</w:t>
      </w:r>
      <w:r w:rsidRPr="001E0149">
        <w:rPr>
          <w:rFonts w:ascii="Garamond" w:hAnsi="Garamond" w:cs="Times New Roman"/>
          <w:i/>
          <w:iCs/>
          <w:color w:val="000000"/>
          <w:sz w:val="24"/>
          <w:szCs w:val="24"/>
        </w:rPr>
        <w:t>”:</w:t>
      </w:r>
    </w:p>
    <w:p w14:paraId="35AC616B" w14:textId="77777777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>1.9. Në nenin 35 shtohen dy paragrafë të fundit me përmbajtje si më poshtë:</w:t>
      </w:r>
    </w:p>
    <w:p w14:paraId="028F58AB" w14:textId="15B50E9C" w:rsidR="007415B0" w:rsidRPr="00F8262F" w:rsidRDefault="001236FC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>
        <w:rPr>
          <w:rFonts w:ascii="Garamond" w:hAnsi="Garamond" w:cs="Times New Roman"/>
          <w:i/>
          <w:iCs/>
          <w:color w:val="000000"/>
          <w:sz w:val="24"/>
          <w:szCs w:val="24"/>
        </w:rPr>
        <w:t>“</w:t>
      </w:r>
      <w:r w:rsidR="007415B0"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Në rast anulimi të procedurës së prokurimit, dokumentacioni për kualifikim i paraqitur nga kandidatët mund të konsiderohet dhe të merret për bazë nga Komisioni i Prokurimit për të njëjtën procedurë prokurimi dhe sa herë ajo të përsëritet, me kushtin që ky dokumentacion (ose pjesë të tij) të jetë akoma i vlefshëm dhe brenda afateve të kërkuara. </w:t>
      </w:r>
    </w:p>
    <w:p w14:paraId="25C3AB52" w14:textId="6791AD59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Në çdo rast, kualifikimi i secilit prej kandidatëve pjesëmarrës do të bëhet duke evidentuar në procesverbalin e mbledhjes, sipas rastit, prezencën e dokumentacionit të ri të paraqitur, të atij që mungon ose që nuk është në përputhje me kërkesat për kualifikim, si dhe të dokumentacionit të vlefshëm të paraqitur në procedurën/at e mëparshme të anuluar/a, që vlerësohet të merret për bazë nga Komisioni i Prokurimit.</w:t>
      </w:r>
      <w:r w:rsidR="006369B0">
        <w:rPr>
          <w:rFonts w:ascii="Garamond" w:hAnsi="Garamond" w:cs="Times New Roman"/>
          <w:i/>
          <w:iCs/>
          <w:color w:val="000000"/>
          <w:sz w:val="24"/>
          <w:szCs w:val="24"/>
        </w:rPr>
        <w:t>”</w:t>
      </w:r>
    </w:p>
    <w:p w14:paraId="623199C5" w14:textId="7777777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lastRenderedPageBreak/>
        <w:t>1.10. Në nenin 41 bëhen ndryshimet e mëposhtme:</w:t>
      </w:r>
    </w:p>
    <w:p w14:paraId="269730DF" w14:textId="74C93168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>a) Pas pikës 2 shtohet pika 2/1 me përmbajtje</w:t>
      </w:r>
      <w:r w:rsidR="005947FF">
        <w:rPr>
          <w:rFonts w:ascii="Garamond" w:hAnsi="Garamond" w:cs="Times New Roman"/>
          <w:color w:val="000000"/>
          <w:sz w:val="24"/>
          <w:szCs w:val="24"/>
        </w:rPr>
        <w:t>,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 si më poshtë:</w:t>
      </w:r>
    </w:p>
    <w:p w14:paraId="10592D7D" w14:textId="595731AB" w:rsidR="007415B0" w:rsidRPr="00F8262F" w:rsidRDefault="007415B0" w:rsidP="007415B0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“2/1. Kur procedura e prokurimit anulohet dhe përsëritet dhe sërish rezulton vetëm një</w:t>
      </w:r>
      <w:r w:rsidR="00892765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kandidat apo një ofertë/kuotim i vlefshëm, Komisioni i Prokurimit nuk anulon procedurën, por vijon fazat e tjera të procedurës vetëm me një kandidat.”</w:t>
      </w:r>
    </w:p>
    <w:p w14:paraId="5F72FDE7" w14:textId="1FCFE250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b) Në pikën 3, fjalia e parë ndryshon me përmbajtje si më poshtë: </w:t>
      </w:r>
    </w:p>
    <w:p w14:paraId="59836C5F" w14:textId="543F17ED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“Përjashtimisht nga përcaktimet në pikën 2/1 të këtij neni, kur edhe pas përsëritjes si më sipër të procedurës së prokurimit, Komisioni i Prokurimit rikonstaton ekzistencën e njërit prej rasteve të anulimit, bën sugjerimin dhe argumentimin përkatës për </w:t>
      </w:r>
      <w:r w:rsidR="009864B4"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kryetarin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e Entit Prokurues.”</w:t>
      </w:r>
    </w:p>
    <w:p w14:paraId="5BCADC3F" w14:textId="4BC43111" w:rsidR="007415B0" w:rsidRPr="00F8262F" w:rsidRDefault="007415B0" w:rsidP="007415B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1.11 Pas nenit 54 shtohen </w:t>
      </w:r>
      <w:r w:rsidR="00690E75" w:rsidRPr="00F8262F">
        <w:rPr>
          <w:rFonts w:ascii="Garamond" w:hAnsi="Garamond" w:cs="Times New Roman"/>
          <w:color w:val="000000"/>
          <w:sz w:val="24"/>
          <w:szCs w:val="24"/>
        </w:rPr>
        <w:t xml:space="preserve">kreu </w:t>
      </w:r>
      <w:r w:rsidRPr="00F8262F">
        <w:rPr>
          <w:rFonts w:ascii="Garamond" w:hAnsi="Garamond" w:cs="Times New Roman"/>
          <w:color w:val="000000"/>
          <w:sz w:val="24"/>
          <w:szCs w:val="24"/>
        </w:rPr>
        <w:t>VIII/1 dhe</w:t>
      </w:r>
      <w:r w:rsidRPr="00F8262F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F8262F">
        <w:rPr>
          <w:rFonts w:ascii="Garamond" w:hAnsi="Garamond" w:cs="Times New Roman"/>
          <w:color w:val="000000"/>
          <w:sz w:val="24"/>
          <w:szCs w:val="24"/>
        </w:rPr>
        <w:t>nenet 54/1, 54/2, 54/3, 54/4 me përmbajtje si vijon:</w:t>
      </w:r>
    </w:p>
    <w:p w14:paraId="2B0AEF2B" w14:textId="77777777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000000"/>
          <w:sz w:val="24"/>
          <w:szCs w:val="24"/>
        </w:rPr>
      </w:pPr>
    </w:p>
    <w:p w14:paraId="10703ED2" w14:textId="49EBAE1B" w:rsidR="007415B0" w:rsidRPr="00F8262F" w:rsidRDefault="005A0C09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000000"/>
          <w:sz w:val="24"/>
          <w:szCs w:val="24"/>
        </w:rPr>
      </w:pPr>
      <w:r>
        <w:rPr>
          <w:rFonts w:ascii="Garamond" w:hAnsi="Garamond" w:cs="Times New Roman"/>
          <w:bCs/>
          <w:i/>
          <w:iCs/>
          <w:color w:val="000000"/>
          <w:sz w:val="24"/>
          <w:szCs w:val="24"/>
        </w:rPr>
        <w:t>“</w:t>
      </w:r>
      <w:r w:rsidRPr="00F8262F">
        <w:rPr>
          <w:rFonts w:ascii="Garamond" w:hAnsi="Garamond" w:cs="Times New Roman"/>
          <w:bCs/>
          <w:i/>
          <w:iCs/>
          <w:color w:val="000000"/>
          <w:sz w:val="24"/>
          <w:szCs w:val="24"/>
        </w:rPr>
        <w:t>KREU VIII/1</w:t>
      </w:r>
    </w:p>
    <w:p w14:paraId="3D26C147" w14:textId="1FB4082E" w:rsidR="007415B0" w:rsidRPr="00F8262F" w:rsidRDefault="005A0C09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bCs/>
          <w:i/>
          <w:iCs/>
          <w:color w:val="000000"/>
          <w:sz w:val="24"/>
          <w:szCs w:val="24"/>
        </w:rPr>
        <w:t>PROKURIMET NË FUSHËN E SIGURISË</w:t>
      </w:r>
    </w:p>
    <w:p w14:paraId="12D1831C" w14:textId="77777777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0A9F7323" w14:textId="5D8617CA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bCs/>
          <w:i/>
          <w:iCs/>
          <w:color w:val="000000"/>
          <w:sz w:val="24"/>
          <w:szCs w:val="24"/>
        </w:rPr>
        <w:t>Neni 54/1</w:t>
      </w:r>
    </w:p>
    <w:p w14:paraId="7C4B920C" w14:textId="77777777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000000"/>
          <w:sz w:val="24"/>
          <w:szCs w:val="24"/>
        </w:rPr>
      </w:pPr>
    </w:p>
    <w:p w14:paraId="2210AE67" w14:textId="77777777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>Strukturat për ndjekjen e procedurave të prokurimit në fushën e sigurisë</w:t>
      </w:r>
    </w:p>
    <w:p w14:paraId="74FF7118" w14:textId="31CCE4F7" w:rsidR="007415B0" w:rsidRPr="00F8262F" w:rsidRDefault="007415B0" w:rsidP="007415B0">
      <w:pPr>
        <w:tabs>
          <w:tab w:val="left" w:pos="6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1. Strukturat për ndjekjen e procedurave të prokurimit në fushën e sigurisë, janë:</w:t>
      </w:r>
    </w:p>
    <w:p w14:paraId="06A29118" w14:textId="5D71DD83" w:rsidR="007415B0" w:rsidRPr="00F8262F" w:rsidRDefault="007415B0" w:rsidP="007415B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i. Njësia e Prokurimit (rast pas rasti);</w:t>
      </w:r>
    </w:p>
    <w:p w14:paraId="25A50470" w14:textId="1AAA16E7" w:rsidR="007415B0" w:rsidRPr="00F8262F" w:rsidRDefault="007415B0" w:rsidP="007415B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ii. Komisioni i Vlerësimit të Ofertave (rast pas rasti);</w:t>
      </w:r>
    </w:p>
    <w:p w14:paraId="46A7F170" w14:textId="6D88E272" w:rsidR="007415B0" w:rsidRPr="00F8262F" w:rsidRDefault="007415B0" w:rsidP="007415B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iii. Komisioni i Prokurimit me Vlerë të Vogël (në fillim të vitit).</w:t>
      </w:r>
    </w:p>
    <w:p w14:paraId="200227FE" w14:textId="798D110F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Njësia e Prokurimit, Komisioni i Vlerësimit të Ofertave dhe Komisioni i Prokurimit me Vlerë të Vogël ngrihen me urdhër të </w:t>
      </w:r>
      <w:r w:rsidR="00C41990"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zëvendësguvernatorit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të Dytë të Bankës së Shqipërisë, në cilësinë e </w:t>
      </w:r>
      <w:r w:rsidR="009864B4"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kryetarit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të Entit Prokurues dhe me propozim të Departamentit të Administrimit. </w:t>
      </w:r>
    </w:p>
    <w:p w14:paraId="5BFE9442" w14:textId="41204469" w:rsidR="007415B0" w:rsidRPr="00F8262F" w:rsidRDefault="007415B0" w:rsidP="007415B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2. Zëvendësguvernatori i Dytë i Bankës së Shqipërisë, në cilësinë e </w:t>
      </w:r>
      <w:r w:rsidR="00C41990"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kryetarit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të Entit</w:t>
      </w:r>
      <w:r w:rsidR="00892765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Prokurues, është autoriteti kompetent për miratimin e:</w:t>
      </w:r>
    </w:p>
    <w:p w14:paraId="508A954C" w14:textId="2786F9D9" w:rsidR="007415B0" w:rsidRPr="00F8262F" w:rsidRDefault="007415B0" w:rsidP="007415B0">
      <w:pPr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i. Urdhrit të Prokurimit në fushën e sigurisë;</w:t>
      </w:r>
    </w:p>
    <w:p w14:paraId="6F8E5EF8" w14:textId="26EC5E24" w:rsidR="007415B0" w:rsidRPr="00F8262F" w:rsidRDefault="007415B0" w:rsidP="007415B0">
      <w:pPr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ii. Njoftimit të fituesit, në vijim të procedurës së prokurimit në fushën e sigurisë;</w:t>
      </w:r>
    </w:p>
    <w:p w14:paraId="43DE528B" w14:textId="54FE3999" w:rsidR="007415B0" w:rsidRPr="00F8262F" w:rsidRDefault="007415B0" w:rsidP="007415B0">
      <w:pPr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iii. Anulimit të procedurës së prokurimit në fushën e sigurisë, përveç rasteve kur anulimi është vendosur nga Komisioni i Prokurimit Publik;</w:t>
      </w:r>
    </w:p>
    <w:p w14:paraId="4311817A" w14:textId="3A8F5ECF" w:rsidR="007415B0" w:rsidRPr="00F8262F" w:rsidRDefault="007415B0" w:rsidP="007415B0">
      <w:pPr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iv. Pezullimit të procedurës së prokurimit në fushën e sigurisë;</w:t>
      </w:r>
    </w:p>
    <w:p w14:paraId="11A0FD24" w14:textId="73AA2FCF" w:rsidR="007415B0" w:rsidRPr="00F8262F" w:rsidRDefault="007415B0" w:rsidP="007415B0">
      <w:pPr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v. Kontratës që do të lidhet në vijim të procedurës së prokurimit në fushën e sigurisë;</w:t>
      </w:r>
    </w:p>
    <w:p w14:paraId="681BFD0E" w14:textId="0704F1CB" w:rsidR="007415B0" w:rsidRPr="00F8262F" w:rsidRDefault="007415B0" w:rsidP="007415B0">
      <w:pPr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vi. Urdhrit për përjashtimin e operatorëve ekonomikë nga pjesëmarrja në procedurat e prokurimit; </w:t>
      </w:r>
    </w:p>
    <w:p w14:paraId="14C7FE05" w14:textId="569BB378" w:rsidR="007415B0" w:rsidRPr="00F8262F" w:rsidRDefault="007415B0" w:rsidP="007415B0">
      <w:pPr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vii. Akteve dhe njoftimeve të cilat, në bazë të </w:t>
      </w:r>
      <w:r w:rsidR="009D28CA"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ligjit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nr. 36/2020, datë 16.4.2020</w:t>
      </w:r>
      <w:r w:rsidR="009D28CA">
        <w:rPr>
          <w:rFonts w:ascii="Garamond" w:hAnsi="Garamond" w:cs="Times New Roman"/>
          <w:i/>
          <w:iCs/>
          <w:color w:val="000000"/>
          <w:sz w:val="24"/>
          <w:szCs w:val="24"/>
        </w:rPr>
        <w:t>,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“Për prokurimet në fushën e mbrojtjes dhe të sigurisë”</w:t>
      </w:r>
      <w:r w:rsidR="009D28CA">
        <w:rPr>
          <w:rFonts w:ascii="Garamond" w:hAnsi="Garamond" w:cs="Times New Roman"/>
          <w:i/>
          <w:iCs/>
          <w:color w:val="000000"/>
          <w:sz w:val="24"/>
          <w:szCs w:val="24"/>
        </w:rPr>
        <w:t>,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dhe akteve nënligjore të nxjerra në bazë dhe për zbatim të tij, janë kompetencë e titullarit të autoritetit kontraktor.</w:t>
      </w:r>
    </w:p>
    <w:p w14:paraId="6A176735" w14:textId="4B449A0B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3. Njoftimet/komunikimet e Njësisë së Prokurimit në përmbushje të funksioneve të saj, drejtuar autoriteteve/subjekteve të interesuara, jashtë Bankës së Shqipërisë, do të përcillen nga </w:t>
      </w:r>
      <w:r w:rsidR="009D28CA"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drejtori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i Departamentit të Administrimit.</w:t>
      </w:r>
    </w:p>
    <w:p w14:paraId="74F9FF14" w14:textId="08B4F28C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4. Departamenti i Administrimit përcjell në Agjencinë e Prokurimit Publik, njoftimet për publikim.</w:t>
      </w:r>
    </w:p>
    <w:p w14:paraId="35BB85D9" w14:textId="7777777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</w:p>
    <w:p w14:paraId="760A98BD" w14:textId="7777777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bCs/>
          <w:i/>
          <w:iCs/>
          <w:color w:val="000000"/>
          <w:sz w:val="24"/>
          <w:szCs w:val="24"/>
        </w:rPr>
        <w:t>Neni 54/2</w:t>
      </w:r>
    </w:p>
    <w:p w14:paraId="0F9292BC" w14:textId="21D68026" w:rsidR="007415B0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>Kërkesat për prokurim në fushën e sigurisë</w:t>
      </w:r>
    </w:p>
    <w:p w14:paraId="3CFEF7B7" w14:textId="77777777" w:rsidR="009D28CA" w:rsidRPr="00F8262F" w:rsidRDefault="009D28CA" w:rsidP="007415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</w:p>
    <w:p w14:paraId="0513E462" w14:textId="4E1D7221" w:rsidR="007415B0" w:rsidRPr="00F8262F" w:rsidRDefault="007415B0" w:rsidP="007415B0">
      <w:pPr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1.</w:t>
      </w:r>
      <w:r w:rsidR="00892765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Procedurat e prokurimit në fushën e sigurisë nisin në çdo rast, në vijim të kërkesës për prokurim të paraqitur nga departamenti përkatës kërkues i Bankës së Shqipërisë. Në kërkesë do të përfshihen të paktën:</w:t>
      </w:r>
    </w:p>
    <w:p w14:paraId="672D2BE9" w14:textId="6A0A9F13" w:rsidR="007415B0" w:rsidRPr="00F8262F" w:rsidRDefault="007415B0" w:rsidP="007415B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4663B">
        <w:rPr>
          <w:rFonts w:ascii="Garamond" w:hAnsi="Garamond" w:cs="Times New Roman"/>
          <w:i/>
          <w:iCs/>
          <w:color w:val="000000"/>
          <w:sz w:val="24"/>
          <w:szCs w:val="24"/>
        </w:rPr>
        <w:t>i.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Kërkesat e qarta dhe të plota lidhur me objektin e prokurimit që kërkohet të realizohet, të shoqëruara me argumentimin përkatës nga departamenti kërkues, në lidhje me natyrën në fushën e sigurisë, së objektit që kërkohet të prokurohet</w:t>
      </w:r>
      <w:r w:rsidR="009347B1">
        <w:rPr>
          <w:rFonts w:ascii="Garamond" w:hAnsi="Garamond" w:cs="Times New Roman"/>
          <w:i/>
          <w:iCs/>
          <w:color w:val="000000"/>
          <w:sz w:val="24"/>
          <w:szCs w:val="24"/>
        </w:rPr>
        <w:t>;</w:t>
      </w:r>
    </w:p>
    <w:p w14:paraId="4AFA7F35" w14:textId="661D3BB1" w:rsidR="007415B0" w:rsidRPr="00F8262F" w:rsidRDefault="007415B0" w:rsidP="007415B0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4663B">
        <w:rPr>
          <w:rFonts w:ascii="Garamond" w:hAnsi="Garamond" w:cs="Times New Roman"/>
          <w:i/>
          <w:iCs/>
          <w:color w:val="000000"/>
          <w:sz w:val="24"/>
          <w:szCs w:val="24"/>
        </w:rPr>
        <w:t>ii.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Kërkesat dhe/ose specifikimet teknike të plota, të hartuara me përgjegjësi në bazë të nevojave të Bankës së Shqipërisë;</w:t>
      </w:r>
    </w:p>
    <w:p w14:paraId="06EEEDDF" w14:textId="18F6F4AC" w:rsidR="007415B0" w:rsidRPr="00F8262F" w:rsidRDefault="007415B0" w:rsidP="007415B0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A9331A">
        <w:rPr>
          <w:rFonts w:ascii="Garamond" w:hAnsi="Garamond" w:cs="Times New Roman"/>
          <w:i/>
          <w:iCs/>
          <w:color w:val="000000"/>
          <w:sz w:val="24"/>
          <w:szCs w:val="24"/>
        </w:rPr>
        <w:lastRenderedPageBreak/>
        <w:t>iii.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Koha brenda të cilës është i nevojshëm përfundimi i prokurimit për Departamentin që bën kërkesën;</w:t>
      </w:r>
    </w:p>
    <w:p w14:paraId="172840C8" w14:textId="28EB785B" w:rsidR="007415B0" w:rsidRPr="00F8262F" w:rsidRDefault="007415B0" w:rsidP="007415B0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A9331A">
        <w:rPr>
          <w:rFonts w:ascii="Garamond" w:hAnsi="Garamond" w:cs="Times New Roman"/>
          <w:i/>
          <w:iCs/>
          <w:color w:val="000000"/>
          <w:sz w:val="24"/>
          <w:szCs w:val="24"/>
        </w:rPr>
        <w:t>iv.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Fondi i nevojshëm i planifikuar në zërat e buxhetit të vitit ushtrimor dhe/ose afatmesëm (në rastin e objekteve me kohëzgjatje më shumë se një vit kalendarik);</w:t>
      </w:r>
    </w:p>
    <w:p w14:paraId="7E49F80B" w14:textId="5D10104C" w:rsidR="007415B0" w:rsidRPr="00F8262F" w:rsidRDefault="007415B0" w:rsidP="007415B0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A9331A">
        <w:rPr>
          <w:rFonts w:ascii="Garamond" w:hAnsi="Garamond" w:cs="Times New Roman"/>
          <w:i/>
          <w:iCs/>
          <w:color w:val="000000"/>
          <w:sz w:val="24"/>
          <w:szCs w:val="24"/>
        </w:rPr>
        <w:t>v.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Lista e punonjësve të departamentit ose të strukturës, prej të cilës do të mund të zgjidhen anëtarët përkatës të Njësisë së Prokurimit dhe Komisionit të Vlerësimit të Ofertave</w:t>
      </w:r>
      <w:r w:rsidR="009347B1">
        <w:rPr>
          <w:rFonts w:ascii="Garamond" w:hAnsi="Garamond" w:cs="Times New Roman"/>
          <w:i/>
          <w:iCs/>
          <w:color w:val="000000"/>
          <w:sz w:val="24"/>
          <w:szCs w:val="24"/>
        </w:rPr>
        <w:t>;</w:t>
      </w:r>
    </w:p>
    <w:p w14:paraId="76BDB175" w14:textId="40FE41B2" w:rsidR="007415B0" w:rsidRPr="00F8262F" w:rsidRDefault="007415B0" w:rsidP="007415B0">
      <w:pPr>
        <w:tabs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i/>
          <w:iCs/>
          <w:color w:val="000000"/>
          <w:sz w:val="24"/>
          <w:szCs w:val="24"/>
        </w:rPr>
      </w:pPr>
      <w:r w:rsidRPr="00A9331A">
        <w:rPr>
          <w:rFonts w:ascii="Garamond" w:hAnsi="Garamond" w:cs="Times New Roman"/>
          <w:i/>
          <w:iCs/>
          <w:color w:val="000000"/>
          <w:sz w:val="24"/>
          <w:szCs w:val="24"/>
        </w:rPr>
        <w:t>vi.</w:t>
      </w:r>
      <w:r w:rsidRPr="00F8262F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Miratimi i Këshillit Mbikëqyrës për realizimin e objektit të prokurimit për një kohëzgjatje më shumë se një vit kalendarik.</w:t>
      </w:r>
    </w:p>
    <w:p w14:paraId="664DD242" w14:textId="77777777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</w:p>
    <w:p w14:paraId="52881873" w14:textId="77777777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bCs/>
          <w:i/>
          <w:iCs/>
          <w:color w:val="000000"/>
          <w:sz w:val="24"/>
          <w:szCs w:val="24"/>
        </w:rPr>
        <w:t>Neni 54/3</w:t>
      </w:r>
    </w:p>
    <w:p w14:paraId="4A1ED1E3" w14:textId="77777777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>Përllogaritja e fondit limit për procedurat në fushën e sigurisë</w:t>
      </w:r>
    </w:p>
    <w:p w14:paraId="1B66D0B4" w14:textId="77777777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</w:p>
    <w:p w14:paraId="526137B2" w14:textId="13375AF4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1. Për procedurat e thjeshtuara të prokurimit në fushën e sigurisë, përllogaritja e fondit limit bëhet nga Komisioni i Prokurimit me Vlerë të Vogël, pas paraqitjes së Kërkesës për Prokurim.</w:t>
      </w:r>
    </w:p>
    <w:p w14:paraId="54C4B2B9" w14:textId="6510B8EA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2. Për procedurat e tjera të prokurimit, jo të thjeshtuara, përllogaritja e fondit limit bëhet nga Sektori i Prokurimeve i Departamentit të Administrimit, pas paraqitjes së Kërkesës për Prokurim dhe përpara se të ngrihet Njësia e Prokurimit dhe Komisioni i Vlerësimit të Ofertave.</w:t>
      </w:r>
    </w:p>
    <w:p w14:paraId="19093DF3" w14:textId="7777777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</w:p>
    <w:p w14:paraId="129A457B" w14:textId="7777777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bCs/>
          <w:i/>
          <w:iCs/>
          <w:color w:val="000000"/>
          <w:sz w:val="24"/>
          <w:szCs w:val="24"/>
        </w:rPr>
        <w:t>Neni 54/4</w:t>
      </w:r>
    </w:p>
    <w:p w14:paraId="43684DFC" w14:textId="7777777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  <w:t>Lidhja e kontratës në fushën e sigurisë dhe ndjekja e saj</w:t>
      </w:r>
    </w:p>
    <w:p w14:paraId="13848F45" w14:textId="7777777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i/>
          <w:iCs/>
          <w:color w:val="000000"/>
          <w:sz w:val="24"/>
          <w:szCs w:val="24"/>
        </w:rPr>
      </w:pPr>
    </w:p>
    <w:p w14:paraId="5F7911EC" w14:textId="15A269F8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1. Në vijim të përfundimit të afatit të ankimimit dhe njoftimit të fituesit për lidhjen e kontratës, Departamenti i Administrimit negocion për lidhjen e kontratës ndërmjet Bankës së Shqipërisë dhe subjektit fitues. </w:t>
      </w:r>
    </w:p>
    <w:p w14:paraId="2B88C046" w14:textId="31C2A0BA" w:rsidR="007415B0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2. Departamenti i Administrimit, bazuar në informacionin e vënë në dispozicion nga ndjekësi i kontratës, raporton në vazhdimësi te </w:t>
      </w:r>
      <w:r w:rsidR="0025496D"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kryetari </w:t>
      </w:r>
      <w:r w:rsidRPr="00F8262F">
        <w:rPr>
          <w:rFonts w:ascii="Garamond" w:hAnsi="Garamond" w:cs="Times New Roman"/>
          <w:i/>
          <w:iCs/>
          <w:color w:val="000000"/>
          <w:sz w:val="24"/>
          <w:szCs w:val="24"/>
        </w:rPr>
        <w:t>i Entit Prokurues mbi ecurinë e zbatimit të kontratës.”</w:t>
      </w:r>
    </w:p>
    <w:p w14:paraId="048C0A45" w14:textId="77777777" w:rsidR="00E51D33" w:rsidRPr="00F8262F" w:rsidRDefault="00E51D33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bookmarkStart w:id="0" w:name="_GoBack"/>
      <w:bookmarkEnd w:id="0"/>
    </w:p>
    <w:p w14:paraId="49E30E8B" w14:textId="44D99605" w:rsidR="007415B0" w:rsidRPr="00F8262F" w:rsidRDefault="007415B0" w:rsidP="007415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>2. Guvernatori i Bankës së Shqipërisë, në mbështetje të rregullores “Për sigurinë industriale, rregullat, procedurat dhe kërkesat për mbrojtjen e informacionit të klasifikuar gjatë prokurimit në fushën e mbrojtjes dhe sigurisë”, miraton me akt të veçantë detyrat e strukturave përkatëse në Bankën e Shqipërisë, për zbatimin e kërkesave të këtij vendimi.</w:t>
      </w:r>
    </w:p>
    <w:p w14:paraId="26B1D93E" w14:textId="0EDA6B4B" w:rsidR="007415B0" w:rsidRPr="00F8262F" w:rsidRDefault="007415B0" w:rsidP="007415B0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>3. Ngarkohen Kabineti i Guvernatorit dhe Departamenti i Kërkimeve me publikimin e këtij vendimi përkatësisht në Fletoren Zyrtare të Republikës së Shqipërisë dhe në Buletinin Zyrtar të Bankës së Shqipërisë.</w:t>
      </w:r>
    </w:p>
    <w:p w14:paraId="4E4299E4" w14:textId="4367564E" w:rsidR="007415B0" w:rsidRPr="00F8262F" w:rsidRDefault="007415B0" w:rsidP="007415B0">
      <w:pPr>
        <w:tabs>
          <w:tab w:val="left" w:pos="260"/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>4. Ngarkohen të gjitha njësitë organizative të Bankës së Shqipërisë me zbatimin e këtij vendimi.</w:t>
      </w:r>
    </w:p>
    <w:p w14:paraId="6C04CBAB" w14:textId="7777777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F8262F">
        <w:rPr>
          <w:rFonts w:ascii="Garamond" w:hAnsi="Garamond" w:cs="Times New Roman"/>
          <w:color w:val="000000"/>
          <w:sz w:val="24"/>
          <w:szCs w:val="24"/>
        </w:rPr>
        <w:t>Ky vendim hyn në fuqi menjëherë pas botimit në Fletoren Zyrtare</w:t>
      </w:r>
      <w:r w:rsidRPr="00F8262F">
        <w:rPr>
          <w:rFonts w:ascii="Garamond" w:hAnsi="Garamond" w:cs="Calibri"/>
          <w:color w:val="000000"/>
          <w:sz w:val="24"/>
          <w:szCs w:val="24"/>
        </w:rPr>
        <w:t>.</w:t>
      </w:r>
    </w:p>
    <w:p w14:paraId="424556DC" w14:textId="77777777" w:rsidR="0039550C" w:rsidRDefault="0039550C" w:rsidP="00254A17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</w:rPr>
      </w:pPr>
    </w:p>
    <w:p w14:paraId="217CB6F1" w14:textId="7341E6EF" w:rsidR="00254A17" w:rsidRDefault="00254A17" w:rsidP="00254A17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F8262F">
        <w:rPr>
          <w:rFonts w:ascii="Garamond" w:hAnsi="Garamond" w:cs="Times New Roman"/>
          <w:bCs/>
          <w:color w:val="000000"/>
          <w:sz w:val="24"/>
          <w:szCs w:val="24"/>
        </w:rPr>
        <w:t>KRYETAR</w:t>
      </w:r>
      <w:r w:rsidRPr="00254A17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</w:p>
    <w:p w14:paraId="0F063F7B" w14:textId="71F00F02" w:rsidR="007415B0" w:rsidRPr="00F8262F" w:rsidRDefault="00254A17" w:rsidP="00254A17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color w:val="000000"/>
          <w:sz w:val="24"/>
          <w:szCs w:val="24"/>
        </w:rPr>
      </w:pPr>
      <w:r w:rsidRPr="00F8262F">
        <w:rPr>
          <w:rFonts w:ascii="Garamond" w:hAnsi="Garamond" w:cs="Times New Roman"/>
          <w:b/>
          <w:bCs/>
          <w:color w:val="000000"/>
          <w:sz w:val="24"/>
          <w:szCs w:val="24"/>
        </w:rPr>
        <w:t>Gent Sejko</w:t>
      </w:r>
    </w:p>
    <w:p w14:paraId="6F5221DB" w14:textId="77777777" w:rsidR="007415B0" w:rsidRPr="00F8262F" w:rsidRDefault="007415B0" w:rsidP="007415B0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color w:val="000000"/>
          <w:sz w:val="24"/>
          <w:szCs w:val="24"/>
        </w:rPr>
      </w:pPr>
    </w:p>
    <w:sectPr w:rsidR="007415B0" w:rsidRPr="00F8262F" w:rsidSect="00F8262F">
      <w:headerReference w:type="first" r:id="rId12"/>
      <w:pgSz w:w="11907" w:h="16839" w:code="9"/>
      <w:pgMar w:top="1440" w:right="1287" w:bottom="1440" w:left="153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14FD1" w14:textId="77777777" w:rsidR="00E51D33" w:rsidRDefault="00E51D33">
      <w:pPr>
        <w:spacing w:after="0" w:line="240" w:lineRule="auto"/>
      </w:pPr>
      <w:r>
        <w:separator/>
      </w:r>
    </w:p>
  </w:endnote>
  <w:endnote w:type="continuationSeparator" w:id="0">
    <w:p w14:paraId="4BDE0CFA" w14:textId="77777777" w:rsidR="00E51D33" w:rsidRDefault="00E51D33">
      <w:pPr>
        <w:spacing w:after="0" w:line="240" w:lineRule="auto"/>
      </w:pPr>
      <w:r>
        <w:continuationSeparator/>
      </w:r>
    </w:p>
  </w:endnote>
  <w:endnote w:type="continuationNotice" w:id="1">
    <w:p w14:paraId="66EB534D" w14:textId="77777777" w:rsidR="00E51D33" w:rsidRDefault="00E51D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21468" w14:textId="77777777" w:rsidR="00E51D33" w:rsidRDefault="00E51D33">
      <w:pPr>
        <w:spacing w:after="0" w:line="240" w:lineRule="auto"/>
      </w:pPr>
      <w:r>
        <w:separator/>
      </w:r>
    </w:p>
  </w:footnote>
  <w:footnote w:type="continuationSeparator" w:id="0">
    <w:p w14:paraId="66511C48" w14:textId="77777777" w:rsidR="00E51D33" w:rsidRDefault="00E51D33">
      <w:pPr>
        <w:spacing w:after="0" w:line="240" w:lineRule="auto"/>
      </w:pPr>
      <w:r>
        <w:continuationSeparator/>
      </w:r>
    </w:p>
  </w:footnote>
  <w:footnote w:type="continuationNotice" w:id="1">
    <w:p w14:paraId="148F0AAF" w14:textId="77777777" w:rsidR="00E51D33" w:rsidRDefault="00E51D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CD9F0" w14:textId="4B32A5FB" w:rsidR="00E51D33" w:rsidRPr="007E4EA2" w:rsidRDefault="00E51D33" w:rsidP="0006695C">
    <w:pPr>
      <w:jc w:val="both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31C6"/>
    <w:multiLevelType w:val="hybridMultilevel"/>
    <w:tmpl w:val="14648F54"/>
    <w:lvl w:ilvl="0" w:tplc="18DE4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/>
      </w:rPr>
    </w:lvl>
    <w:lvl w:ilvl="1" w:tplc="0409001B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748"/>
        </w:tabs>
        <w:ind w:left="748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71F697A"/>
    <w:multiLevelType w:val="hybridMultilevel"/>
    <w:tmpl w:val="96F820F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442CA"/>
    <w:multiLevelType w:val="hybridMultilevel"/>
    <w:tmpl w:val="A9BC20F0"/>
    <w:lvl w:ilvl="0" w:tplc="90186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0F716A"/>
    <w:multiLevelType w:val="hybridMultilevel"/>
    <w:tmpl w:val="6D3C2DCC"/>
    <w:lvl w:ilvl="0" w:tplc="DFB83B0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5239A"/>
    <w:multiLevelType w:val="hybridMultilevel"/>
    <w:tmpl w:val="7FBE02F2"/>
    <w:lvl w:ilvl="0" w:tplc="AD6ECC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BF6C0F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748"/>
        </w:tabs>
        <w:ind w:left="748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36329F0"/>
    <w:multiLevelType w:val="hybridMultilevel"/>
    <w:tmpl w:val="28C6A9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D661E"/>
    <w:multiLevelType w:val="multilevel"/>
    <w:tmpl w:val="A75CFE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5307352"/>
    <w:multiLevelType w:val="hybridMultilevel"/>
    <w:tmpl w:val="E7BCD6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60A91"/>
    <w:multiLevelType w:val="hybridMultilevel"/>
    <w:tmpl w:val="A6E4011E"/>
    <w:lvl w:ilvl="0" w:tplc="44FE46B4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748"/>
        </w:tabs>
        <w:ind w:left="748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3300E91"/>
    <w:multiLevelType w:val="hybridMultilevel"/>
    <w:tmpl w:val="4CB058F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667F2"/>
    <w:multiLevelType w:val="hybridMultilevel"/>
    <w:tmpl w:val="D9F2B6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81CF6"/>
    <w:multiLevelType w:val="hybridMultilevel"/>
    <w:tmpl w:val="3372E514"/>
    <w:lvl w:ilvl="0" w:tplc="E63C104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954A1"/>
    <w:multiLevelType w:val="hybridMultilevel"/>
    <w:tmpl w:val="D2164168"/>
    <w:lvl w:ilvl="0" w:tplc="0409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748"/>
        </w:tabs>
        <w:ind w:left="748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12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D11"/>
    <w:rsid w:val="0004131F"/>
    <w:rsid w:val="00041D23"/>
    <w:rsid w:val="0006695C"/>
    <w:rsid w:val="00070429"/>
    <w:rsid w:val="000726D0"/>
    <w:rsid w:val="000A44A6"/>
    <w:rsid w:val="001236FC"/>
    <w:rsid w:val="00124857"/>
    <w:rsid w:val="00156546"/>
    <w:rsid w:val="00196FAB"/>
    <w:rsid w:val="001E0149"/>
    <w:rsid w:val="001E2250"/>
    <w:rsid w:val="00213883"/>
    <w:rsid w:val="002353C1"/>
    <w:rsid w:val="0024583B"/>
    <w:rsid w:val="0025496D"/>
    <w:rsid w:val="00254A17"/>
    <w:rsid w:val="00266D61"/>
    <w:rsid w:val="00275026"/>
    <w:rsid w:val="002B6C62"/>
    <w:rsid w:val="002C2BF5"/>
    <w:rsid w:val="002D59C7"/>
    <w:rsid w:val="003527FC"/>
    <w:rsid w:val="0039550C"/>
    <w:rsid w:val="003B18ED"/>
    <w:rsid w:val="003C5C54"/>
    <w:rsid w:val="003D0185"/>
    <w:rsid w:val="004178CF"/>
    <w:rsid w:val="00425088"/>
    <w:rsid w:val="00457A7F"/>
    <w:rsid w:val="00480931"/>
    <w:rsid w:val="004B6FDE"/>
    <w:rsid w:val="004C7E8F"/>
    <w:rsid w:val="00505FE6"/>
    <w:rsid w:val="0050729A"/>
    <w:rsid w:val="00524ED4"/>
    <w:rsid w:val="00540BBA"/>
    <w:rsid w:val="00541D0F"/>
    <w:rsid w:val="005947FF"/>
    <w:rsid w:val="005A0C09"/>
    <w:rsid w:val="005B7C9C"/>
    <w:rsid w:val="006014C9"/>
    <w:rsid w:val="00604626"/>
    <w:rsid w:val="00635D18"/>
    <w:rsid w:val="006369B0"/>
    <w:rsid w:val="00665DC8"/>
    <w:rsid w:val="00684A02"/>
    <w:rsid w:val="00687D11"/>
    <w:rsid w:val="00690E75"/>
    <w:rsid w:val="006C0302"/>
    <w:rsid w:val="006D0EAC"/>
    <w:rsid w:val="00707C87"/>
    <w:rsid w:val="007415B0"/>
    <w:rsid w:val="0075544F"/>
    <w:rsid w:val="00760A9D"/>
    <w:rsid w:val="00763D6E"/>
    <w:rsid w:val="00766304"/>
    <w:rsid w:val="0078333A"/>
    <w:rsid w:val="007E5BA9"/>
    <w:rsid w:val="007F79CD"/>
    <w:rsid w:val="00892765"/>
    <w:rsid w:val="00893BD9"/>
    <w:rsid w:val="008A05D2"/>
    <w:rsid w:val="009347B1"/>
    <w:rsid w:val="00941D69"/>
    <w:rsid w:val="00983704"/>
    <w:rsid w:val="009864B4"/>
    <w:rsid w:val="009B62CD"/>
    <w:rsid w:val="009D28CA"/>
    <w:rsid w:val="00A023BF"/>
    <w:rsid w:val="00A06EDA"/>
    <w:rsid w:val="00A130F0"/>
    <w:rsid w:val="00A167BF"/>
    <w:rsid w:val="00A37CCA"/>
    <w:rsid w:val="00A9331A"/>
    <w:rsid w:val="00AA0E58"/>
    <w:rsid w:val="00AA164A"/>
    <w:rsid w:val="00AA3811"/>
    <w:rsid w:val="00AE3594"/>
    <w:rsid w:val="00B03416"/>
    <w:rsid w:val="00B04C58"/>
    <w:rsid w:val="00B16EF1"/>
    <w:rsid w:val="00B441C9"/>
    <w:rsid w:val="00B606D3"/>
    <w:rsid w:val="00BA075F"/>
    <w:rsid w:val="00BC3265"/>
    <w:rsid w:val="00BC7864"/>
    <w:rsid w:val="00C41990"/>
    <w:rsid w:val="00C50F51"/>
    <w:rsid w:val="00C64F1E"/>
    <w:rsid w:val="00C81C0E"/>
    <w:rsid w:val="00C9594F"/>
    <w:rsid w:val="00C95F36"/>
    <w:rsid w:val="00CA698D"/>
    <w:rsid w:val="00CB1A5C"/>
    <w:rsid w:val="00D04EBE"/>
    <w:rsid w:val="00D9642D"/>
    <w:rsid w:val="00E13D63"/>
    <w:rsid w:val="00E51D33"/>
    <w:rsid w:val="00E86165"/>
    <w:rsid w:val="00F21762"/>
    <w:rsid w:val="00F4663B"/>
    <w:rsid w:val="00F8262F"/>
    <w:rsid w:val="00F85033"/>
    <w:rsid w:val="00F9610C"/>
    <w:rsid w:val="00FD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3E66C"/>
  <w15:chartTrackingRefBased/>
  <w15:docId w15:val="{6118E884-B1E7-4F8E-8D7B-571EA3A6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7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D11"/>
  </w:style>
  <w:style w:type="paragraph" w:styleId="Footer">
    <w:name w:val="footer"/>
    <w:basedOn w:val="Normal"/>
    <w:link w:val="FooterChar"/>
    <w:uiPriority w:val="99"/>
    <w:unhideWhenUsed/>
    <w:rsid w:val="000669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95C"/>
  </w:style>
  <w:style w:type="table" w:styleId="TableGrid">
    <w:name w:val="Table Grid"/>
    <w:basedOn w:val="TableNormal"/>
    <w:uiPriority w:val="39"/>
    <w:rsid w:val="0006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6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95C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57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857"/>
    <w:pPr>
      <w:ind w:left="720"/>
      <w:contextualSpacing/>
    </w:pPr>
    <w:rPr>
      <w:lang w:val="en-US"/>
    </w:rPr>
  </w:style>
  <w:style w:type="paragraph" w:styleId="CommentText">
    <w:name w:val="annotation text"/>
    <w:basedOn w:val="Normal"/>
    <w:link w:val="CommentTextChar"/>
    <w:unhideWhenUsed/>
    <w:rsid w:val="00124857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124857"/>
    <w:rPr>
      <w:sz w:val="20"/>
      <w:szCs w:val="20"/>
      <w:lang w:val="en-US"/>
    </w:rPr>
  </w:style>
  <w:style w:type="paragraph" w:styleId="NoSpacing">
    <w:name w:val="No Spacing"/>
    <w:uiPriority w:val="1"/>
    <w:qFormat/>
    <w:rsid w:val="006046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57</Nr_x002e__x0020_akti>
    <Data_x0020_e_x0020_Krijimit xmlns="0e656187-b300-4fb0-8bf4-3a50f872073c">2024-11-13T15:31:34Z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2024-11-13T00:00:00Z</Date_x0020_protokolli>
    <Titulli xmlns="0e656187-b300-4fb0-8bf4-3a50f872073c">Për disa ndryshime në vendimin e Këshillit Mbikëqyrës nr.81, datë 15.11.2006 "Për miratimin e rregullores "Për procedurat e prokurimit në Bankën e Shqipërisë"", i ndryshuar</Titulli>
    <Modifikuesi xmlns="0e656187-b300-4fb0-8bf4-3a50f872073c">alma.lisaku</Modifikuesi>
    <Nr_x002e__x0020_prot_x0020_QBZ xmlns="0e656187-b300-4fb0-8bf4-3a50f872073c">1943/4</Nr_x002e__x0020_prot_x0020_QBZ>
    <Data_x0020_e_x0020_Modifikimit xmlns="0e656187-b300-4fb0-8bf4-3a50f872073c">2024-11-14T10:36:31Z</Data_x0020_e_x0020_Modifikimit>
    <Dekretuar xmlns="0e656187-b300-4fb0-8bf4-3a50f872073c">false</Dekretuar>
    <Data xmlns="0e656187-b300-4fb0-8bf4-3a50f872073c">2024-11-06T00:00:00Z</Data>
    <Nr_x002e__x0020_protokolli_x0020_i_x0020_aktit xmlns="0e656187-b300-4fb0-8bf4-3a50f872073c">4636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7CF367E90114F41B599A61905C13F8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7CF367E90114F41B599A61905C13F8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0E16D57-2491-4300-BB08-7458267337D3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e656187-b300-4fb0-8bf4-3a50f872073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EF0D45C-5D5B-4FC8-9B3F-172101F0E9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C61754-14E0-447E-8E1A-703D16424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19BBEDE-AA1C-4131-9D19-D5263AAA9ED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667F935-D78D-4138-856F-512159839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e Këshillit Mbikëqyrës nr.81, datë 15.11.2006 "Për miratimin e rregullores "Për procedurat e prokurimit në Bankën e Shqipërisë"", i ndryshuar</vt:lpstr>
    </vt:vector>
  </TitlesOfParts>
  <Company>Hewlett-Packard Company</Company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e Këshillit Mbikëqyrës nr.81, datë 15.11.2006 "Për miratimin e rregullores "Për procedurat e prokurimit në Bankën e Shqipërisë"", i ndryshuar</dc:title>
  <dc:creator>Elvis Cibuku</dc:creator>
  <cp:lastModifiedBy>Amarilda Muja</cp:lastModifiedBy>
  <cp:revision>34</cp:revision>
  <cp:lastPrinted>2024-11-06T07:47:00Z</cp:lastPrinted>
  <dcterms:created xsi:type="dcterms:W3CDTF">2024-11-13T14:25:00Z</dcterms:created>
  <dcterms:modified xsi:type="dcterms:W3CDTF">2024-11-14T09:55:00Z</dcterms:modified>
</cp:coreProperties>
</file>