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C93ED" w14:textId="77777777" w:rsidR="00F018E6" w:rsidRPr="00F801EB" w:rsidRDefault="00F018E6" w:rsidP="00F018E6">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F801EB">
        <w:rPr>
          <w:rFonts w:ascii="Garamond" w:hAnsi="Garamond" w:cs="Times New Roman"/>
          <w:b/>
          <w:bCs/>
          <w:color w:val="000000"/>
          <w:sz w:val="24"/>
          <w:szCs w:val="24"/>
          <w:lang w:val="sq-AL"/>
        </w:rPr>
        <w:t>VENDIM</w:t>
      </w:r>
    </w:p>
    <w:p w14:paraId="59C3C709" w14:textId="77777777" w:rsidR="00F018E6" w:rsidRPr="00F801EB" w:rsidRDefault="00F018E6" w:rsidP="00F018E6">
      <w:pPr>
        <w:autoSpaceDE w:val="0"/>
        <w:autoSpaceDN w:val="0"/>
        <w:adjustRightInd w:val="0"/>
        <w:spacing w:after="0" w:line="240" w:lineRule="auto"/>
        <w:ind w:firstLine="284"/>
        <w:jc w:val="center"/>
        <w:rPr>
          <w:rFonts w:ascii="Garamond" w:hAnsi="Garamond" w:cs="Calibri"/>
          <w:b/>
          <w:bCs/>
          <w:color w:val="000000"/>
          <w:sz w:val="24"/>
          <w:szCs w:val="24"/>
          <w:lang w:val="sq-AL"/>
        </w:rPr>
      </w:pPr>
      <w:r w:rsidRPr="00F801EB">
        <w:rPr>
          <w:rFonts w:ascii="Garamond" w:hAnsi="Garamond" w:cs="Times New Roman"/>
          <w:b/>
          <w:bCs/>
          <w:color w:val="000000"/>
          <w:sz w:val="24"/>
          <w:szCs w:val="24"/>
          <w:lang w:val="sq-AL"/>
        </w:rPr>
        <w:t>Nr. 42, datë 3</w:t>
      </w:r>
      <w:r w:rsidRPr="00F801EB">
        <w:rPr>
          <w:rFonts w:ascii="Garamond" w:hAnsi="Garamond" w:cs="Calibri"/>
          <w:b/>
          <w:bCs/>
          <w:color w:val="000000"/>
          <w:sz w:val="24"/>
          <w:szCs w:val="24"/>
          <w:lang w:val="sq-AL"/>
        </w:rPr>
        <w:t>.</w:t>
      </w:r>
      <w:r w:rsidRPr="00F801EB">
        <w:rPr>
          <w:rFonts w:ascii="Garamond" w:hAnsi="Garamond" w:cs="Times New Roman"/>
          <w:b/>
          <w:bCs/>
          <w:color w:val="000000"/>
          <w:sz w:val="24"/>
          <w:szCs w:val="24"/>
          <w:lang w:val="sq-AL"/>
        </w:rPr>
        <w:t>9</w:t>
      </w:r>
      <w:r w:rsidRPr="00F801EB">
        <w:rPr>
          <w:rFonts w:ascii="Garamond" w:hAnsi="Garamond" w:cs="Calibri"/>
          <w:b/>
          <w:bCs/>
          <w:color w:val="000000"/>
          <w:sz w:val="24"/>
          <w:szCs w:val="24"/>
          <w:lang w:val="sq-AL"/>
        </w:rPr>
        <w:t>.</w:t>
      </w:r>
      <w:r w:rsidRPr="00F801EB">
        <w:rPr>
          <w:rFonts w:ascii="Garamond" w:hAnsi="Garamond" w:cs="Times New Roman"/>
          <w:b/>
          <w:bCs/>
          <w:color w:val="000000"/>
          <w:sz w:val="24"/>
          <w:szCs w:val="24"/>
          <w:lang w:val="sq-AL"/>
        </w:rPr>
        <w:t>2025</w:t>
      </w:r>
    </w:p>
    <w:p w14:paraId="46B7793D" w14:textId="77777777" w:rsidR="00F018E6" w:rsidRPr="00F801EB" w:rsidRDefault="00F018E6" w:rsidP="00F018E6">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07B2F241" w14:textId="77777777" w:rsidR="00F018E6" w:rsidRPr="00F801EB" w:rsidRDefault="00F018E6" w:rsidP="00F018E6">
      <w:pPr>
        <w:spacing w:after="0" w:line="240" w:lineRule="auto"/>
        <w:ind w:firstLine="284"/>
        <w:jc w:val="center"/>
        <w:rPr>
          <w:rFonts w:ascii="Garamond" w:hAnsi="Garamond"/>
          <w:b/>
          <w:sz w:val="24"/>
          <w:szCs w:val="24"/>
          <w:lang w:val="sq-AL"/>
        </w:rPr>
      </w:pPr>
      <w:r w:rsidRPr="00F801EB">
        <w:rPr>
          <w:rFonts w:ascii="Garamond" w:hAnsi="Garamond"/>
          <w:b/>
          <w:sz w:val="24"/>
          <w:szCs w:val="24"/>
          <w:lang w:val="sq-AL"/>
        </w:rPr>
        <w:t>PËR DISA NDRYSHIME NË RREGULLOREN “PËR LICENCIMIN, ORGANIZIMIN, VEPRIMTARINË DHE MBIKËQYRJEN E ZYRAVE TË KËMBIMIT VALUTOR”</w:t>
      </w:r>
    </w:p>
    <w:p w14:paraId="770459F6" w14:textId="77777777" w:rsidR="00F018E6" w:rsidRPr="00F801EB" w:rsidRDefault="00F018E6" w:rsidP="00F018E6">
      <w:pPr>
        <w:autoSpaceDE w:val="0"/>
        <w:autoSpaceDN w:val="0"/>
        <w:adjustRightInd w:val="0"/>
        <w:spacing w:after="0" w:line="240" w:lineRule="auto"/>
        <w:ind w:firstLine="284"/>
        <w:jc w:val="center"/>
        <w:rPr>
          <w:rFonts w:ascii="Garamond" w:hAnsi="Garamond" w:cs="Times New Roman"/>
          <w:color w:val="000000"/>
          <w:sz w:val="24"/>
          <w:szCs w:val="24"/>
          <w:lang w:val="sq-AL"/>
        </w:rPr>
      </w:pPr>
    </w:p>
    <w:p w14:paraId="7CFC34F7" w14:textId="144DFFED"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Në bazë dhe për zbatim të nenit 12, shkronja “a” dhe të nenit 43, shkronja “c” të ligjit nr.</w:t>
      </w:r>
      <w:r w:rsidR="00F801EB">
        <w:rPr>
          <w:rFonts w:ascii="Garamond" w:hAnsi="Garamond" w:cs="Times New Roman"/>
          <w:color w:val="000000"/>
          <w:sz w:val="24"/>
          <w:szCs w:val="24"/>
          <w:lang w:val="sq-AL"/>
        </w:rPr>
        <w:t xml:space="preserve"> </w:t>
      </w:r>
      <w:r w:rsidRPr="00F801EB">
        <w:rPr>
          <w:rFonts w:ascii="Garamond" w:hAnsi="Garamond" w:cs="Times New Roman"/>
          <w:color w:val="000000"/>
          <w:sz w:val="24"/>
          <w:szCs w:val="24"/>
          <w:lang w:val="sq-AL"/>
        </w:rPr>
        <w:t>8269, datë 23.12.1997</w:t>
      </w:r>
      <w:r w:rsidR="00F801EB">
        <w:rPr>
          <w:rFonts w:ascii="Garamond" w:hAnsi="Garamond" w:cs="Times New Roman"/>
          <w:color w:val="000000"/>
          <w:sz w:val="24"/>
          <w:szCs w:val="24"/>
          <w:lang w:val="sq-AL"/>
        </w:rPr>
        <w:t>,</w:t>
      </w:r>
      <w:r w:rsidRPr="00F801EB">
        <w:rPr>
          <w:rFonts w:ascii="Garamond" w:hAnsi="Garamond" w:cs="Times New Roman"/>
          <w:color w:val="000000"/>
          <w:sz w:val="24"/>
          <w:szCs w:val="24"/>
          <w:lang w:val="sq-AL"/>
        </w:rPr>
        <w:t xml:space="preserve"> “Për Bankën e Shqipërisë” i ndryshuar; nenit 126</w:t>
      </w:r>
      <w:r w:rsidR="00F801EB">
        <w:rPr>
          <w:rFonts w:ascii="Garamond" w:hAnsi="Garamond" w:cs="Times New Roman"/>
          <w:color w:val="000000"/>
          <w:sz w:val="24"/>
          <w:szCs w:val="24"/>
          <w:lang w:val="sq-AL"/>
        </w:rPr>
        <w:t>,</w:t>
      </w:r>
      <w:r w:rsidRPr="00F801EB">
        <w:rPr>
          <w:rFonts w:ascii="Garamond" w:hAnsi="Garamond" w:cs="Times New Roman"/>
          <w:color w:val="000000"/>
          <w:sz w:val="24"/>
          <w:szCs w:val="24"/>
          <w:lang w:val="sq-AL"/>
        </w:rPr>
        <w:t xml:space="preserve"> të ligjit nr. 9662, datë 18.12.2006</w:t>
      </w:r>
      <w:r w:rsidR="00F801EB">
        <w:rPr>
          <w:rFonts w:ascii="Garamond" w:hAnsi="Garamond" w:cs="Times New Roman"/>
          <w:color w:val="000000"/>
          <w:sz w:val="24"/>
          <w:szCs w:val="24"/>
          <w:lang w:val="sq-AL"/>
        </w:rPr>
        <w:t>,</w:t>
      </w:r>
      <w:r w:rsidRPr="00F801EB">
        <w:rPr>
          <w:rFonts w:ascii="Garamond" w:hAnsi="Garamond" w:cs="Times New Roman"/>
          <w:color w:val="000000"/>
          <w:sz w:val="24"/>
          <w:szCs w:val="24"/>
          <w:lang w:val="sq-AL"/>
        </w:rPr>
        <w:t xml:space="preserve"> “Për bankat në Republikën e Shqipërisë”; si dhe të ligjit nr. 9917, datë 19.5.2008</w:t>
      </w:r>
      <w:r w:rsidR="00F801EB">
        <w:rPr>
          <w:rFonts w:ascii="Garamond" w:hAnsi="Garamond" w:cs="Times New Roman"/>
          <w:color w:val="000000"/>
          <w:sz w:val="24"/>
          <w:szCs w:val="24"/>
          <w:lang w:val="sq-AL"/>
        </w:rPr>
        <w:t>,</w:t>
      </w:r>
      <w:r w:rsidRPr="00F801EB">
        <w:rPr>
          <w:rFonts w:ascii="Garamond" w:hAnsi="Garamond" w:cs="Times New Roman"/>
          <w:color w:val="000000"/>
          <w:sz w:val="24"/>
          <w:szCs w:val="24"/>
          <w:lang w:val="sq-AL"/>
        </w:rPr>
        <w:t xml:space="preserve"> “Për parandalimin e pastrimit të parave dhe financimit të terrorizmit”, i ndryshuar”; Këshilli Mbikëqyrës i Bankës së Shqipërisë, me propozimin e Departamentit të Mbikëqyrjes, </w:t>
      </w:r>
    </w:p>
    <w:p w14:paraId="7288D8A5"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6EC27F5" w14:textId="77777777" w:rsidR="00F018E6" w:rsidRPr="00F801EB" w:rsidRDefault="00F018E6" w:rsidP="00F018E6">
      <w:pPr>
        <w:tabs>
          <w:tab w:val="left" w:pos="6300"/>
        </w:tabs>
        <w:autoSpaceDE w:val="0"/>
        <w:autoSpaceDN w:val="0"/>
        <w:adjustRightInd w:val="0"/>
        <w:spacing w:after="0" w:line="240" w:lineRule="auto"/>
        <w:ind w:firstLine="284"/>
        <w:jc w:val="center"/>
        <w:rPr>
          <w:rFonts w:ascii="Garamond" w:hAnsi="Garamond" w:cs="Times New Roman"/>
          <w:smallCaps/>
          <w:color w:val="000000"/>
          <w:sz w:val="24"/>
          <w:szCs w:val="24"/>
          <w:lang w:val="sq-AL"/>
        </w:rPr>
      </w:pPr>
      <w:r w:rsidRPr="00F801EB">
        <w:rPr>
          <w:rFonts w:ascii="Garamond" w:hAnsi="Garamond" w:cs="Times New Roman"/>
          <w:smallCaps/>
          <w:color w:val="000000"/>
          <w:sz w:val="24"/>
          <w:szCs w:val="24"/>
          <w:lang w:val="sq-AL"/>
        </w:rPr>
        <w:t>VENDOSI:</w:t>
      </w:r>
    </w:p>
    <w:p w14:paraId="2CC598C7" w14:textId="77777777" w:rsidR="00F018E6" w:rsidRPr="00F801EB" w:rsidRDefault="00F018E6" w:rsidP="00F018E6">
      <w:pPr>
        <w:tabs>
          <w:tab w:val="left" w:pos="6300"/>
        </w:tabs>
        <w:autoSpaceDE w:val="0"/>
        <w:autoSpaceDN w:val="0"/>
        <w:adjustRightInd w:val="0"/>
        <w:spacing w:after="0" w:line="240" w:lineRule="auto"/>
        <w:ind w:firstLine="284"/>
        <w:jc w:val="both"/>
        <w:rPr>
          <w:rFonts w:ascii="Garamond" w:hAnsi="Garamond" w:cs="Calibri"/>
          <w:smallCaps/>
          <w:color w:val="000000"/>
          <w:sz w:val="24"/>
          <w:szCs w:val="24"/>
          <w:lang w:val="sq-AL"/>
        </w:rPr>
      </w:pPr>
    </w:p>
    <w:p w14:paraId="3382DBAB" w14:textId="77777777" w:rsidR="00F018E6" w:rsidRPr="00F801EB" w:rsidRDefault="00F018E6" w:rsidP="00F018E6">
      <w:pPr>
        <w:tabs>
          <w:tab w:val="left" w:pos="360"/>
        </w:tabs>
        <w:autoSpaceDE w:val="0"/>
        <w:autoSpaceDN w:val="0"/>
        <w:adjustRightInd w:val="0"/>
        <w:spacing w:after="0" w:line="240" w:lineRule="auto"/>
        <w:ind w:firstLine="284"/>
        <w:jc w:val="both"/>
        <w:rPr>
          <w:rFonts w:ascii="Garamond" w:hAnsi="Garamond" w:cs="Calibri"/>
          <w:color w:val="000000"/>
          <w:sz w:val="24"/>
          <w:szCs w:val="24"/>
          <w:lang w:val="sq-AL"/>
        </w:rPr>
      </w:pPr>
      <w:r w:rsidRPr="00F801EB">
        <w:rPr>
          <w:rFonts w:ascii="Garamond" w:hAnsi="Garamond" w:cs="Times New Roman"/>
          <w:color w:val="000000"/>
          <w:sz w:val="24"/>
          <w:szCs w:val="24"/>
          <w:lang w:val="sq-AL"/>
        </w:rPr>
        <w:t>1. Në rregulloren “Për licencimin, organizimin, veprimtarinë dhe mbikëqyrjen e zyrave të këmbimit valutor”, miratuar me vendimin e Këshillit Mbikëqyrës nr. 31, datë 6.6.2007, e ndryshuar, të bëhen ndryshimet e mëposhtme:</w:t>
      </w:r>
    </w:p>
    <w:p w14:paraId="3E31ECA3"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a) Në nenin 3, bëhen ndryshimet e mëposhtme:</w:t>
      </w:r>
    </w:p>
    <w:p w14:paraId="1C5007ED" w14:textId="77777777" w:rsidR="00F018E6" w:rsidRPr="00F801EB" w:rsidRDefault="00F018E6" w:rsidP="00F018E6">
      <w:pPr>
        <w:tabs>
          <w:tab w:val="left" w:pos="19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i. Përmbajtja e shkronjës “b” ndryshohet në:</w:t>
      </w:r>
    </w:p>
    <w:p w14:paraId="454CD95A"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“b) veprimtari e këmbimit valutor” - është veprimtaria e shitblerjes së valutave në para fizike, ose nëpërmjet llogarive bankare ose llogarive të pagesave.”;</w:t>
      </w:r>
    </w:p>
    <w:p w14:paraId="303B2BC3" w14:textId="77777777" w:rsidR="00F018E6" w:rsidRPr="00F801EB" w:rsidRDefault="00F018E6" w:rsidP="00F018E6">
      <w:pPr>
        <w:tabs>
          <w:tab w:val="left" w:pos="19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Në shkronjën “e”, përmbajtja e pikës 2 ndryshohet në:</w:t>
      </w:r>
    </w:p>
    <w:p w14:paraId="690A980D"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“2. numri unik i identifikimit të subjektit (</w:t>
      </w:r>
      <w:proofErr w:type="spellStart"/>
      <w:r w:rsidRPr="00F801EB">
        <w:rPr>
          <w:rFonts w:ascii="Garamond" w:hAnsi="Garamond" w:cs="Times New Roman"/>
          <w:i/>
          <w:iCs/>
          <w:color w:val="000000"/>
          <w:sz w:val="24"/>
          <w:szCs w:val="24"/>
          <w:lang w:val="sq-AL"/>
        </w:rPr>
        <w:t>NUIS</w:t>
      </w:r>
      <w:proofErr w:type="spellEnd"/>
      <w:r w:rsidRPr="00F801EB">
        <w:rPr>
          <w:rFonts w:ascii="Garamond" w:hAnsi="Garamond" w:cs="Times New Roman"/>
          <w:i/>
          <w:iCs/>
          <w:color w:val="000000"/>
          <w:sz w:val="24"/>
          <w:szCs w:val="24"/>
          <w:lang w:val="sq-AL"/>
        </w:rPr>
        <w:t>);”;</w:t>
      </w:r>
    </w:p>
    <w:p w14:paraId="56781E1C" w14:textId="77777777" w:rsidR="00F018E6" w:rsidRPr="00F801EB" w:rsidRDefault="00F018E6" w:rsidP="00F018E6">
      <w:pPr>
        <w:tabs>
          <w:tab w:val="left" w:pos="19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Në shkronjën “e”, përmbajtja e pikës 7 ndryshohet në:</w:t>
      </w:r>
    </w:p>
    <w:p w14:paraId="59280DE2"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“7. emrat e </w:t>
      </w:r>
      <w:proofErr w:type="spellStart"/>
      <w:r w:rsidRPr="00F801EB">
        <w:rPr>
          <w:rFonts w:ascii="Garamond" w:hAnsi="Garamond" w:cs="Times New Roman"/>
          <w:i/>
          <w:iCs/>
          <w:color w:val="000000"/>
          <w:sz w:val="24"/>
          <w:szCs w:val="24"/>
          <w:lang w:val="sq-AL"/>
        </w:rPr>
        <w:t>aksionerëve</w:t>
      </w:r>
      <w:proofErr w:type="spellEnd"/>
      <w:r w:rsidRPr="00F801EB">
        <w:rPr>
          <w:rFonts w:ascii="Garamond" w:hAnsi="Garamond" w:cs="Times New Roman"/>
          <w:i/>
          <w:iCs/>
          <w:color w:val="000000"/>
          <w:sz w:val="24"/>
          <w:szCs w:val="24"/>
          <w:lang w:val="sq-AL"/>
        </w:rPr>
        <w:t xml:space="preserve"> ose ortakëve dhe të pronarëve përfitues.”;</w:t>
      </w:r>
    </w:p>
    <w:p w14:paraId="70A97EA6" w14:textId="77777777" w:rsidR="00F018E6" w:rsidRPr="00F801EB" w:rsidRDefault="00F018E6" w:rsidP="00F018E6">
      <w:pPr>
        <w:tabs>
          <w:tab w:val="left" w:pos="19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Pas shkronjës “n”, shtohen shkronjat “o”, “p” dhe “q” me përmbajtjen e mëposhtme:</w:t>
      </w:r>
    </w:p>
    <w:p w14:paraId="316CA78F"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“o) “pronar përfitues” - do të ketë të njëjtin kuptim të përcaktuar në pikën 1 të nenit 3 të ligjit nr. 112, datë 29.7.2020 “Për regjistrin e pronarëve përfitues”, i ndryshuar, pavarësisht nivelit të pronësisë së mbajtur në aksione/kuota të kapitalit ose interesa të pronësisë në një subjekt.</w:t>
      </w:r>
    </w:p>
    <w:p w14:paraId="3064D92A"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p) “llogari pagese” – ka të njëjtin kuptim si në nenin 5, pika 21 të ligjit nr. 55/2020 “Për shërbimet e pagesave”.  </w:t>
      </w:r>
    </w:p>
    <w:p w14:paraId="27EBED49"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q) “njësi e kontrollit të brendshëm” - është njësia organizative e veçantë e subjektit, e pavarur nga veprimtaritë, strukturat dhe personat që ajo shqyrton ose kontrollon, e cila raporton përpara ortakut/</w:t>
      </w:r>
      <w:proofErr w:type="spellStart"/>
      <w:r w:rsidRPr="00F801EB">
        <w:rPr>
          <w:rFonts w:ascii="Garamond" w:hAnsi="Garamond" w:cs="Times New Roman"/>
          <w:i/>
          <w:iCs/>
          <w:color w:val="000000"/>
          <w:sz w:val="24"/>
          <w:szCs w:val="24"/>
          <w:lang w:val="sq-AL"/>
        </w:rPr>
        <w:t>aksionerit</w:t>
      </w:r>
      <w:proofErr w:type="spellEnd"/>
      <w:r w:rsidRPr="00F801EB">
        <w:rPr>
          <w:rFonts w:ascii="Garamond" w:hAnsi="Garamond" w:cs="Times New Roman"/>
          <w:i/>
          <w:iCs/>
          <w:color w:val="000000"/>
          <w:sz w:val="24"/>
          <w:szCs w:val="24"/>
          <w:lang w:val="sq-AL"/>
        </w:rPr>
        <w:t xml:space="preserve"> ose organeve drejtuese të subjektit.”;   </w:t>
      </w:r>
    </w:p>
    <w:p w14:paraId="20FAD8DF"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 xml:space="preserve">b) Në nenin 6, bëhen ndryshimet e mëposhtme:  </w:t>
      </w:r>
    </w:p>
    <w:p w14:paraId="525EA433"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 xml:space="preserve">i. </w:t>
      </w:r>
      <w:r w:rsidR="00994FC6">
        <w:rPr>
          <w:rFonts w:ascii="Garamond" w:hAnsi="Garamond" w:cs="Times New Roman"/>
          <w:color w:val="000000"/>
          <w:sz w:val="24"/>
          <w:szCs w:val="24"/>
          <w:lang w:val="sq-AL"/>
        </w:rPr>
        <w:t>N</w:t>
      </w:r>
      <w:r w:rsidRPr="00F801EB">
        <w:rPr>
          <w:rFonts w:ascii="Garamond" w:hAnsi="Garamond" w:cs="Times New Roman"/>
          <w:color w:val="000000"/>
          <w:sz w:val="24"/>
          <w:szCs w:val="24"/>
          <w:lang w:val="sq-AL"/>
        </w:rPr>
        <w:t>ë pikën 1, shkronja “a”, togfjalëshi “</w:t>
      </w:r>
      <w:r w:rsidRPr="00F801EB">
        <w:rPr>
          <w:rFonts w:ascii="Garamond" w:hAnsi="Garamond" w:cs="Times New Roman"/>
          <w:i/>
          <w:iCs/>
          <w:color w:val="000000"/>
          <w:sz w:val="24"/>
          <w:szCs w:val="24"/>
          <w:lang w:val="sq-AL"/>
        </w:rPr>
        <w:t>Qendra Kombëtare e Regjistrimit</w:t>
      </w:r>
      <w:r w:rsidRPr="00F801EB">
        <w:rPr>
          <w:rFonts w:ascii="Garamond" w:hAnsi="Garamond" w:cs="Times New Roman"/>
          <w:color w:val="000000"/>
          <w:sz w:val="24"/>
          <w:szCs w:val="24"/>
          <w:lang w:val="sq-AL"/>
        </w:rPr>
        <w:t>”, zëvendësohet me togfjalëshin</w:t>
      </w:r>
      <w:r w:rsidRPr="00F801EB">
        <w:rPr>
          <w:rFonts w:ascii="Garamond" w:hAnsi="Garamond" w:cs="Times New Roman"/>
          <w:i/>
          <w:iCs/>
          <w:color w:val="000000"/>
          <w:sz w:val="24"/>
          <w:szCs w:val="24"/>
          <w:lang w:val="sq-AL"/>
        </w:rPr>
        <w:t xml:space="preserve"> “Qendra Kombëtare e Biznesit”</w:t>
      </w:r>
      <w:r w:rsidRPr="00F801EB">
        <w:rPr>
          <w:rFonts w:ascii="Garamond" w:hAnsi="Garamond" w:cs="Times New Roman"/>
          <w:color w:val="000000"/>
          <w:sz w:val="24"/>
          <w:szCs w:val="24"/>
          <w:lang w:val="sq-AL"/>
        </w:rPr>
        <w:t>;</w:t>
      </w:r>
    </w:p>
    <w:p w14:paraId="13CE136B"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Calibri"/>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xml:space="preserve">. </w:t>
      </w:r>
      <w:r w:rsidR="00994FC6">
        <w:rPr>
          <w:rFonts w:ascii="Garamond" w:hAnsi="Garamond" w:cs="Times New Roman"/>
          <w:color w:val="000000"/>
          <w:sz w:val="24"/>
          <w:szCs w:val="24"/>
          <w:lang w:val="sq-AL"/>
        </w:rPr>
        <w:t>N</w:t>
      </w:r>
      <w:r w:rsidR="00994FC6" w:rsidRPr="00F801EB">
        <w:rPr>
          <w:rFonts w:ascii="Garamond" w:hAnsi="Garamond" w:cs="Times New Roman"/>
          <w:color w:val="000000"/>
          <w:sz w:val="24"/>
          <w:szCs w:val="24"/>
          <w:lang w:val="sq-AL"/>
        </w:rPr>
        <w:t xml:space="preserve">ë </w:t>
      </w:r>
      <w:r w:rsidRPr="00F801EB">
        <w:rPr>
          <w:rFonts w:ascii="Garamond" w:hAnsi="Garamond" w:cs="Times New Roman"/>
          <w:color w:val="000000"/>
          <w:sz w:val="24"/>
          <w:szCs w:val="24"/>
          <w:lang w:val="sq-AL"/>
        </w:rPr>
        <w:t xml:space="preserve">pikën 1, shkronja “b”, pas togfjalëshit </w:t>
      </w:r>
      <w:r w:rsidRPr="00F801EB">
        <w:rPr>
          <w:rFonts w:ascii="Garamond" w:hAnsi="Garamond" w:cs="Times New Roman"/>
          <w:i/>
          <w:iCs/>
          <w:color w:val="000000"/>
          <w:sz w:val="24"/>
          <w:szCs w:val="24"/>
          <w:lang w:val="sq-AL"/>
        </w:rPr>
        <w:t xml:space="preserve">“për aksionarët ose ortakët,”, </w:t>
      </w:r>
      <w:r w:rsidRPr="00F801EB">
        <w:rPr>
          <w:rFonts w:ascii="Garamond" w:hAnsi="Garamond" w:cs="Times New Roman"/>
          <w:color w:val="000000"/>
          <w:sz w:val="24"/>
          <w:szCs w:val="24"/>
          <w:lang w:val="sq-AL"/>
        </w:rPr>
        <w:t>shtohet togfjalëshi</w:t>
      </w:r>
      <w:r w:rsidRPr="00F801EB">
        <w:rPr>
          <w:rFonts w:ascii="Garamond" w:hAnsi="Garamond" w:cs="Times New Roman"/>
          <w:i/>
          <w:iCs/>
          <w:color w:val="000000"/>
          <w:sz w:val="24"/>
          <w:szCs w:val="24"/>
          <w:lang w:val="sq-AL"/>
        </w:rPr>
        <w:t xml:space="preserve"> “pronarët përfitues,”;</w:t>
      </w:r>
    </w:p>
    <w:p w14:paraId="63CBB002"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Calibri"/>
          <w:color w:val="000000"/>
          <w:sz w:val="24"/>
          <w:szCs w:val="24"/>
          <w:lang w:val="sq-AL"/>
        </w:rPr>
      </w:pP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xml:space="preserve">. </w:t>
      </w:r>
      <w:r w:rsidR="00994FC6">
        <w:rPr>
          <w:rFonts w:ascii="Garamond" w:hAnsi="Garamond" w:cs="Times New Roman"/>
          <w:color w:val="000000"/>
          <w:sz w:val="24"/>
          <w:szCs w:val="24"/>
          <w:lang w:val="sq-AL"/>
        </w:rPr>
        <w:t>N</w:t>
      </w:r>
      <w:r w:rsidR="00994FC6" w:rsidRPr="00F801EB">
        <w:rPr>
          <w:rFonts w:ascii="Garamond" w:hAnsi="Garamond" w:cs="Times New Roman"/>
          <w:color w:val="000000"/>
          <w:sz w:val="24"/>
          <w:szCs w:val="24"/>
          <w:lang w:val="sq-AL"/>
        </w:rPr>
        <w:t xml:space="preserve">ë </w:t>
      </w:r>
      <w:r w:rsidRPr="00F801EB">
        <w:rPr>
          <w:rFonts w:ascii="Garamond" w:hAnsi="Garamond" w:cs="Times New Roman"/>
          <w:color w:val="000000"/>
          <w:sz w:val="24"/>
          <w:szCs w:val="24"/>
          <w:lang w:val="sq-AL"/>
        </w:rPr>
        <w:t>pikën 1, shkronja “b”, nënpika “</w:t>
      </w: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xml:space="preserve">” , hiqet togfjalëshi </w:t>
      </w:r>
      <w:r w:rsidRPr="00F801EB">
        <w:rPr>
          <w:rFonts w:ascii="Garamond" w:hAnsi="Garamond" w:cs="Times New Roman"/>
          <w:i/>
          <w:iCs/>
          <w:color w:val="000000"/>
          <w:sz w:val="24"/>
          <w:szCs w:val="24"/>
          <w:lang w:val="sq-AL"/>
        </w:rPr>
        <w:t xml:space="preserve">“ose formularin e </w:t>
      </w:r>
      <w:proofErr w:type="spellStart"/>
      <w:r w:rsidRPr="00F801EB">
        <w:rPr>
          <w:rFonts w:ascii="Garamond" w:hAnsi="Garamond" w:cs="Times New Roman"/>
          <w:i/>
          <w:iCs/>
          <w:color w:val="000000"/>
          <w:sz w:val="24"/>
          <w:szCs w:val="24"/>
          <w:lang w:val="sq-AL"/>
        </w:rPr>
        <w:t>vetëdeklarimit</w:t>
      </w:r>
      <w:proofErr w:type="spellEnd"/>
      <w:r w:rsidRPr="00F801EB">
        <w:rPr>
          <w:rFonts w:ascii="Garamond" w:hAnsi="Garamond" w:cs="Times New Roman"/>
          <w:i/>
          <w:iCs/>
          <w:color w:val="000000"/>
          <w:sz w:val="24"/>
          <w:szCs w:val="24"/>
          <w:lang w:val="sq-AL"/>
        </w:rPr>
        <w:t>, sipas aneksit nr. 4 të kësaj rregulloreje”;</w:t>
      </w:r>
    </w:p>
    <w:p w14:paraId="182C2927"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xml:space="preserve">. </w:t>
      </w:r>
      <w:r w:rsidR="00994FC6">
        <w:rPr>
          <w:rFonts w:ascii="Garamond" w:hAnsi="Garamond" w:cs="Times New Roman"/>
          <w:color w:val="000000"/>
          <w:sz w:val="24"/>
          <w:szCs w:val="24"/>
          <w:lang w:val="sq-AL"/>
        </w:rPr>
        <w:t>N</w:t>
      </w:r>
      <w:r w:rsidR="00994FC6" w:rsidRPr="00F801EB">
        <w:rPr>
          <w:rFonts w:ascii="Garamond" w:hAnsi="Garamond" w:cs="Times New Roman"/>
          <w:color w:val="000000"/>
          <w:sz w:val="24"/>
          <w:szCs w:val="24"/>
          <w:lang w:val="sq-AL"/>
        </w:rPr>
        <w:t xml:space="preserve">ë </w:t>
      </w:r>
      <w:r w:rsidRPr="00F801EB">
        <w:rPr>
          <w:rFonts w:ascii="Garamond" w:hAnsi="Garamond" w:cs="Times New Roman"/>
          <w:color w:val="000000"/>
          <w:sz w:val="24"/>
          <w:szCs w:val="24"/>
          <w:lang w:val="sq-AL"/>
        </w:rPr>
        <w:t>pikën 1, shkronja “b/1”, togfjalëshi “</w:t>
      </w:r>
      <w:r w:rsidRPr="00F801EB">
        <w:rPr>
          <w:rFonts w:ascii="Garamond" w:hAnsi="Garamond" w:cs="Times New Roman"/>
          <w:i/>
          <w:iCs/>
          <w:color w:val="000000"/>
          <w:sz w:val="24"/>
          <w:szCs w:val="24"/>
          <w:lang w:val="sq-AL"/>
        </w:rPr>
        <w:t xml:space="preserve">Deklaratën personale të </w:t>
      </w:r>
      <w:proofErr w:type="spellStart"/>
      <w:r w:rsidRPr="00F801EB">
        <w:rPr>
          <w:rFonts w:ascii="Garamond" w:hAnsi="Garamond" w:cs="Times New Roman"/>
          <w:i/>
          <w:iCs/>
          <w:color w:val="000000"/>
          <w:sz w:val="24"/>
          <w:szCs w:val="24"/>
          <w:lang w:val="sq-AL"/>
        </w:rPr>
        <w:t>aksionerëve</w:t>
      </w:r>
      <w:proofErr w:type="spellEnd"/>
      <w:r w:rsidRPr="00F801EB">
        <w:rPr>
          <w:rFonts w:ascii="Garamond" w:hAnsi="Garamond" w:cs="Times New Roman"/>
          <w:i/>
          <w:iCs/>
          <w:color w:val="000000"/>
          <w:sz w:val="24"/>
          <w:szCs w:val="24"/>
          <w:lang w:val="sq-AL"/>
        </w:rPr>
        <w:t>/ortakëve dhe administratorit,</w:t>
      </w:r>
      <w:r w:rsidRPr="00F801EB">
        <w:rPr>
          <w:rFonts w:ascii="Garamond" w:hAnsi="Garamond" w:cs="Times New Roman"/>
          <w:color w:val="000000"/>
          <w:sz w:val="24"/>
          <w:szCs w:val="24"/>
          <w:lang w:val="sq-AL"/>
        </w:rPr>
        <w:t>”, zëvendësohet me togfjalëshin</w:t>
      </w:r>
      <w:r w:rsidRPr="00F801EB">
        <w:rPr>
          <w:rFonts w:ascii="Garamond" w:hAnsi="Garamond" w:cs="Times New Roman"/>
          <w:i/>
          <w:iCs/>
          <w:color w:val="000000"/>
          <w:sz w:val="24"/>
          <w:szCs w:val="24"/>
          <w:lang w:val="sq-AL"/>
        </w:rPr>
        <w:t xml:space="preserve"> “Deklaratën personale të </w:t>
      </w:r>
      <w:proofErr w:type="spellStart"/>
      <w:r w:rsidRPr="00F801EB">
        <w:rPr>
          <w:rFonts w:ascii="Garamond" w:hAnsi="Garamond" w:cs="Times New Roman"/>
          <w:i/>
          <w:iCs/>
          <w:color w:val="000000"/>
          <w:sz w:val="24"/>
          <w:szCs w:val="24"/>
          <w:lang w:val="sq-AL"/>
        </w:rPr>
        <w:t>aksionerëve</w:t>
      </w:r>
      <w:proofErr w:type="spellEnd"/>
      <w:r w:rsidRPr="00F801EB">
        <w:rPr>
          <w:rFonts w:ascii="Garamond" w:hAnsi="Garamond" w:cs="Times New Roman"/>
          <w:i/>
          <w:iCs/>
          <w:color w:val="000000"/>
          <w:sz w:val="24"/>
          <w:szCs w:val="24"/>
          <w:lang w:val="sq-AL"/>
        </w:rPr>
        <w:t>/ortakëve, pronarëve përfitues dhe të administratorit,”</w:t>
      </w:r>
      <w:r w:rsidRPr="00F801EB">
        <w:rPr>
          <w:rFonts w:ascii="Garamond" w:hAnsi="Garamond" w:cs="Times New Roman"/>
          <w:color w:val="000000"/>
          <w:sz w:val="24"/>
          <w:szCs w:val="24"/>
          <w:lang w:val="sq-AL"/>
        </w:rPr>
        <w:t>;</w:t>
      </w:r>
    </w:p>
    <w:p w14:paraId="71336A46"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 xml:space="preserve">v. </w:t>
      </w:r>
      <w:r w:rsidR="00994FC6">
        <w:rPr>
          <w:rFonts w:ascii="Garamond" w:hAnsi="Garamond" w:cs="Times New Roman"/>
          <w:color w:val="000000"/>
          <w:sz w:val="24"/>
          <w:szCs w:val="24"/>
          <w:lang w:val="sq-AL"/>
        </w:rPr>
        <w:t>N</w:t>
      </w:r>
      <w:r w:rsidR="00994FC6" w:rsidRPr="00F801EB">
        <w:rPr>
          <w:rFonts w:ascii="Garamond" w:hAnsi="Garamond" w:cs="Times New Roman"/>
          <w:color w:val="000000"/>
          <w:sz w:val="24"/>
          <w:szCs w:val="24"/>
          <w:lang w:val="sq-AL"/>
        </w:rPr>
        <w:t xml:space="preserve">ë </w:t>
      </w:r>
      <w:r w:rsidRPr="00F801EB">
        <w:rPr>
          <w:rFonts w:ascii="Garamond" w:hAnsi="Garamond" w:cs="Times New Roman"/>
          <w:color w:val="000000"/>
          <w:sz w:val="24"/>
          <w:szCs w:val="24"/>
          <w:lang w:val="sq-AL"/>
        </w:rPr>
        <w:t>pikën 1, pas shkronjës “b/1”, shtohet shkronja “b/2”, me përmbajtjen e mëposhtme:</w:t>
      </w:r>
    </w:p>
    <w:p w14:paraId="5C80E69B" w14:textId="46D0A4F4"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“b/2)  Dokumentacionin për kapitalin fillestar dhe burimin e tij:</w:t>
      </w:r>
    </w:p>
    <w:p w14:paraId="581BA6CB" w14:textId="77777777" w:rsidR="00F018E6" w:rsidRPr="00F801EB" w:rsidRDefault="00F018E6" w:rsidP="00F018E6">
      <w:pPr>
        <w:tabs>
          <w:tab w:val="left" w:pos="1080"/>
          <w:tab w:val="left" w:pos="1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lastRenderedPageBreak/>
        <w:t xml:space="preserve">i. deklaratë noteriale të </w:t>
      </w:r>
      <w:proofErr w:type="spellStart"/>
      <w:r w:rsidRPr="00F801EB">
        <w:rPr>
          <w:rFonts w:ascii="Garamond" w:hAnsi="Garamond" w:cs="Times New Roman"/>
          <w:i/>
          <w:iCs/>
          <w:color w:val="000000"/>
          <w:sz w:val="24"/>
          <w:szCs w:val="24"/>
          <w:lang w:val="sq-AL"/>
        </w:rPr>
        <w:t>aksionerëve</w:t>
      </w:r>
      <w:proofErr w:type="spellEnd"/>
      <w:r w:rsidRPr="00F801EB">
        <w:rPr>
          <w:rFonts w:ascii="Garamond" w:hAnsi="Garamond" w:cs="Times New Roman"/>
          <w:i/>
          <w:iCs/>
          <w:color w:val="000000"/>
          <w:sz w:val="24"/>
          <w:szCs w:val="24"/>
          <w:lang w:val="sq-AL"/>
        </w:rPr>
        <w:t>/ortakëve, se burimi i kapitalit fillestar të paguar të subjektit nuk është hua, kredi ose paradhënie nga subjekte të treta,</w:t>
      </w:r>
    </w:p>
    <w:p w14:paraId="37DA9576" w14:textId="77777777" w:rsidR="00F018E6" w:rsidRPr="00F801EB" w:rsidRDefault="00F018E6" w:rsidP="00F018E6">
      <w:pPr>
        <w:tabs>
          <w:tab w:val="left" w:pos="1080"/>
          <w:tab w:val="left" w:pos="1260"/>
        </w:tabs>
        <w:autoSpaceDE w:val="0"/>
        <w:autoSpaceDN w:val="0"/>
        <w:adjustRightInd w:val="0"/>
        <w:spacing w:after="0" w:line="240" w:lineRule="auto"/>
        <w:ind w:firstLine="284"/>
        <w:jc w:val="both"/>
        <w:rPr>
          <w:rFonts w:ascii="Garamond" w:hAnsi="Garamond" w:cs="Times New Roman"/>
          <w:i/>
          <w:iCs/>
          <w:color w:val="000000"/>
          <w:sz w:val="24"/>
          <w:szCs w:val="24"/>
          <w:lang w:val="sq-AL"/>
        </w:rPr>
      </w:pPr>
      <w:proofErr w:type="spellStart"/>
      <w:r w:rsidRPr="00F801EB">
        <w:rPr>
          <w:rFonts w:ascii="Garamond" w:hAnsi="Garamond" w:cs="Times New Roman"/>
          <w:i/>
          <w:iCs/>
          <w:color w:val="000000"/>
          <w:sz w:val="24"/>
          <w:szCs w:val="24"/>
          <w:lang w:val="sq-AL"/>
        </w:rPr>
        <w:t>ii</w:t>
      </w:r>
      <w:proofErr w:type="spellEnd"/>
      <w:r w:rsidRPr="00F801EB">
        <w:rPr>
          <w:rFonts w:ascii="Garamond" w:hAnsi="Garamond" w:cs="Times New Roman"/>
          <w:i/>
          <w:iCs/>
          <w:color w:val="000000"/>
          <w:sz w:val="24"/>
          <w:szCs w:val="24"/>
          <w:lang w:val="sq-AL"/>
        </w:rPr>
        <w:t xml:space="preserve">. deklaratë noteriale të </w:t>
      </w:r>
      <w:proofErr w:type="spellStart"/>
      <w:r w:rsidRPr="00F801EB">
        <w:rPr>
          <w:rFonts w:ascii="Garamond" w:hAnsi="Garamond" w:cs="Times New Roman"/>
          <w:i/>
          <w:iCs/>
          <w:color w:val="000000"/>
          <w:sz w:val="24"/>
          <w:szCs w:val="24"/>
          <w:lang w:val="sq-AL"/>
        </w:rPr>
        <w:t>aksionerëve</w:t>
      </w:r>
      <w:proofErr w:type="spellEnd"/>
      <w:r w:rsidRPr="00F801EB">
        <w:rPr>
          <w:rFonts w:ascii="Garamond" w:hAnsi="Garamond" w:cs="Times New Roman"/>
          <w:i/>
          <w:iCs/>
          <w:color w:val="000000"/>
          <w:sz w:val="24"/>
          <w:szCs w:val="24"/>
          <w:lang w:val="sq-AL"/>
        </w:rPr>
        <w:t xml:space="preserve">/ortakëve mbi burimin e krijimit të kapitalit fillestar të paguar dhe për çdo shtesë të tij gjatë zhvillimit të veprimtarisë, të shoqëruar me dokumentacionin e mëposhtëm: </w:t>
      </w:r>
    </w:p>
    <w:p w14:paraId="57A48FEE" w14:textId="77777777" w:rsidR="00F018E6" w:rsidRPr="00F801EB" w:rsidRDefault="00F018E6" w:rsidP="00F018E6">
      <w:pPr>
        <w:tabs>
          <w:tab w:val="left" w:pos="14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Symbol"/>
          <w:color w:val="000000"/>
          <w:sz w:val="24"/>
          <w:szCs w:val="24"/>
          <w:lang w:val="sq-AL"/>
        </w:rPr>
        <w:t xml:space="preserve">- </w:t>
      </w:r>
      <w:r w:rsidRPr="00F801EB">
        <w:rPr>
          <w:rFonts w:ascii="Garamond" w:hAnsi="Garamond" w:cs="Times New Roman"/>
          <w:i/>
          <w:iCs/>
          <w:color w:val="000000"/>
          <w:sz w:val="24"/>
          <w:szCs w:val="24"/>
          <w:lang w:val="sq-AL"/>
        </w:rPr>
        <w:t>për personat juridikë:</w:t>
      </w:r>
    </w:p>
    <w:p w14:paraId="5F3282EA" w14:textId="282FCB23"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evidenca e burimit të krijimit të fondeve, e paraqitur në një formë të pranueshme ligjore (raporti i ekspertit kontabël të autorizuar, bilanci kontabël vjetor, dhurata ose burime të tjera të destinuara për blerjen e aksioneve/kuotave të subjektit dhe certifikata e autoriteteve kompetente që siguron të dhëna për bilancin e shoqërisë dhe rregullshmërinë e pagesës së tatimeve dhe taksave (për personat juridikë të huaj – aktet e bara</w:t>
      </w:r>
      <w:r w:rsidR="00F801EB">
        <w:rPr>
          <w:rFonts w:ascii="Garamond" w:hAnsi="Garamond" w:cs="Times New Roman"/>
          <w:i/>
          <w:iCs/>
          <w:color w:val="000000"/>
          <w:sz w:val="24"/>
          <w:szCs w:val="24"/>
          <w:lang w:val="sq-AL"/>
        </w:rPr>
        <w:t>s</w:t>
      </w:r>
      <w:r w:rsidRPr="00F801EB">
        <w:rPr>
          <w:rFonts w:ascii="Garamond" w:hAnsi="Garamond" w:cs="Times New Roman"/>
          <w:i/>
          <w:iCs/>
          <w:color w:val="000000"/>
          <w:sz w:val="24"/>
          <w:szCs w:val="24"/>
          <w:lang w:val="sq-AL"/>
        </w:rPr>
        <w:t>vle</w:t>
      </w:r>
      <w:r w:rsidR="00F801EB">
        <w:rPr>
          <w:rFonts w:ascii="Garamond" w:hAnsi="Garamond" w:cs="Times New Roman"/>
          <w:i/>
          <w:iCs/>
          <w:color w:val="000000"/>
          <w:sz w:val="24"/>
          <w:szCs w:val="24"/>
          <w:lang w:val="sq-AL"/>
        </w:rPr>
        <w:t>r</w:t>
      </w:r>
      <w:r w:rsidRPr="00F801EB">
        <w:rPr>
          <w:rFonts w:ascii="Garamond" w:hAnsi="Garamond" w:cs="Times New Roman"/>
          <w:i/>
          <w:iCs/>
          <w:color w:val="000000"/>
          <w:sz w:val="24"/>
          <w:szCs w:val="24"/>
          <w:lang w:val="sq-AL"/>
        </w:rPr>
        <w:t>shme/ekuivalente juridikisht sipas legjislacionit/juridiksionit të huaj);</w:t>
      </w:r>
    </w:p>
    <w:p w14:paraId="2FD5229A" w14:textId="77777777" w:rsidR="00F018E6" w:rsidRPr="00F801EB" w:rsidRDefault="00F018E6" w:rsidP="00F018E6">
      <w:pPr>
        <w:tabs>
          <w:tab w:val="left" w:pos="14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Symbol"/>
          <w:color w:val="000000"/>
          <w:sz w:val="24"/>
          <w:szCs w:val="24"/>
          <w:lang w:val="sq-AL"/>
        </w:rPr>
        <w:t xml:space="preserve">- </w:t>
      </w:r>
      <w:r w:rsidRPr="00F801EB">
        <w:rPr>
          <w:rFonts w:ascii="Garamond" w:hAnsi="Garamond" w:cs="Times New Roman"/>
          <w:i/>
          <w:iCs/>
          <w:color w:val="000000"/>
          <w:sz w:val="24"/>
          <w:szCs w:val="24"/>
          <w:lang w:val="sq-AL"/>
        </w:rPr>
        <w:t>për individët ose personat fizikë tregtarë:</w:t>
      </w:r>
    </w:p>
    <w:p w14:paraId="1E9D2E63" w14:textId="77777777" w:rsidR="00F018E6" w:rsidRPr="00F801EB" w:rsidRDefault="00F018E6" w:rsidP="00F018E6">
      <w:pPr>
        <w:tabs>
          <w:tab w:val="left" w:pos="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evidenca e burimit të krijimit të fondeve, e paraqitur në një formë të pranueshme ligjore (blerje ose shitje, dhurata, paga, depozita monetare në banka ose të tjera evidenca të burimit të fondeve) dhe certifikata e autoriteteve përkatëse fiskale shtetërore lidhur me shlyerjen e detyrimeve tatimore.”;</w:t>
      </w:r>
    </w:p>
    <w:p w14:paraId="0F094789"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vi</w:t>
      </w:r>
      <w:proofErr w:type="spellEnd"/>
      <w:r w:rsidRPr="00F801EB">
        <w:rPr>
          <w:rFonts w:ascii="Garamond" w:hAnsi="Garamond" w:cs="Times New Roman"/>
          <w:color w:val="000000"/>
          <w:sz w:val="24"/>
          <w:szCs w:val="24"/>
          <w:lang w:val="sq-AL"/>
        </w:rPr>
        <w:t xml:space="preserve">. </w:t>
      </w:r>
      <w:r w:rsidR="00994FC6">
        <w:rPr>
          <w:rFonts w:ascii="Garamond" w:hAnsi="Garamond" w:cs="Times New Roman"/>
          <w:color w:val="000000"/>
          <w:sz w:val="24"/>
          <w:szCs w:val="24"/>
          <w:lang w:val="sq-AL"/>
        </w:rPr>
        <w:t>N</w:t>
      </w:r>
      <w:r w:rsidR="00994FC6" w:rsidRPr="00F801EB">
        <w:rPr>
          <w:rFonts w:ascii="Garamond" w:hAnsi="Garamond" w:cs="Times New Roman"/>
          <w:color w:val="000000"/>
          <w:sz w:val="24"/>
          <w:szCs w:val="24"/>
          <w:lang w:val="sq-AL"/>
        </w:rPr>
        <w:t xml:space="preserve">ë </w:t>
      </w:r>
      <w:r w:rsidRPr="00F801EB">
        <w:rPr>
          <w:rFonts w:ascii="Garamond" w:hAnsi="Garamond" w:cs="Times New Roman"/>
          <w:color w:val="000000"/>
          <w:sz w:val="24"/>
          <w:szCs w:val="24"/>
          <w:lang w:val="sq-AL"/>
        </w:rPr>
        <w:t>pikën 1, përmbajtja e shkronjës “c”, ndryshohet në:</w:t>
      </w:r>
    </w:p>
    <w:p w14:paraId="720A15C1"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“c) Kopje të </w:t>
      </w:r>
      <w:proofErr w:type="spellStart"/>
      <w:r w:rsidRPr="00F801EB">
        <w:rPr>
          <w:rFonts w:ascii="Garamond" w:hAnsi="Garamond" w:cs="Times New Roman"/>
          <w:i/>
          <w:iCs/>
          <w:color w:val="000000"/>
          <w:sz w:val="24"/>
          <w:szCs w:val="24"/>
          <w:lang w:val="sq-AL"/>
        </w:rPr>
        <w:t>noterizuar</w:t>
      </w:r>
      <w:proofErr w:type="spellEnd"/>
      <w:r w:rsidRPr="00F801EB">
        <w:rPr>
          <w:rFonts w:ascii="Garamond" w:hAnsi="Garamond" w:cs="Times New Roman"/>
          <w:i/>
          <w:iCs/>
          <w:color w:val="000000"/>
          <w:sz w:val="24"/>
          <w:szCs w:val="24"/>
          <w:lang w:val="sq-AL"/>
        </w:rPr>
        <w:t xml:space="preserve"> të dokumentit identifikues të administratorit, </w:t>
      </w:r>
      <w:proofErr w:type="spellStart"/>
      <w:r w:rsidRPr="00F801EB">
        <w:rPr>
          <w:rFonts w:ascii="Garamond" w:hAnsi="Garamond" w:cs="Times New Roman"/>
          <w:i/>
          <w:iCs/>
          <w:color w:val="000000"/>
          <w:sz w:val="24"/>
          <w:szCs w:val="24"/>
          <w:lang w:val="sq-AL"/>
        </w:rPr>
        <w:t>kambistëve</w:t>
      </w:r>
      <w:proofErr w:type="spellEnd"/>
      <w:r w:rsidRPr="00F801EB">
        <w:rPr>
          <w:rFonts w:ascii="Garamond" w:hAnsi="Garamond" w:cs="Times New Roman"/>
          <w:i/>
          <w:iCs/>
          <w:color w:val="000000"/>
          <w:sz w:val="24"/>
          <w:szCs w:val="24"/>
          <w:lang w:val="sq-AL"/>
        </w:rPr>
        <w:t xml:space="preserve">, </w:t>
      </w:r>
      <w:proofErr w:type="spellStart"/>
      <w:r w:rsidRPr="00F801EB">
        <w:rPr>
          <w:rFonts w:ascii="Garamond" w:hAnsi="Garamond" w:cs="Times New Roman"/>
          <w:i/>
          <w:iCs/>
          <w:color w:val="000000"/>
          <w:sz w:val="24"/>
          <w:szCs w:val="24"/>
          <w:lang w:val="sq-AL"/>
        </w:rPr>
        <w:t>aksionerëve</w:t>
      </w:r>
      <w:proofErr w:type="spellEnd"/>
      <w:r w:rsidRPr="00F801EB">
        <w:rPr>
          <w:rFonts w:ascii="Garamond" w:hAnsi="Garamond" w:cs="Times New Roman"/>
          <w:i/>
          <w:iCs/>
          <w:color w:val="000000"/>
          <w:sz w:val="24"/>
          <w:szCs w:val="24"/>
          <w:lang w:val="sq-AL"/>
        </w:rPr>
        <w:t xml:space="preserve"> ose ortakëve dhe pronarëve përfitues.”;</w:t>
      </w:r>
    </w:p>
    <w:p w14:paraId="07F175CB" w14:textId="332F380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vii</w:t>
      </w:r>
      <w:proofErr w:type="spellEnd"/>
      <w:r w:rsidRPr="00F801EB">
        <w:rPr>
          <w:rFonts w:ascii="Garamond" w:hAnsi="Garamond" w:cs="Times New Roman"/>
          <w:color w:val="000000"/>
          <w:sz w:val="24"/>
          <w:szCs w:val="24"/>
          <w:lang w:val="sq-AL"/>
        </w:rPr>
        <w:t xml:space="preserve">. </w:t>
      </w:r>
      <w:r w:rsidR="00F801EB">
        <w:rPr>
          <w:rFonts w:ascii="Garamond" w:hAnsi="Garamond" w:cs="Times New Roman"/>
          <w:color w:val="000000"/>
          <w:sz w:val="24"/>
          <w:szCs w:val="24"/>
          <w:lang w:val="sq-AL"/>
        </w:rPr>
        <w:t>n</w:t>
      </w:r>
      <w:r w:rsidRPr="00F801EB">
        <w:rPr>
          <w:rFonts w:ascii="Garamond" w:hAnsi="Garamond" w:cs="Times New Roman"/>
          <w:color w:val="000000"/>
          <w:sz w:val="24"/>
          <w:szCs w:val="24"/>
          <w:lang w:val="sq-AL"/>
        </w:rPr>
        <w:t>ë pikën 1, shkronja “d”, shfuqizohet;</w:t>
      </w:r>
    </w:p>
    <w:p w14:paraId="554096C8" w14:textId="54552029"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viii</w:t>
      </w:r>
      <w:proofErr w:type="spellEnd"/>
      <w:r w:rsidRPr="00F801EB">
        <w:rPr>
          <w:rFonts w:ascii="Garamond" w:hAnsi="Garamond" w:cs="Times New Roman"/>
          <w:color w:val="000000"/>
          <w:sz w:val="24"/>
          <w:szCs w:val="24"/>
          <w:lang w:val="sq-AL"/>
        </w:rPr>
        <w:t xml:space="preserve">. </w:t>
      </w:r>
      <w:r w:rsidR="00F801EB">
        <w:rPr>
          <w:rFonts w:ascii="Garamond" w:hAnsi="Garamond" w:cs="Times New Roman"/>
          <w:color w:val="000000"/>
          <w:sz w:val="24"/>
          <w:szCs w:val="24"/>
          <w:lang w:val="sq-AL"/>
        </w:rPr>
        <w:t>n</w:t>
      </w:r>
      <w:r w:rsidRPr="00F801EB">
        <w:rPr>
          <w:rFonts w:ascii="Garamond" w:hAnsi="Garamond" w:cs="Times New Roman"/>
          <w:color w:val="000000"/>
          <w:sz w:val="24"/>
          <w:szCs w:val="24"/>
          <w:lang w:val="sq-AL"/>
        </w:rPr>
        <w:t>ë pikën 1, shkronja “j”, fjala “</w:t>
      </w:r>
      <w:r w:rsidRPr="00F801EB">
        <w:rPr>
          <w:rFonts w:ascii="Garamond" w:hAnsi="Garamond" w:cs="Times New Roman"/>
          <w:i/>
          <w:iCs/>
          <w:color w:val="000000"/>
          <w:sz w:val="24"/>
          <w:szCs w:val="24"/>
          <w:lang w:val="sq-AL"/>
        </w:rPr>
        <w:t>dokumenti</w:t>
      </w:r>
      <w:r w:rsidRPr="00F801EB">
        <w:rPr>
          <w:rFonts w:ascii="Garamond" w:hAnsi="Garamond" w:cs="Times New Roman"/>
          <w:color w:val="000000"/>
          <w:sz w:val="24"/>
          <w:szCs w:val="24"/>
          <w:lang w:val="sq-AL"/>
        </w:rPr>
        <w:t>”, zëvendësohet me fjalën</w:t>
      </w:r>
      <w:r w:rsidRPr="00F801EB">
        <w:rPr>
          <w:rFonts w:ascii="Garamond" w:hAnsi="Garamond" w:cs="Times New Roman"/>
          <w:i/>
          <w:iCs/>
          <w:color w:val="000000"/>
          <w:sz w:val="24"/>
          <w:szCs w:val="24"/>
          <w:lang w:val="sq-AL"/>
        </w:rPr>
        <w:t xml:space="preserve"> “dokumentacioni”</w:t>
      </w:r>
      <w:r w:rsidRPr="00F801EB">
        <w:rPr>
          <w:rFonts w:ascii="Garamond" w:hAnsi="Garamond" w:cs="Times New Roman"/>
          <w:color w:val="000000"/>
          <w:sz w:val="24"/>
          <w:szCs w:val="24"/>
          <w:lang w:val="sq-AL"/>
        </w:rPr>
        <w:t>;</w:t>
      </w:r>
    </w:p>
    <w:p w14:paraId="29E54CAD"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i. Në pikën 1, pas shkronjës “j”, shtohet shkronja “k” me përmbajtjen e mëposhtme:</w:t>
      </w:r>
    </w:p>
    <w:p w14:paraId="5CBB5067" w14:textId="60BFA1CE" w:rsidR="00F018E6" w:rsidRPr="00F801EB" w:rsidRDefault="00F018E6" w:rsidP="00F018E6">
      <w:pPr>
        <w:autoSpaceDE w:val="0"/>
        <w:autoSpaceDN w:val="0"/>
        <w:adjustRightInd w:val="0"/>
        <w:spacing w:after="0" w:line="240" w:lineRule="auto"/>
        <w:ind w:firstLine="284"/>
        <w:jc w:val="both"/>
        <w:rPr>
          <w:rFonts w:ascii="Garamond" w:hAnsi="Garamond" w:cs="Calibri"/>
          <w:color w:val="000000"/>
          <w:sz w:val="24"/>
          <w:szCs w:val="24"/>
          <w:lang w:val="sq-AL"/>
        </w:rPr>
      </w:pPr>
      <w:r w:rsidRPr="00F801EB">
        <w:rPr>
          <w:rFonts w:ascii="Garamond" w:hAnsi="Garamond" w:cs="Times New Roman"/>
          <w:i/>
          <w:iCs/>
          <w:color w:val="000000"/>
          <w:sz w:val="24"/>
          <w:szCs w:val="24"/>
          <w:lang w:val="sq-AL"/>
        </w:rPr>
        <w:t>“k) Formularin e parashikuar në aneksin nr. 10 të kësaj rregulloreje, për regjistrimin në Sistemin Elektronik Raportues Rregullator (</w:t>
      </w:r>
      <w:proofErr w:type="spellStart"/>
      <w:r w:rsidRPr="00F801EB">
        <w:rPr>
          <w:rFonts w:ascii="Garamond" w:hAnsi="Garamond" w:cs="Times New Roman"/>
          <w:i/>
          <w:iCs/>
          <w:color w:val="000000"/>
          <w:sz w:val="24"/>
          <w:szCs w:val="24"/>
          <w:lang w:val="sq-AL"/>
        </w:rPr>
        <w:t>ERRS</w:t>
      </w:r>
      <w:proofErr w:type="spellEnd"/>
      <w:r w:rsidRPr="00F801EB">
        <w:rPr>
          <w:rFonts w:ascii="Garamond" w:hAnsi="Garamond" w:cs="Times New Roman"/>
          <w:i/>
          <w:iCs/>
          <w:color w:val="000000"/>
          <w:sz w:val="24"/>
          <w:szCs w:val="24"/>
          <w:lang w:val="sq-AL"/>
        </w:rPr>
        <w:t>), për qëllime të raportimit të veprimeve të këmbimeve valutore sipas nenit 19, pika 1 të kësaj rregulloreje.”;</w:t>
      </w:r>
    </w:p>
    <w:p w14:paraId="19086B2B"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ix</w:t>
      </w:r>
      <w:proofErr w:type="spellEnd"/>
      <w:r w:rsidRPr="00F801EB">
        <w:rPr>
          <w:rFonts w:ascii="Garamond" w:hAnsi="Garamond" w:cs="Times New Roman"/>
          <w:color w:val="000000"/>
          <w:sz w:val="24"/>
          <w:szCs w:val="24"/>
          <w:lang w:val="sq-AL"/>
        </w:rPr>
        <w:t>. Në pikën 2, togfjalëshi “</w:t>
      </w:r>
      <w:r w:rsidRPr="00F801EB">
        <w:rPr>
          <w:rFonts w:ascii="Garamond" w:hAnsi="Garamond" w:cs="Times New Roman"/>
          <w:i/>
          <w:iCs/>
          <w:color w:val="000000"/>
          <w:sz w:val="24"/>
          <w:szCs w:val="24"/>
          <w:lang w:val="sq-AL"/>
        </w:rPr>
        <w:t>kopje të legalizuar</w:t>
      </w:r>
      <w:r w:rsidRPr="00F801EB">
        <w:rPr>
          <w:rFonts w:ascii="Garamond" w:hAnsi="Garamond" w:cs="Times New Roman"/>
          <w:color w:val="000000"/>
          <w:sz w:val="24"/>
          <w:szCs w:val="24"/>
          <w:lang w:val="sq-AL"/>
        </w:rPr>
        <w:t>”, zëvendësohet me togfjalëshin</w:t>
      </w:r>
      <w:r w:rsidRPr="00F801EB">
        <w:rPr>
          <w:rFonts w:ascii="Garamond" w:hAnsi="Garamond" w:cs="Times New Roman"/>
          <w:i/>
          <w:iCs/>
          <w:color w:val="000000"/>
          <w:sz w:val="24"/>
          <w:szCs w:val="24"/>
          <w:lang w:val="sq-AL"/>
        </w:rPr>
        <w:t xml:space="preserve"> “kopje të </w:t>
      </w:r>
      <w:proofErr w:type="spellStart"/>
      <w:r w:rsidRPr="00F801EB">
        <w:rPr>
          <w:rFonts w:ascii="Garamond" w:hAnsi="Garamond" w:cs="Times New Roman"/>
          <w:i/>
          <w:iCs/>
          <w:color w:val="000000"/>
          <w:sz w:val="24"/>
          <w:szCs w:val="24"/>
          <w:lang w:val="sq-AL"/>
        </w:rPr>
        <w:t>noterizuar</w:t>
      </w:r>
      <w:proofErr w:type="spellEnd"/>
      <w:r w:rsidRPr="00F801EB">
        <w:rPr>
          <w:rFonts w:ascii="Garamond" w:hAnsi="Garamond" w:cs="Times New Roman"/>
          <w:i/>
          <w:iCs/>
          <w:color w:val="000000"/>
          <w:sz w:val="24"/>
          <w:szCs w:val="24"/>
          <w:lang w:val="sq-AL"/>
        </w:rPr>
        <w:t>/legalizuar”</w:t>
      </w:r>
      <w:r w:rsidRPr="00F801EB">
        <w:rPr>
          <w:rFonts w:ascii="Garamond" w:hAnsi="Garamond" w:cs="Times New Roman"/>
          <w:color w:val="000000"/>
          <w:sz w:val="24"/>
          <w:szCs w:val="24"/>
          <w:lang w:val="sq-AL"/>
        </w:rPr>
        <w:t>;</w:t>
      </w:r>
    </w:p>
    <w:p w14:paraId="73040BBD"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c) Në nenin 8, bëhen ndryshimet e mëposhtme:</w:t>
      </w:r>
    </w:p>
    <w:p w14:paraId="7D43378F"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Calibri"/>
          <w:i/>
          <w:iCs/>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Në pikën 1, togfjalëshi “</w:t>
      </w:r>
      <w:r w:rsidRPr="00F801EB">
        <w:rPr>
          <w:rFonts w:ascii="Garamond" w:hAnsi="Garamond" w:cs="Times New Roman"/>
          <w:i/>
          <w:iCs/>
          <w:color w:val="000000"/>
          <w:sz w:val="24"/>
          <w:szCs w:val="24"/>
          <w:lang w:val="sq-AL"/>
        </w:rPr>
        <w:t>është 2,500,000 lekë</w:t>
      </w:r>
      <w:r w:rsidRPr="00F801EB">
        <w:rPr>
          <w:rFonts w:ascii="Garamond" w:hAnsi="Garamond" w:cs="Times New Roman"/>
          <w:color w:val="000000"/>
          <w:sz w:val="24"/>
          <w:szCs w:val="24"/>
          <w:lang w:val="sq-AL"/>
        </w:rPr>
        <w:t>”, zëvendësohet me togfjalëshin</w:t>
      </w:r>
      <w:r w:rsidRPr="00F801EB">
        <w:rPr>
          <w:rFonts w:ascii="Garamond" w:hAnsi="Garamond" w:cs="Times New Roman"/>
          <w:i/>
          <w:iCs/>
          <w:color w:val="000000"/>
          <w:sz w:val="24"/>
          <w:szCs w:val="24"/>
          <w:lang w:val="sq-AL"/>
        </w:rPr>
        <w:t xml:space="preserve"> “është 5,000,000 lekë”</w:t>
      </w:r>
      <w:r w:rsidRPr="00F801EB">
        <w:rPr>
          <w:rFonts w:ascii="Garamond" w:hAnsi="Garamond" w:cs="Times New Roman"/>
          <w:color w:val="000000"/>
          <w:sz w:val="24"/>
          <w:szCs w:val="24"/>
          <w:lang w:val="sq-AL"/>
        </w:rPr>
        <w:t>;</w:t>
      </w:r>
    </w:p>
    <w:p w14:paraId="16B76A5A"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Në pikën 3, shtohet fjalia me përmbajtjen e mëposhtme:</w:t>
      </w:r>
    </w:p>
    <w:p w14:paraId="1577CCD9"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 “Në çdo rast, nëse gjatë procesit të licencimit nuk plotësohet kundërvlera në lekë si pasojë e luhatjeve të kursit të këmbimit, Banka e Shqipërisë mund të kërkojë plotësimin e shumës së depozituar të kapitalit, të përcaktuar në pikën 1 të këtij neni.”;</w:t>
      </w:r>
    </w:p>
    <w:p w14:paraId="2FFA659E"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Pas pikës 3, shtohen pikat 4 dhe 5, me përmbajtjen e mëposhtme:</w:t>
      </w:r>
    </w:p>
    <w:p w14:paraId="34192E7F"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color w:val="000000"/>
          <w:sz w:val="24"/>
          <w:szCs w:val="24"/>
          <w:lang w:val="sq-AL"/>
        </w:rPr>
        <w:t>“</w:t>
      </w:r>
      <w:r w:rsidRPr="00F801EB">
        <w:rPr>
          <w:rFonts w:ascii="Garamond" w:hAnsi="Garamond" w:cs="Times New Roman"/>
          <w:i/>
          <w:iCs/>
          <w:color w:val="000000"/>
          <w:sz w:val="24"/>
          <w:szCs w:val="24"/>
          <w:lang w:val="sq-AL"/>
        </w:rPr>
        <w:t xml:space="preserve">4. Çdo pagesë e kapitalit fillestar minimal, çdo shtesë e mëvonshme e tij, si dhe çdo ndryshim në strukturën e kapitalit, shoqërohet me paraqitjen në Bankën e Shqipërisë të informacionit lidhur me burimin e krijimit të këtij kapitali, sipas dokumentacionit të përcaktuar në nenin 6, pika 1, shkronja “b/2” të kësaj rregulloreje. </w:t>
      </w:r>
    </w:p>
    <w:p w14:paraId="45199EA5"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i/>
          <w:iCs/>
          <w:color w:val="000000"/>
          <w:sz w:val="24"/>
          <w:szCs w:val="24"/>
          <w:lang w:val="sq-AL"/>
        </w:rPr>
        <w:t>5. Banka e Shqipërisë ka të drejtë të kërkojë sqarime dhe të bëjë verifikime të mëtejshme lidhur me burimin e krijimit të kontributeve/fondeve që do të shërbejnë si kapital fillestar minimal ose si shtesë e mëvonshme e tij.</w:t>
      </w:r>
      <w:r w:rsidRPr="00F801EB">
        <w:rPr>
          <w:rFonts w:ascii="Garamond" w:hAnsi="Garamond" w:cs="Times New Roman"/>
          <w:color w:val="000000"/>
          <w:sz w:val="24"/>
          <w:szCs w:val="24"/>
          <w:lang w:val="sq-AL"/>
        </w:rPr>
        <w:t>”;</w:t>
      </w:r>
    </w:p>
    <w:p w14:paraId="02E7F7FC"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d) Në nenin 9, bëhen ndryshimet e mëposhtme:</w:t>
      </w:r>
    </w:p>
    <w:p w14:paraId="1821426F"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 xml:space="preserve">i. Në pikën 3, shtohen fjalitë: </w:t>
      </w:r>
      <w:r w:rsidRPr="00F801EB">
        <w:rPr>
          <w:rFonts w:ascii="Garamond" w:hAnsi="Garamond" w:cs="Times New Roman"/>
          <w:i/>
          <w:iCs/>
          <w:color w:val="000000"/>
          <w:sz w:val="24"/>
          <w:szCs w:val="24"/>
          <w:lang w:val="sq-AL"/>
        </w:rPr>
        <w:t xml:space="preserve">“Subjekti ka të drejtë të </w:t>
      </w:r>
      <w:proofErr w:type="spellStart"/>
      <w:r w:rsidRPr="00F801EB">
        <w:rPr>
          <w:rFonts w:ascii="Garamond" w:hAnsi="Garamond" w:cs="Times New Roman"/>
          <w:i/>
          <w:iCs/>
          <w:color w:val="000000"/>
          <w:sz w:val="24"/>
          <w:szCs w:val="24"/>
          <w:lang w:val="sq-AL"/>
        </w:rPr>
        <w:t>riaplikojë</w:t>
      </w:r>
      <w:proofErr w:type="spellEnd"/>
      <w:r w:rsidRPr="00F801EB">
        <w:rPr>
          <w:rFonts w:ascii="Garamond" w:hAnsi="Garamond" w:cs="Times New Roman"/>
          <w:i/>
          <w:iCs/>
          <w:color w:val="000000"/>
          <w:sz w:val="24"/>
          <w:szCs w:val="24"/>
          <w:lang w:val="sq-AL"/>
        </w:rPr>
        <w:t xml:space="preserve"> për licencim, duke paraqitur dokumentacionin e ri. E drejta për të </w:t>
      </w:r>
      <w:proofErr w:type="spellStart"/>
      <w:r w:rsidRPr="00F801EB">
        <w:rPr>
          <w:rFonts w:ascii="Garamond" w:hAnsi="Garamond" w:cs="Times New Roman"/>
          <w:i/>
          <w:iCs/>
          <w:color w:val="000000"/>
          <w:sz w:val="24"/>
          <w:szCs w:val="24"/>
          <w:lang w:val="sq-AL"/>
        </w:rPr>
        <w:t>riparaqitur</w:t>
      </w:r>
      <w:proofErr w:type="spellEnd"/>
      <w:r w:rsidRPr="00F801EB">
        <w:rPr>
          <w:rFonts w:ascii="Garamond" w:hAnsi="Garamond" w:cs="Times New Roman"/>
          <w:i/>
          <w:iCs/>
          <w:color w:val="000000"/>
          <w:sz w:val="24"/>
          <w:szCs w:val="24"/>
          <w:lang w:val="sq-AL"/>
        </w:rPr>
        <w:t xml:space="preserve"> kërkesë për licencim, nuk mund të ushtrohet më shumë se një herë, me përjashtim të rasteve kur mosrespektimi i afatit kohor të parashikuar në këtë pikë, ka ardhur për shkaqe madhore.”;</w:t>
      </w:r>
    </w:p>
    <w:p w14:paraId="4EFE6588"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Calibri"/>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xml:space="preserve">. Në pikën 5, pas togfjalëshit </w:t>
      </w:r>
      <w:r w:rsidRPr="00F801EB">
        <w:rPr>
          <w:rFonts w:ascii="Garamond" w:hAnsi="Garamond" w:cs="Times New Roman"/>
          <w:i/>
          <w:iCs/>
          <w:color w:val="000000"/>
          <w:sz w:val="24"/>
          <w:szCs w:val="24"/>
          <w:lang w:val="sq-AL"/>
        </w:rPr>
        <w:t xml:space="preserve">“Autoriteti i Konkurrencës,”, </w:t>
      </w:r>
      <w:r w:rsidRPr="00F801EB">
        <w:rPr>
          <w:rFonts w:ascii="Garamond" w:hAnsi="Garamond" w:cs="Times New Roman"/>
          <w:color w:val="000000"/>
          <w:sz w:val="24"/>
          <w:szCs w:val="24"/>
          <w:lang w:val="sq-AL"/>
        </w:rPr>
        <w:t>shtohet togfjalëshi</w:t>
      </w:r>
      <w:r w:rsidRPr="00F801EB">
        <w:rPr>
          <w:rFonts w:ascii="Garamond" w:hAnsi="Garamond" w:cs="Times New Roman"/>
          <w:i/>
          <w:iCs/>
          <w:color w:val="000000"/>
          <w:sz w:val="24"/>
          <w:szCs w:val="24"/>
          <w:lang w:val="sq-AL"/>
        </w:rPr>
        <w:t xml:space="preserve"> “Agjencia e Inteligjencës Financiare,”;</w:t>
      </w:r>
    </w:p>
    <w:p w14:paraId="1089EEA5"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Pas pikës 5, shtohet pika 5/1, me përmbajtjen e mëposhtme:</w:t>
      </w:r>
      <w:r w:rsidRPr="00F801EB">
        <w:rPr>
          <w:rFonts w:ascii="Garamond" w:hAnsi="Garamond" w:cs="Times New Roman"/>
          <w:i/>
          <w:iCs/>
          <w:color w:val="000000"/>
          <w:sz w:val="24"/>
          <w:szCs w:val="24"/>
          <w:lang w:val="sq-AL"/>
        </w:rPr>
        <w:t xml:space="preserve"> </w:t>
      </w:r>
    </w:p>
    <w:p w14:paraId="1694FA6C"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“5/1. Banka e Shqipërisë, gjatë vlerësimit të përmbushjes së kritereve të përshtatshmërisë dhe integritetit të aksionarëve/ortakëve, pronarëve përfitues, administratorit dhe </w:t>
      </w:r>
      <w:proofErr w:type="spellStart"/>
      <w:r w:rsidRPr="00F801EB">
        <w:rPr>
          <w:rFonts w:ascii="Garamond" w:hAnsi="Garamond" w:cs="Times New Roman"/>
          <w:i/>
          <w:iCs/>
          <w:color w:val="000000"/>
          <w:sz w:val="24"/>
          <w:szCs w:val="24"/>
          <w:lang w:val="sq-AL"/>
        </w:rPr>
        <w:t>kambistëve</w:t>
      </w:r>
      <w:proofErr w:type="spellEnd"/>
      <w:r w:rsidRPr="00F801EB">
        <w:rPr>
          <w:rFonts w:ascii="Garamond" w:hAnsi="Garamond" w:cs="Times New Roman"/>
          <w:i/>
          <w:iCs/>
          <w:color w:val="000000"/>
          <w:sz w:val="24"/>
          <w:szCs w:val="24"/>
          <w:lang w:val="sq-AL"/>
        </w:rPr>
        <w:t xml:space="preserve">, verifikon listat e shpallura të sanksioneve të Organizatës së Kombeve të Bashkuara (OKB) dhe të Bashkimit Evropian </w:t>
      </w:r>
      <w:r w:rsidRPr="00F801EB">
        <w:rPr>
          <w:rFonts w:ascii="Garamond" w:hAnsi="Garamond" w:cs="Times New Roman"/>
          <w:i/>
          <w:iCs/>
          <w:color w:val="000000"/>
          <w:sz w:val="24"/>
          <w:szCs w:val="24"/>
          <w:lang w:val="sq-AL"/>
        </w:rPr>
        <w:lastRenderedPageBreak/>
        <w:t>(BE), njoftimet e Organizatës së Kombeve të Bashkuara (OKB), si dhe listat e integruara të personave të shpallur.”;</w:t>
      </w:r>
    </w:p>
    <w:p w14:paraId="6C57C9D6"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Calibri"/>
          <w:color w:val="000000"/>
          <w:sz w:val="24"/>
          <w:szCs w:val="24"/>
          <w:lang w:val="sq-AL"/>
        </w:rPr>
      </w:pP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xml:space="preserve">. Në pikën 6, togfjalëshi </w:t>
      </w:r>
      <w:r w:rsidRPr="00F801EB">
        <w:rPr>
          <w:rFonts w:ascii="Garamond" w:hAnsi="Garamond" w:cs="Times New Roman"/>
          <w:i/>
          <w:iCs/>
          <w:color w:val="000000"/>
          <w:sz w:val="24"/>
          <w:szCs w:val="24"/>
          <w:lang w:val="sq-AL"/>
        </w:rPr>
        <w:t xml:space="preserve">“me </w:t>
      </w:r>
      <w:proofErr w:type="spellStart"/>
      <w:r w:rsidRPr="00F801EB">
        <w:rPr>
          <w:rFonts w:ascii="Garamond" w:hAnsi="Garamond" w:cs="Times New Roman"/>
          <w:i/>
          <w:iCs/>
          <w:color w:val="000000"/>
          <w:sz w:val="24"/>
          <w:szCs w:val="24"/>
          <w:lang w:val="sq-AL"/>
        </w:rPr>
        <w:t>aksionerët</w:t>
      </w:r>
      <w:proofErr w:type="spellEnd"/>
      <w:r w:rsidRPr="00F801EB">
        <w:rPr>
          <w:rFonts w:ascii="Garamond" w:hAnsi="Garamond" w:cs="Times New Roman"/>
          <w:i/>
          <w:iCs/>
          <w:color w:val="000000"/>
          <w:sz w:val="24"/>
          <w:szCs w:val="24"/>
          <w:lang w:val="sq-AL"/>
        </w:rPr>
        <w:t xml:space="preserve">/ortakët e propozuar”, </w:t>
      </w:r>
      <w:r w:rsidRPr="00F801EB">
        <w:rPr>
          <w:rFonts w:ascii="Garamond" w:hAnsi="Garamond" w:cs="Times New Roman"/>
          <w:color w:val="000000"/>
          <w:sz w:val="24"/>
          <w:szCs w:val="24"/>
          <w:lang w:val="sq-AL"/>
        </w:rPr>
        <w:t>zëvendësohet kudo me togfjalëshin</w:t>
      </w:r>
      <w:r w:rsidRPr="00F801EB">
        <w:rPr>
          <w:rFonts w:ascii="Garamond" w:hAnsi="Garamond" w:cs="Times New Roman"/>
          <w:i/>
          <w:iCs/>
          <w:color w:val="000000"/>
          <w:sz w:val="24"/>
          <w:szCs w:val="24"/>
          <w:lang w:val="sq-AL"/>
        </w:rPr>
        <w:t xml:space="preserve"> “me </w:t>
      </w:r>
      <w:proofErr w:type="spellStart"/>
      <w:r w:rsidRPr="00F801EB">
        <w:rPr>
          <w:rFonts w:ascii="Garamond" w:hAnsi="Garamond" w:cs="Times New Roman"/>
          <w:i/>
          <w:iCs/>
          <w:color w:val="000000"/>
          <w:sz w:val="24"/>
          <w:szCs w:val="24"/>
          <w:lang w:val="sq-AL"/>
        </w:rPr>
        <w:t>aksionerët</w:t>
      </w:r>
      <w:proofErr w:type="spellEnd"/>
      <w:r w:rsidRPr="00F801EB">
        <w:rPr>
          <w:rFonts w:ascii="Garamond" w:hAnsi="Garamond" w:cs="Times New Roman"/>
          <w:i/>
          <w:iCs/>
          <w:color w:val="000000"/>
          <w:sz w:val="24"/>
          <w:szCs w:val="24"/>
          <w:lang w:val="sq-AL"/>
        </w:rPr>
        <w:t xml:space="preserve">/ortakët dhe pronarët përfitues” </w:t>
      </w:r>
      <w:r w:rsidRPr="00F801EB">
        <w:rPr>
          <w:rFonts w:ascii="Garamond" w:hAnsi="Garamond" w:cs="Times New Roman"/>
          <w:color w:val="000000"/>
          <w:sz w:val="24"/>
          <w:szCs w:val="24"/>
          <w:lang w:val="sq-AL"/>
        </w:rPr>
        <w:t>dhe</w:t>
      </w:r>
      <w:r w:rsidRPr="00F801EB">
        <w:rPr>
          <w:rFonts w:ascii="Garamond" w:hAnsi="Garamond" w:cs="Times New Roman"/>
          <w:i/>
          <w:iCs/>
          <w:color w:val="000000"/>
          <w:sz w:val="24"/>
          <w:szCs w:val="24"/>
          <w:lang w:val="sq-AL"/>
        </w:rPr>
        <w:t xml:space="preserve"> </w:t>
      </w:r>
      <w:r w:rsidRPr="00F801EB">
        <w:rPr>
          <w:rFonts w:ascii="Garamond" w:hAnsi="Garamond" w:cs="Times New Roman"/>
          <w:color w:val="000000"/>
          <w:sz w:val="24"/>
          <w:szCs w:val="24"/>
          <w:lang w:val="sq-AL"/>
        </w:rPr>
        <w:t>togfjalëshi “</w:t>
      </w:r>
      <w:r w:rsidRPr="00F801EB">
        <w:rPr>
          <w:rFonts w:ascii="Garamond" w:hAnsi="Garamond" w:cs="Times New Roman"/>
          <w:i/>
          <w:iCs/>
          <w:color w:val="000000"/>
          <w:sz w:val="24"/>
          <w:szCs w:val="24"/>
          <w:lang w:val="sq-AL"/>
        </w:rPr>
        <w:t>Drejtoria e Përgjithshme e Parandalimit të Pastrimit të Parave”</w:t>
      </w:r>
      <w:r w:rsidRPr="00F801EB">
        <w:rPr>
          <w:rFonts w:ascii="Garamond" w:hAnsi="Garamond" w:cs="Calibri"/>
          <w:color w:val="000000"/>
          <w:sz w:val="24"/>
          <w:szCs w:val="24"/>
          <w:lang w:val="sq-AL"/>
        </w:rPr>
        <w:t>,</w:t>
      </w:r>
      <w:r w:rsidRPr="00F801EB">
        <w:rPr>
          <w:rFonts w:ascii="Garamond" w:hAnsi="Garamond" w:cs="Times New Roman"/>
          <w:i/>
          <w:iCs/>
          <w:color w:val="000000"/>
          <w:sz w:val="24"/>
          <w:szCs w:val="24"/>
          <w:lang w:val="sq-AL"/>
        </w:rPr>
        <w:t xml:space="preserve"> </w:t>
      </w:r>
      <w:r w:rsidRPr="00F801EB">
        <w:rPr>
          <w:rFonts w:ascii="Garamond" w:hAnsi="Garamond" w:cs="Times New Roman"/>
          <w:color w:val="000000"/>
          <w:sz w:val="24"/>
          <w:szCs w:val="24"/>
          <w:lang w:val="sq-AL"/>
        </w:rPr>
        <w:t>zëvendësohet me togfjalëshin</w:t>
      </w:r>
      <w:r w:rsidRPr="00F801EB">
        <w:rPr>
          <w:rFonts w:ascii="Garamond" w:hAnsi="Garamond" w:cs="Times New Roman"/>
          <w:i/>
          <w:iCs/>
          <w:color w:val="000000"/>
          <w:sz w:val="24"/>
          <w:szCs w:val="24"/>
          <w:lang w:val="sq-AL"/>
        </w:rPr>
        <w:t xml:space="preserve"> “Agjencia e Inteligjencës Financiare,”;</w:t>
      </w:r>
    </w:p>
    <w:p w14:paraId="7EE71751"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v. Pas pikës 6, shtohen pikat 7 dhe 8, me përmbajtjen e mëposhtme:</w:t>
      </w:r>
    </w:p>
    <w:p w14:paraId="027672F2"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“7. Banka e Shqipërisë vlerëson përshtatshmërinë, reputacionin e mirë dhe integritetin e </w:t>
      </w:r>
      <w:proofErr w:type="spellStart"/>
      <w:r w:rsidRPr="00F801EB">
        <w:rPr>
          <w:rFonts w:ascii="Garamond" w:hAnsi="Garamond" w:cs="Times New Roman"/>
          <w:i/>
          <w:iCs/>
          <w:color w:val="000000"/>
          <w:sz w:val="24"/>
          <w:szCs w:val="24"/>
          <w:lang w:val="sq-AL"/>
        </w:rPr>
        <w:t>aksionerit</w:t>
      </w:r>
      <w:proofErr w:type="spellEnd"/>
      <w:r w:rsidRPr="00F801EB">
        <w:rPr>
          <w:rFonts w:ascii="Garamond" w:hAnsi="Garamond" w:cs="Times New Roman"/>
          <w:i/>
          <w:iCs/>
          <w:color w:val="000000"/>
          <w:sz w:val="24"/>
          <w:szCs w:val="24"/>
          <w:lang w:val="sq-AL"/>
        </w:rPr>
        <w:t>/ortakut, pronarit përfitues dhe administratorit të subjektit gjatë momentit të licencimit, si dhe sa herë që ka ndryshime në përbërjen e strukturës së pronësisë dhe organeve drejtuese gjatë ushtrimit të veprimtarisë.</w:t>
      </w:r>
    </w:p>
    <w:p w14:paraId="15244C6A"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8. Për qëllime të kësaj rregulloreje, person me “reputacion të mirë” konsiderohet </w:t>
      </w:r>
      <w:proofErr w:type="spellStart"/>
      <w:r w:rsidRPr="00F801EB">
        <w:rPr>
          <w:rFonts w:ascii="Garamond" w:hAnsi="Garamond" w:cs="Times New Roman"/>
          <w:i/>
          <w:iCs/>
          <w:color w:val="000000"/>
          <w:sz w:val="24"/>
          <w:szCs w:val="24"/>
          <w:lang w:val="sq-AL"/>
        </w:rPr>
        <w:t>aksioneri</w:t>
      </w:r>
      <w:proofErr w:type="spellEnd"/>
      <w:r w:rsidRPr="00F801EB">
        <w:rPr>
          <w:rFonts w:ascii="Garamond" w:hAnsi="Garamond" w:cs="Times New Roman"/>
          <w:i/>
          <w:iCs/>
          <w:color w:val="000000"/>
          <w:sz w:val="24"/>
          <w:szCs w:val="24"/>
          <w:lang w:val="sq-AL"/>
        </w:rPr>
        <w:t xml:space="preserve">/ortaku, pronari përfitues dhe administratori i subjektit, i cili karakterizohet nga etika profesionale dhe integriteti moral dhe financiar, si dhe përputhshmëria me kuadrin ligjor e </w:t>
      </w:r>
      <w:proofErr w:type="spellStart"/>
      <w:r w:rsidRPr="00F801EB">
        <w:rPr>
          <w:rFonts w:ascii="Garamond" w:hAnsi="Garamond" w:cs="Times New Roman"/>
          <w:i/>
          <w:iCs/>
          <w:color w:val="000000"/>
          <w:sz w:val="24"/>
          <w:szCs w:val="24"/>
          <w:lang w:val="sq-AL"/>
        </w:rPr>
        <w:t>rregullativ</w:t>
      </w:r>
      <w:proofErr w:type="spellEnd"/>
      <w:r w:rsidRPr="00F801EB">
        <w:rPr>
          <w:rFonts w:ascii="Garamond" w:hAnsi="Garamond" w:cs="Times New Roman"/>
          <w:i/>
          <w:iCs/>
          <w:color w:val="000000"/>
          <w:sz w:val="24"/>
          <w:szCs w:val="24"/>
          <w:lang w:val="sq-AL"/>
        </w:rPr>
        <w:t xml:space="preserve">. Një </w:t>
      </w:r>
      <w:proofErr w:type="spellStart"/>
      <w:r w:rsidRPr="00F801EB">
        <w:rPr>
          <w:rFonts w:ascii="Garamond" w:hAnsi="Garamond" w:cs="Times New Roman"/>
          <w:i/>
          <w:iCs/>
          <w:color w:val="000000"/>
          <w:sz w:val="24"/>
          <w:szCs w:val="24"/>
          <w:lang w:val="sq-AL"/>
        </w:rPr>
        <w:t>aksioner</w:t>
      </w:r>
      <w:proofErr w:type="spellEnd"/>
      <w:r w:rsidRPr="00F801EB">
        <w:rPr>
          <w:rFonts w:ascii="Garamond" w:hAnsi="Garamond" w:cs="Times New Roman"/>
          <w:i/>
          <w:iCs/>
          <w:color w:val="000000"/>
          <w:sz w:val="24"/>
          <w:szCs w:val="24"/>
          <w:lang w:val="sq-AL"/>
        </w:rPr>
        <w:t>/ortak, pronar përfitues apo administrator do të konsiderohet të ketë reputacion të mirë, nëse plotëson kriteret e mëposhtme:</w:t>
      </w:r>
    </w:p>
    <w:p w14:paraId="2C942F37"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a) nuk është në ndjekje penale;</w:t>
      </w:r>
    </w:p>
    <w:p w14:paraId="4BE41E02"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b) nuk është në gjykim për vepra penale;</w:t>
      </w:r>
    </w:p>
    <w:p w14:paraId="09600214"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c) nuk është i dënuar penalisht; </w:t>
      </w:r>
    </w:p>
    <w:p w14:paraId="433C7A74"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d) nuk ka detyrime pasurore të pashlyera;  </w:t>
      </w:r>
    </w:p>
    <w:p w14:paraId="02328F08"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i/>
          <w:iCs/>
          <w:color w:val="000000"/>
          <w:sz w:val="24"/>
          <w:szCs w:val="24"/>
          <w:lang w:val="sq-AL"/>
        </w:rPr>
        <w:t>e) nuk bën pjesë në listat e shpallura të sanksioneve ndërkombëtare</w:t>
      </w:r>
      <w:r w:rsidRPr="00F801EB">
        <w:rPr>
          <w:rFonts w:ascii="Garamond" w:hAnsi="Garamond" w:cs="Calibri"/>
          <w:i/>
          <w:iCs/>
          <w:color w:val="000000"/>
          <w:sz w:val="24"/>
          <w:szCs w:val="24"/>
          <w:lang w:val="sq-AL"/>
        </w:rPr>
        <w:t>.”;</w:t>
      </w:r>
    </w:p>
    <w:p w14:paraId="68A5E60B"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e) Në nenin 10, bëhen ndryshimet e mëposhtme:</w:t>
      </w:r>
    </w:p>
    <w:p w14:paraId="3F77206C"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i. Në pikën 1/1, shkronja “a”, pas nënpikës “i”, shtohet nënpika “i/i” me përmbajtjen e mëposhtme:</w:t>
      </w:r>
    </w:p>
    <w:p w14:paraId="58239358" w14:textId="77777777" w:rsidR="00F018E6" w:rsidRPr="00F801EB" w:rsidRDefault="00F018E6" w:rsidP="00F018E6">
      <w:pPr>
        <w:tabs>
          <w:tab w:val="left" w:pos="14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“i/i. </w:t>
      </w:r>
      <w:proofErr w:type="spellStart"/>
      <w:r w:rsidRPr="00F801EB">
        <w:rPr>
          <w:rFonts w:ascii="Garamond" w:hAnsi="Garamond" w:cs="Times New Roman"/>
          <w:i/>
          <w:iCs/>
          <w:color w:val="000000"/>
          <w:sz w:val="24"/>
          <w:szCs w:val="24"/>
          <w:lang w:val="sq-AL"/>
        </w:rPr>
        <w:t>aksioneri</w:t>
      </w:r>
      <w:proofErr w:type="spellEnd"/>
      <w:r w:rsidRPr="00F801EB">
        <w:rPr>
          <w:rFonts w:ascii="Garamond" w:hAnsi="Garamond" w:cs="Times New Roman"/>
          <w:i/>
          <w:iCs/>
          <w:color w:val="000000"/>
          <w:sz w:val="24"/>
          <w:szCs w:val="24"/>
          <w:lang w:val="sq-AL"/>
        </w:rPr>
        <w:t>/ortaku, pronari përfitues dhe administratori i subjektit nuk gëzojnë reputacion të mirë;”;</w:t>
      </w:r>
    </w:p>
    <w:p w14:paraId="67D87514"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i/>
          <w:iCs/>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Në pikën 1/1, shkronja “a”, nënpika “</w:t>
      </w: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xml:space="preserve">”,  pas togfjalëshit </w:t>
      </w:r>
      <w:r w:rsidRPr="00F801EB">
        <w:rPr>
          <w:rFonts w:ascii="Garamond" w:hAnsi="Garamond" w:cs="Times New Roman"/>
          <w:i/>
          <w:iCs/>
          <w:color w:val="000000"/>
          <w:sz w:val="24"/>
          <w:szCs w:val="24"/>
          <w:lang w:val="sq-AL"/>
        </w:rPr>
        <w:t>“</w:t>
      </w:r>
      <w:proofErr w:type="spellStart"/>
      <w:r w:rsidRPr="00F801EB">
        <w:rPr>
          <w:rFonts w:ascii="Garamond" w:hAnsi="Garamond" w:cs="Times New Roman"/>
          <w:i/>
          <w:iCs/>
          <w:color w:val="000000"/>
          <w:sz w:val="24"/>
          <w:szCs w:val="24"/>
          <w:lang w:val="sq-AL"/>
        </w:rPr>
        <w:t>aksioneri</w:t>
      </w:r>
      <w:proofErr w:type="spellEnd"/>
      <w:r w:rsidRPr="00F801EB">
        <w:rPr>
          <w:rFonts w:ascii="Garamond" w:hAnsi="Garamond" w:cs="Times New Roman"/>
          <w:i/>
          <w:iCs/>
          <w:color w:val="000000"/>
          <w:sz w:val="24"/>
          <w:szCs w:val="24"/>
          <w:lang w:val="sq-AL"/>
        </w:rPr>
        <w:t xml:space="preserve">/ortaku”, </w:t>
      </w:r>
      <w:r w:rsidRPr="00F801EB">
        <w:rPr>
          <w:rFonts w:ascii="Garamond" w:hAnsi="Garamond" w:cs="Times New Roman"/>
          <w:color w:val="000000"/>
          <w:sz w:val="24"/>
          <w:szCs w:val="24"/>
          <w:lang w:val="sq-AL"/>
        </w:rPr>
        <w:t>shtohet togfjalëshi</w:t>
      </w:r>
      <w:r w:rsidRPr="00F801EB">
        <w:rPr>
          <w:rFonts w:ascii="Garamond" w:hAnsi="Garamond" w:cs="Times New Roman"/>
          <w:i/>
          <w:iCs/>
          <w:color w:val="000000"/>
          <w:sz w:val="24"/>
          <w:szCs w:val="24"/>
          <w:lang w:val="sq-AL"/>
        </w:rPr>
        <w:t xml:space="preserve"> “, pronari përfitues”;</w:t>
      </w:r>
    </w:p>
    <w:p w14:paraId="76105F7F"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Calibri"/>
          <w:i/>
          <w:iCs/>
          <w:color w:val="000000"/>
          <w:sz w:val="24"/>
          <w:szCs w:val="24"/>
          <w:lang w:val="sq-AL"/>
        </w:rPr>
      </w:pP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Në pikën 1/1, shkronja “a”, përmbajtja e nënpikës “</w:t>
      </w: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ndryshon si më poshtë:</w:t>
      </w:r>
    </w:p>
    <w:p w14:paraId="6D2C862B" w14:textId="77777777" w:rsidR="00F018E6" w:rsidRPr="00F801EB" w:rsidRDefault="00F018E6" w:rsidP="00F018E6">
      <w:pPr>
        <w:tabs>
          <w:tab w:val="left" w:pos="1440"/>
        </w:tabs>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w:t>
      </w:r>
      <w:proofErr w:type="spellStart"/>
      <w:r w:rsidRPr="00F801EB">
        <w:rPr>
          <w:rFonts w:ascii="Garamond" w:hAnsi="Garamond" w:cs="Times New Roman"/>
          <w:i/>
          <w:iCs/>
          <w:color w:val="000000"/>
          <w:sz w:val="24"/>
          <w:szCs w:val="24"/>
          <w:lang w:val="sq-AL"/>
        </w:rPr>
        <w:t>iii</w:t>
      </w:r>
      <w:proofErr w:type="spellEnd"/>
      <w:r w:rsidRPr="00F801EB">
        <w:rPr>
          <w:rFonts w:ascii="Garamond" w:hAnsi="Garamond" w:cs="Times New Roman"/>
          <w:i/>
          <w:iCs/>
          <w:color w:val="000000"/>
          <w:sz w:val="24"/>
          <w:szCs w:val="24"/>
          <w:lang w:val="sq-AL"/>
        </w:rPr>
        <w:t xml:space="preserve">. </w:t>
      </w:r>
      <w:proofErr w:type="spellStart"/>
      <w:r w:rsidRPr="00F801EB">
        <w:rPr>
          <w:rFonts w:ascii="Garamond" w:hAnsi="Garamond" w:cs="Times New Roman"/>
          <w:i/>
          <w:iCs/>
          <w:color w:val="000000"/>
          <w:sz w:val="24"/>
          <w:szCs w:val="24"/>
          <w:lang w:val="sq-AL"/>
        </w:rPr>
        <w:t>aksioneri</w:t>
      </w:r>
      <w:proofErr w:type="spellEnd"/>
      <w:r w:rsidRPr="00F801EB">
        <w:rPr>
          <w:rFonts w:ascii="Garamond" w:hAnsi="Garamond" w:cs="Times New Roman"/>
          <w:i/>
          <w:iCs/>
          <w:color w:val="000000"/>
          <w:sz w:val="24"/>
          <w:szCs w:val="24"/>
          <w:lang w:val="sq-AL"/>
        </w:rPr>
        <w:t>/ortaku, pronari përfitues i subjektit paraqet rrezik të lartë, bazuar në vlerësimet e Bankës së Shqipërisë;”;</w:t>
      </w:r>
    </w:p>
    <w:p w14:paraId="60240359"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Në pikën 1/1, shkronja “a”, pas nënpikës “</w:t>
      </w: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shtohet nënpika “</w:t>
      </w: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me përmbajtjen e mëposhtme:</w:t>
      </w:r>
    </w:p>
    <w:p w14:paraId="60A1648B" w14:textId="77777777" w:rsidR="00F018E6" w:rsidRPr="00F801EB" w:rsidRDefault="00F018E6" w:rsidP="00F018E6">
      <w:pPr>
        <w:tabs>
          <w:tab w:val="left" w:pos="1440"/>
        </w:tabs>
        <w:autoSpaceDE w:val="0"/>
        <w:autoSpaceDN w:val="0"/>
        <w:adjustRightInd w:val="0"/>
        <w:spacing w:after="0" w:line="240" w:lineRule="auto"/>
        <w:ind w:firstLine="284"/>
        <w:jc w:val="both"/>
        <w:rPr>
          <w:rFonts w:ascii="Garamond" w:hAnsi="Garamond" w:cs="Calibri"/>
          <w:color w:val="000000"/>
          <w:sz w:val="24"/>
          <w:szCs w:val="24"/>
          <w:lang w:val="sq-AL"/>
        </w:rPr>
      </w:pPr>
      <w:r w:rsidRPr="00F801EB">
        <w:rPr>
          <w:rFonts w:ascii="Garamond" w:hAnsi="Garamond" w:cs="Times New Roman"/>
          <w:i/>
          <w:iCs/>
          <w:color w:val="000000"/>
          <w:sz w:val="24"/>
          <w:szCs w:val="24"/>
          <w:lang w:val="sq-AL"/>
        </w:rPr>
        <w:t>“</w:t>
      </w:r>
      <w:proofErr w:type="spellStart"/>
      <w:r w:rsidRPr="00F801EB">
        <w:rPr>
          <w:rFonts w:ascii="Garamond" w:hAnsi="Garamond" w:cs="Times New Roman"/>
          <w:i/>
          <w:iCs/>
          <w:color w:val="000000"/>
          <w:sz w:val="24"/>
          <w:szCs w:val="24"/>
          <w:lang w:val="sq-AL"/>
        </w:rPr>
        <w:t>iv</w:t>
      </w:r>
      <w:proofErr w:type="spellEnd"/>
      <w:r w:rsidRPr="00F801EB">
        <w:rPr>
          <w:rFonts w:ascii="Garamond" w:hAnsi="Garamond" w:cs="Times New Roman"/>
          <w:i/>
          <w:iCs/>
          <w:color w:val="000000"/>
          <w:sz w:val="24"/>
          <w:szCs w:val="24"/>
          <w:lang w:val="sq-AL"/>
        </w:rPr>
        <w:t xml:space="preserve">. </w:t>
      </w:r>
      <w:proofErr w:type="spellStart"/>
      <w:r w:rsidRPr="00F801EB">
        <w:rPr>
          <w:rFonts w:ascii="Garamond" w:hAnsi="Garamond" w:cs="Times New Roman"/>
          <w:i/>
          <w:iCs/>
          <w:color w:val="000000"/>
          <w:sz w:val="24"/>
          <w:szCs w:val="24"/>
          <w:lang w:val="sq-AL"/>
        </w:rPr>
        <w:t>aksioneri</w:t>
      </w:r>
      <w:proofErr w:type="spellEnd"/>
      <w:r w:rsidRPr="00F801EB">
        <w:rPr>
          <w:rFonts w:ascii="Garamond" w:hAnsi="Garamond" w:cs="Times New Roman"/>
          <w:i/>
          <w:iCs/>
          <w:color w:val="000000"/>
          <w:sz w:val="24"/>
          <w:szCs w:val="24"/>
          <w:lang w:val="sq-AL"/>
        </w:rPr>
        <w:t>/ortaku, pronari përfitues i subjektit ka qenë pjesë e strukturës së pronësisë së një zyre këmbimi valutor apo institucioni tjetër financiar, ndaj të cilit është vendosur masa e revokimit të licencës nga Banka e Shqipërisë;”;</w:t>
      </w:r>
    </w:p>
    <w:p w14:paraId="2A9B01F6"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f) Në nenin 12, bëhen ndryshimet e mëposhtme:</w:t>
      </w:r>
    </w:p>
    <w:p w14:paraId="17A70F90"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i. Paragrafi ekzistues, numërtohet si pika 1;</w:t>
      </w:r>
    </w:p>
    <w:p w14:paraId="7F0CCEF1"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Në pikën 1, shkronja “a”, togfjalëshi “</w:t>
      </w:r>
      <w:r w:rsidRPr="00F801EB">
        <w:rPr>
          <w:rFonts w:ascii="Garamond" w:hAnsi="Garamond" w:cs="Times New Roman"/>
          <w:i/>
          <w:iCs/>
          <w:color w:val="000000"/>
          <w:sz w:val="24"/>
          <w:szCs w:val="24"/>
          <w:lang w:val="sq-AL"/>
        </w:rPr>
        <w:t>1.500 (një mijë e pesë qind) lekësh</w:t>
      </w:r>
      <w:r w:rsidRPr="00F801EB">
        <w:rPr>
          <w:rFonts w:ascii="Garamond" w:hAnsi="Garamond" w:cs="Times New Roman"/>
          <w:color w:val="000000"/>
          <w:sz w:val="24"/>
          <w:szCs w:val="24"/>
          <w:lang w:val="sq-AL"/>
        </w:rPr>
        <w:t>”, zëvendësohet me togfjalëshin “</w:t>
      </w:r>
      <w:r w:rsidRPr="00F801EB">
        <w:rPr>
          <w:rFonts w:ascii="Garamond" w:hAnsi="Garamond" w:cs="Times New Roman"/>
          <w:i/>
          <w:iCs/>
          <w:color w:val="000000"/>
          <w:sz w:val="24"/>
          <w:szCs w:val="24"/>
          <w:lang w:val="sq-AL"/>
        </w:rPr>
        <w:t>3,000 (tre mijë) lekësh</w:t>
      </w:r>
      <w:r w:rsidRPr="00F801EB">
        <w:rPr>
          <w:rFonts w:ascii="Garamond" w:hAnsi="Garamond" w:cs="Times New Roman"/>
          <w:color w:val="000000"/>
          <w:sz w:val="24"/>
          <w:szCs w:val="24"/>
          <w:lang w:val="sq-AL"/>
        </w:rPr>
        <w:t>”;</w:t>
      </w:r>
    </w:p>
    <w:p w14:paraId="296BE645"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Në pikën 1, shkronja “b”, togfjalëshi “</w:t>
      </w:r>
      <w:r w:rsidRPr="00F801EB">
        <w:rPr>
          <w:rFonts w:ascii="Garamond" w:hAnsi="Garamond" w:cs="Times New Roman"/>
          <w:i/>
          <w:iCs/>
          <w:color w:val="000000"/>
          <w:sz w:val="24"/>
          <w:szCs w:val="24"/>
          <w:lang w:val="sq-AL"/>
        </w:rPr>
        <w:t>500 (pesë qind) lekësh</w:t>
      </w:r>
      <w:r w:rsidRPr="00F801EB">
        <w:rPr>
          <w:rFonts w:ascii="Garamond" w:hAnsi="Garamond" w:cs="Times New Roman"/>
          <w:color w:val="000000"/>
          <w:sz w:val="24"/>
          <w:szCs w:val="24"/>
          <w:lang w:val="sq-AL"/>
        </w:rPr>
        <w:t>”, zëvendësohet me togfjalëshin “</w:t>
      </w:r>
      <w:r w:rsidRPr="00F801EB">
        <w:rPr>
          <w:rFonts w:ascii="Garamond" w:hAnsi="Garamond" w:cs="Times New Roman"/>
          <w:i/>
          <w:iCs/>
          <w:color w:val="000000"/>
          <w:sz w:val="24"/>
          <w:szCs w:val="24"/>
          <w:lang w:val="sq-AL"/>
        </w:rPr>
        <w:t>1,000 (një mijë) lekësh</w:t>
      </w:r>
      <w:r w:rsidRPr="00F801EB">
        <w:rPr>
          <w:rFonts w:ascii="Garamond" w:hAnsi="Garamond" w:cs="Times New Roman"/>
          <w:color w:val="000000"/>
          <w:sz w:val="24"/>
          <w:szCs w:val="24"/>
          <w:lang w:val="sq-AL"/>
        </w:rPr>
        <w:t>”;</w:t>
      </w:r>
    </w:p>
    <w:p w14:paraId="2B6D9C24" w14:textId="77777777" w:rsidR="00F018E6" w:rsidRPr="00F801EB" w:rsidRDefault="00F018E6" w:rsidP="00F018E6">
      <w:pPr>
        <w:tabs>
          <w:tab w:val="left" w:pos="1080"/>
        </w:tabs>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Pas pikës 1, shtohet pika 2 me përmbajtjen e mëposhtme:</w:t>
      </w:r>
    </w:p>
    <w:p w14:paraId="270BD7F6"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“2. Të dhënat për llogarinë ku paguhen komisionet e parashikuara në pikën 1 të këtij neni, janë si më poshtë:</w:t>
      </w:r>
    </w:p>
    <w:p w14:paraId="0C68CBC4"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Përfituesi:          Banka e Shqipërisë</w:t>
      </w:r>
    </w:p>
    <w:p w14:paraId="2B5DD80D"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BIC:                   </w:t>
      </w:r>
      <w:proofErr w:type="spellStart"/>
      <w:r w:rsidRPr="00F801EB">
        <w:rPr>
          <w:rFonts w:ascii="Garamond" w:hAnsi="Garamond" w:cs="Times New Roman"/>
          <w:i/>
          <w:iCs/>
          <w:color w:val="000000"/>
          <w:sz w:val="24"/>
          <w:szCs w:val="24"/>
          <w:lang w:val="sq-AL"/>
        </w:rPr>
        <w:t>STANALTR</w:t>
      </w:r>
      <w:proofErr w:type="spellEnd"/>
    </w:p>
    <w:p w14:paraId="4A3626E4"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proofErr w:type="spellStart"/>
      <w:r w:rsidRPr="00F801EB">
        <w:rPr>
          <w:rFonts w:ascii="Garamond" w:hAnsi="Garamond" w:cs="Times New Roman"/>
          <w:i/>
          <w:iCs/>
          <w:color w:val="000000"/>
          <w:sz w:val="24"/>
          <w:szCs w:val="24"/>
          <w:lang w:val="sq-AL"/>
        </w:rPr>
        <w:t>IBAN</w:t>
      </w:r>
      <w:proofErr w:type="spellEnd"/>
      <w:r w:rsidRPr="00F801EB">
        <w:rPr>
          <w:rFonts w:ascii="Garamond" w:hAnsi="Garamond" w:cs="Times New Roman"/>
          <w:i/>
          <w:iCs/>
          <w:color w:val="000000"/>
          <w:sz w:val="24"/>
          <w:szCs w:val="24"/>
          <w:lang w:val="sq-AL"/>
        </w:rPr>
        <w:t xml:space="preserve">:                 </w:t>
      </w:r>
      <w:proofErr w:type="spellStart"/>
      <w:r w:rsidRPr="00F801EB">
        <w:rPr>
          <w:rFonts w:ascii="Garamond" w:hAnsi="Garamond" w:cs="Times New Roman"/>
          <w:i/>
          <w:iCs/>
          <w:color w:val="000000"/>
          <w:sz w:val="24"/>
          <w:szCs w:val="24"/>
          <w:lang w:val="sq-AL"/>
        </w:rPr>
        <w:t>AL68</w:t>
      </w:r>
      <w:proofErr w:type="spellEnd"/>
      <w:r w:rsidRPr="00F801EB">
        <w:rPr>
          <w:rFonts w:ascii="Garamond" w:hAnsi="Garamond" w:cs="Times New Roman"/>
          <w:i/>
          <w:iCs/>
          <w:color w:val="000000"/>
          <w:sz w:val="24"/>
          <w:szCs w:val="24"/>
          <w:lang w:val="sq-AL"/>
        </w:rPr>
        <w:t xml:space="preserve"> 1011 1008 0000 0000 2222 </w:t>
      </w:r>
      <w:proofErr w:type="spellStart"/>
      <w:r w:rsidRPr="00F801EB">
        <w:rPr>
          <w:rFonts w:ascii="Garamond" w:hAnsi="Garamond" w:cs="Times New Roman"/>
          <w:i/>
          <w:iCs/>
          <w:color w:val="000000"/>
          <w:sz w:val="24"/>
          <w:szCs w:val="24"/>
          <w:lang w:val="sq-AL"/>
        </w:rPr>
        <w:t>222L</w:t>
      </w:r>
      <w:proofErr w:type="spellEnd"/>
      <w:r w:rsidRPr="00F801EB">
        <w:rPr>
          <w:rFonts w:ascii="Garamond" w:hAnsi="Garamond" w:cs="Times New Roman"/>
          <w:i/>
          <w:iCs/>
          <w:color w:val="000000"/>
          <w:sz w:val="24"/>
          <w:szCs w:val="24"/>
          <w:lang w:val="sq-AL"/>
        </w:rPr>
        <w:t>”;</w:t>
      </w:r>
    </w:p>
    <w:p w14:paraId="1A7ECD33"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g) Në nenin 14, pika 2, shfuqizohet;</w:t>
      </w:r>
    </w:p>
    <w:p w14:paraId="0D92E53D"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h) Në nenin 15, pas pikës 2, shtohen pikat 3 dhe 4, me përmbajtjen e mëposhtme:</w:t>
      </w:r>
    </w:p>
    <w:p w14:paraId="5771021E"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“3. Subjekti i licencuar, gjatë ushtrimit të veprimtarisë së këmbimit valutor:</w:t>
      </w:r>
    </w:p>
    <w:p w14:paraId="256B1224"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lastRenderedPageBreak/>
        <w:t>a) nuk mban në arkë vlera monetare (</w:t>
      </w:r>
      <w:proofErr w:type="spellStart"/>
      <w:r w:rsidRPr="00F801EB">
        <w:rPr>
          <w:rFonts w:ascii="Garamond" w:hAnsi="Garamond" w:cs="Times New Roman"/>
          <w:i/>
          <w:iCs/>
          <w:color w:val="000000"/>
          <w:sz w:val="24"/>
          <w:szCs w:val="24"/>
          <w:lang w:val="sq-AL"/>
        </w:rPr>
        <w:t>cash</w:t>
      </w:r>
      <w:proofErr w:type="spellEnd"/>
      <w:r w:rsidRPr="00F801EB">
        <w:rPr>
          <w:rFonts w:ascii="Garamond" w:hAnsi="Garamond" w:cs="Times New Roman"/>
          <w:i/>
          <w:iCs/>
          <w:color w:val="000000"/>
          <w:sz w:val="24"/>
          <w:szCs w:val="24"/>
          <w:lang w:val="sq-AL"/>
        </w:rPr>
        <w:t xml:space="preserve">) mbi baza ditore, më të larta se kufijtë e përcaktuar në nenin 59/2, pika 5 të ligjit “Për procedurat tatimore”, në lidhje me limitin e arkës, ose sipas ndryshimeve të mundshme pasuese të këtij legjislacioni;  </w:t>
      </w:r>
    </w:p>
    <w:p w14:paraId="17A3AF5F"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b) nuk kryen transaksione në para fizike (</w:t>
      </w:r>
      <w:proofErr w:type="spellStart"/>
      <w:r w:rsidRPr="00F801EB">
        <w:rPr>
          <w:rFonts w:ascii="Garamond" w:hAnsi="Garamond" w:cs="Times New Roman"/>
          <w:i/>
          <w:iCs/>
          <w:color w:val="000000"/>
          <w:sz w:val="24"/>
          <w:szCs w:val="24"/>
          <w:lang w:val="sq-AL"/>
        </w:rPr>
        <w:t>cash</w:t>
      </w:r>
      <w:proofErr w:type="spellEnd"/>
      <w:r w:rsidRPr="00F801EB">
        <w:rPr>
          <w:rFonts w:ascii="Garamond" w:hAnsi="Garamond" w:cs="Times New Roman"/>
          <w:i/>
          <w:iCs/>
          <w:color w:val="000000"/>
          <w:sz w:val="24"/>
          <w:szCs w:val="24"/>
          <w:lang w:val="sq-AL"/>
        </w:rPr>
        <w:t>), të cilat tejkalojnë një shumë prej 2,500,000 (dy milion e pesëqind mijë) lekë ose kundërvlerën e saj në monedha të tjera të huaja, të kryera në një transaksion të vetëm ose në disa transaksione të lidhur me njëri-tjetrin. Transaksionet që tejkalojnë shumën 2,500,000 (dy milion e pesëqind mijë) lekë ose kundërvlerën e saj në monedha të tjera të huaja, kryhen nëpërmjet llogarive bankare ose llogarive të pagesave të subjektit dhe klientit.</w:t>
      </w:r>
    </w:p>
    <w:p w14:paraId="7D8B7D24"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4. Subjekti, në përputhje me natyrën, madhësinë, </w:t>
      </w:r>
      <w:proofErr w:type="spellStart"/>
      <w:r w:rsidRPr="00F801EB">
        <w:rPr>
          <w:rFonts w:ascii="Garamond" w:hAnsi="Garamond" w:cs="Times New Roman"/>
          <w:i/>
          <w:iCs/>
          <w:color w:val="000000"/>
          <w:sz w:val="24"/>
          <w:szCs w:val="24"/>
          <w:lang w:val="sq-AL"/>
        </w:rPr>
        <w:t>kompleksitetin</w:t>
      </w:r>
      <w:proofErr w:type="spellEnd"/>
      <w:r w:rsidRPr="00F801EB">
        <w:rPr>
          <w:rFonts w:ascii="Garamond" w:hAnsi="Garamond" w:cs="Times New Roman"/>
          <w:i/>
          <w:iCs/>
          <w:color w:val="000000"/>
          <w:sz w:val="24"/>
          <w:szCs w:val="24"/>
          <w:lang w:val="sq-AL"/>
        </w:rPr>
        <w:t xml:space="preserve"> e veprimtarisë dhe profilin e rrezikut të tij, mund të krijojë njësinë e kontrollit të brendshëm. Krijimi i njësisë së kontrollit të brendshëm bëhet me vendim të organeve drejtuese të subjektit, ku përcaktohen në mënyrë të qartë, përbërja, kompetencat dhe rregullat e funksionimit të kësaj njësie.”;</w:t>
      </w:r>
    </w:p>
    <w:p w14:paraId="6B4CBFAB"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i) Në nenin 19, bëhen ndryshimet e mëposhtme:</w:t>
      </w:r>
    </w:p>
    <w:p w14:paraId="7A61EB0B"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 xml:space="preserve">i. Përmbajtja e pikës 1, ndryshon si vijon: </w:t>
      </w:r>
    </w:p>
    <w:p w14:paraId="198302CE" w14:textId="37A36AB0"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“1. Subjekti raporton në Bankën e Shqipërisë për veprimet e këmbimit valutor, sipas kërkesave dhe afateve të parashikuara në </w:t>
      </w:r>
      <w:r w:rsidR="00685D73">
        <w:rPr>
          <w:rFonts w:ascii="Garamond" w:hAnsi="Garamond" w:cs="Times New Roman"/>
          <w:i/>
          <w:iCs/>
          <w:color w:val="000000"/>
          <w:sz w:val="24"/>
          <w:szCs w:val="24"/>
          <w:lang w:val="sq-AL"/>
        </w:rPr>
        <w:t>u</w:t>
      </w:r>
      <w:bookmarkStart w:id="0" w:name="_GoBack"/>
      <w:bookmarkEnd w:id="0"/>
      <w:r w:rsidRPr="00F801EB">
        <w:rPr>
          <w:rFonts w:ascii="Garamond" w:hAnsi="Garamond" w:cs="Times New Roman"/>
          <w:i/>
          <w:iCs/>
          <w:color w:val="000000"/>
          <w:sz w:val="24"/>
          <w:szCs w:val="24"/>
          <w:lang w:val="sq-AL"/>
        </w:rPr>
        <w:t xml:space="preserve">dhëzimin nr. 3, datë 22.12.2021 “Për raportimin e veprimeve të këmbimeve valutore”, miratuar nga Këshilli Mbikëqyrës i Bankës së Shqipërisë dhe, në rastet kur subjekti ushtron veprimtarinë në dy ose më shumë zyra, informacioni raportohet mbi baza të </w:t>
      </w:r>
      <w:proofErr w:type="spellStart"/>
      <w:r w:rsidRPr="00F801EB">
        <w:rPr>
          <w:rFonts w:ascii="Garamond" w:hAnsi="Garamond" w:cs="Times New Roman"/>
          <w:i/>
          <w:iCs/>
          <w:color w:val="000000"/>
          <w:sz w:val="24"/>
          <w:szCs w:val="24"/>
          <w:lang w:val="sq-AL"/>
        </w:rPr>
        <w:t>konsoliduara</w:t>
      </w:r>
      <w:proofErr w:type="spellEnd"/>
      <w:r w:rsidRPr="00F801EB">
        <w:rPr>
          <w:rFonts w:ascii="Garamond" w:hAnsi="Garamond" w:cs="Times New Roman"/>
          <w:i/>
          <w:iCs/>
          <w:color w:val="000000"/>
          <w:sz w:val="24"/>
          <w:szCs w:val="24"/>
          <w:lang w:val="sq-AL"/>
        </w:rPr>
        <w:t xml:space="preserve"> për të gjitha zyrat, në një raportim të vetëm.”;</w:t>
      </w:r>
    </w:p>
    <w:p w14:paraId="520F4B69"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Pikat 2, 3 dhe 4, shfuqizohen;</w:t>
      </w:r>
    </w:p>
    <w:p w14:paraId="2FCCEC4A"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Në pikën 4/1, përmbajtja e shkronjës “a”, ndryshon si vijon:</w:t>
      </w:r>
    </w:p>
    <w:p w14:paraId="639190FF"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“a) vërtetim nga Ministria e Drejtësisë se </w:t>
      </w:r>
      <w:proofErr w:type="spellStart"/>
      <w:r w:rsidRPr="00F801EB">
        <w:rPr>
          <w:rFonts w:ascii="Garamond" w:hAnsi="Garamond" w:cs="Times New Roman"/>
          <w:i/>
          <w:iCs/>
          <w:color w:val="000000"/>
          <w:sz w:val="24"/>
          <w:szCs w:val="24"/>
          <w:lang w:val="sq-AL"/>
        </w:rPr>
        <w:t>aksioneri</w:t>
      </w:r>
      <w:proofErr w:type="spellEnd"/>
      <w:r w:rsidRPr="00F801EB">
        <w:rPr>
          <w:rFonts w:ascii="Garamond" w:hAnsi="Garamond" w:cs="Times New Roman"/>
          <w:i/>
          <w:iCs/>
          <w:color w:val="000000"/>
          <w:sz w:val="24"/>
          <w:szCs w:val="24"/>
          <w:lang w:val="sq-AL"/>
        </w:rPr>
        <w:t xml:space="preserve">/ortaku, pronari përfitues dhe administratori nuk është i dënuar penalisht (dokumenti duhet të jetë i lëshuar jo më larg se 3 (tre) muaj nga dita e paraqitjes së tij);”; </w:t>
      </w:r>
    </w:p>
    <w:p w14:paraId="627476BA"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Në pikën 4/1, shkronja “b”, pas togfjalëshit “</w:t>
      </w:r>
      <w:r w:rsidRPr="00F801EB">
        <w:rPr>
          <w:rFonts w:ascii="Garamond" w:hAnsi="Garamond" w:cs="Times New Roman"/>
          <w:i/>
          <w:iCs/>
          <w:color w:val="000000"/>
          <w:sz w:val="24"/>
          <w:szCs w:val="24"/>
          <w:lang w:val="sq-AL"/>
        </w:rPr>
        <w:t xml:space="preserve">deklaratë personale e </w:t>
      </w:r>
      <w:proofErr w:type="spellStart"/>
      <w:r w:rsidRPr="00F801EB">
        <w:rPr>
          <w:rFonts w:ascii="Garamond" w:hAnsi="Garamond" w:cs="Times New Roman"/>
          <w:i/>
          <w:iCs/>
          <w:color w:val="000000"/>
          <w:sz w:val="24"/>
          <w:szCs w:val="24"/>
          <w:lang w:val="sq-AL"/>
        </w:rPr>
        <w:t>aksionerit</w:t>
      </w:r>
      <w:proofErr w:type="spellEnd"/>
      <w:r w:rsidRPr="00F801EB">
        <w:rPr>
          <w:rFonts w:ascii="Garamond" w:hAnsi="Garamond" w:cs="Times New Roman"/>
          <w:i/>
          <w:iCs/>
          <w:color w:val="000000"/>
          <w:sz w:val="24"/>
          <w:szCs w:val="24"/>
          <w:lang w:val="sq-AL"/>
        </w:rPr>
        <w:t>/ortakut</w:t>
      </w:r>
      <w:r w:rsidRPr="00F801EB">
        <w:rPr>
          <w:rFonts w:ascii="Garamond" w:hAnsi="Garamond" w:cs="Times New Roman"/>
          <w:color w:val="000000"/>
          <w:sz w:val="24"/>
          <w:szCs w:val="24"/>
          <w:lang w:val="sq-AL"/>
        </w:rPr>
        <w:t xml:space="preserve">”, shtohet togfjalëshi </w:t>
      </w:r>
      <w:r w:rsidRPr="00F801EB">
        <w:rPr>
          <w:rFonts w:ascii="Garamond" w:hAnsi="Garamond" w:cs="Times New Roman"/>
          <w:i/>
          <w:iCs/>
          <w:color w:val="000000"/>
          <w:sz w:val="24"/>
          <w:szCs w:val="24"/>
          <w:lang w:val="sq-AL"/>
        </w:rPr>
        <w:t>“, pronarit përfitues</w:t>
      </w:r>
      <w:r w:rsidRPr="00F801EB">
        <w:rPr>
          <w:rFonts w:ascii="Garamond" w:hAnsi="Garamond" w:cs="Times New Roman"/>
          <w:color w:val="000000"/>
          <w:sz w:val="24"/>
          <w:szCs w:val="24"/>
          <w:lang w:val="sq-AL"/>
        </w:rPr>
        <w:t>”;</w:t>
      </w:r>
    </w:p>
    <w:p w14:paraId="28FBB396"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v. Përmbajtja e pikës 5, ndryshon si vijon:</w:t>
      </w:r>
    </w:p>
    <w:p w14:paraId="5B253830"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color w:val="000000"/>
          <w:sz w:val="24"/>
          <w:szCs w:val="24"/>
          <w:lang w:val="sq-AL"/>
        </w:rPr>
      </w:pPr>
      <w:r w:rsidRPr="00F801EB">
        <w:rPr>
          <w:rFonts w:ascii="Garamond" w:hAnsi="Garamond" w:cs="Arial"/>
          <w:color w:val="000000"/>
          <w:sz w:val="24"/>
          <w:szCs w:val="24"/>
          <w:lang w:val="sq-AL"/>
        </w:rPr>
        <w:t>“</w:t>
      </w:r>
      <w:r w:rsidRPr="00F801EB">
        <w:rPr>
          <w:rFonts w:ascii="Garamond" w:hAnsi="Garamond" w:cs="Times New Roman"/>
          <w:i/>
          <w:iCs/>
          <w:color w:val="000000"/>
          <w:sz w:val="24"/>
          <w:szCs w:val="24"/>
          <w:lang w:val="sq-AL"/>
        </w:rPr>
        <w:t>5. Raportimet nga ana e subjektit në Bankë sipas pikës 4/1 të këtij neni, bëhen në rrugë elektronike ose me postë.”;</w:t>
      </w:r>
    </w:p>
    <w:p w14:paraId="3DE97A34"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j) Në nenin 20, bëhen ndryshimet e mëposhtme:</w:t>
      </w:r>
    </w:p>
    <w:p w14:paraId="410204E4"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i. Në</w:t>
      </w:r>
      <w:r w:rsidRPr="00F801EB">
        <w:rPr>
          <w:rFonts w:ascii="Garamond" w:hAnsi="Garamond" w:cs="Nirmala UI"/>
          <w:color w:val="000000"/>
          <w:sz w:val="24"/>
          <w:szCs w:val="24"/>
          <w:lang w:val="sq-AL"/>
        </w:rPr>
        <w:t xml:space="preserve"> </w:t>
      </w:r>
      <w:r w:rsidRPr="00F801EB">
        <w:rPr>
          <w:rFonts w:ascii="Garamond" w:hAnsi="Garamond" w:cs="Times New Roman"/>
          <w:color w:val="000000"/>
          <w:sz w:val="24"/>
          <w:szCs w:val="24"/>
          <w:lang w:val="sq-AL"/>
        </w:rPr>
        <w:t>pikën 2, shkronja “a”, shfuqizohet;</w:t>
      </w:r>
    </w:p>
    <w:p w14:paraId="05827D2B"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Në pikën 2, pas shkronjës “j”, shtohen shkronjat “k” dhe “l” me përmbajtjen e mëposhtme:</w:t>
      </w:r>
    </w:p>
    <w:p w14:paraId="7A088208"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“k) subjekti nuk respekton kufizimet e nenit 15, pika 3 të kësaj rregulloreje;.</w:t>
      </w:r>
    </w:p>
    <w:p w14:paraId="33715B94"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i/>
          <w:iCs/>
          <w:color w:val="000000"/>
          <w:sz w:val="24"/>
          <w:szCs w:val="24"/>
          <w:lang w:val="sq-AL"/>
        </w:rPr>
        <w:t xml:space="preserve">  l)  subjekti nuk ka njoftuar Bankën e Shqipërisë, për ndërprerjen e veprimtarisë për një periudhë kohore nga 1 deri në 3 muaj, siç parashikohet në nenin 24, pika 2 të kësaj rregulloreje.”;</w:t>
      </w:r>
    </w:p>
    <w:p w14:paraId="1ED2FB2F"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k) Në nenin 21, bëhen ndryshimet e mëposhtme:</w:t>
      </w:r>
    </w:p>
    <w:p w14:paraId="1EFAF951"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 xml:space="preserve">i. Përmbajtja e pikës 1, ndryshon si vijon: </w:t>
      </w:r>
    </w:p>
    <w:p w14:paraId="1D3B5798"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“1. Banka e Shqipërisë pezullon licencën e subjektit, në rast se ndaj ortakut/</w:t>
      </w:r>
      <w:proofErr w:type="spellStart"/>
      <w:r w:rsidRPr="00F801EB">
        <w:rPr>
          <w:rFonts w:ascii="Garamond" w:hAnsi="Garamond" w:cs="Times New Roman"/>
          <w:i/>
          <w:iCs/>
          <w:color w:val="000000"/>
          <w:sz w:val="24"/>
          <w:szCs w:val="24"/>
          <w:lang w:val="sq-AL"/>
        </w:rPr>
        <w:t>aksionerit</w:t>
      </w:r>
      <w:proofErr w:type="spellEnd"/>
      <w:r w:rsidRPr="00F801EB">
        <w:rPr>
          <w:rFonts w:ascii="Garamond" w:hAnsi="Garamond" w:cs="Times New Roman"/>
          <w:i/>
          <w:iCs/>
          <w:color w:val="000000"/>
          <w:sz w:val="24"/>
          <w:szCs w:val="24"/>
          <w:lang w:val="sq-AL"/>
        </w:rPr>
        <w:t xml:space="preserve"> ose administratorit fillon kryerja e hetimeve ose regjistrohet procedimi penal, deri në dhënien e vendimit për </w:t>
      </w:r>
      <w:proofErr w:type="spellStart"/>
      <w:r w:rsidRPr="00F801EB">
        <w:rPr>
          <w:rFonts w:ascii="Garamond" w:hAnsi="Garamond" w:cs="Times New Roman"/>
          <w:i/>
          <w:iCs/>
          <w:color w:val="000000"/>
          <w:sz w:val="24"/>
          <w:szCs w:val="24"/>
          <w:lang w:val="sq-AL"/>
        </w:rPr>
        <w:t>mosfillimin</w:t>
      </w:r>
      <w:proofErr w:type="spellEnd"/>
      <w:r w:rsidRPr="00F801EB">
        <w:rPr>
          <w:rFonts w:ascii="Garamond" w:hAnsi="Garamond" w:cs="Times New Roman"/>
          <w:i/>
          <w:iCs/>
          <w:color w:val="000000"/>
          <w:sz w:val="24"/>
          <w:szCs w:val="24"/>
          <w:lang w:val="sq-AL"/>
        </w:rPr>
        <w:t xml:space="preserve"> e procedimit, vendimit për pushimin e akuzës ose çështjes ose vendimit përfundimtar të gjykatës.”;</w:t>
      </w:r>
    </w:p>
    <w:p w14:paraId="089C1A6B"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Në pikën 2, përmbajtja e shkronjës “h”, ndryshon si vijon:</w:t>
      </w:r>
    </w:p>
    <w:p w14:paraId="67AE3730"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  “h) ndërpret veprimtarinë për më tepër se 3 muaj;”; </w:t>
      </w:r>
    </w:p>
    <w:p w14:paraId="21880EBF"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Në pikën 2, shkronja “i”, pas togfjalëshit “</w:t>
      </w:r>
      <w:r w:rsidRPr="00F801EB">
        <w:rPr>
          <w:rFonts w:ascii="Garamond" w:hAnsi="Garamond" w:cs="Times New Roman"/>
          <w:i/>
          <w:iCs/>
          <w:color w:val="000000"/>
          <w:sz w:val="24"/>
          <w:szCs w:val="24"/>
          <w:lang w:val="sq-AL"/>
        </w:rPr>
        <w:t>ndërpret veprimtarinë me iniciativën e tij</w:t>
      </w:r>
      <w:r w:rsidRPr="00F801EB">
        <w:rPr>
          <w:rFonts w:ascii="Garamond" w:hAnsi="Garamond" w:cs="Times New Roman"/>
          <w:color w:val="000000"/>
          <w:sz w:val="24"/>
          <w:szCs w:val="24"/>
          <w:lang w:val="sq-AL"/>
        </w:rPr>
        <w:t xml:space="preserve">”, shtohet togfjalëshi </w:t>
      </w:r>
      <w:r w:rsidRPr="00F801EB">
        <w:rPr>
          <w:rFonts w:ascii="Garamond" w:hAnsi="Garamond" w:cs="Times New Roman"/>
          <w:i/>
          <w:iCs/>
          <w:color w:val="000000"/>
          <w:sz w:val="24"/>
          <w:szCs w:val="24"/>
          <w:lang w:val="sq-AL"/>
        </w:rPr>
        <w:t>“dhe kërkon revokimin e licencës</w:t>
      </w:r>
      <w:r w:rsidRPr="00F801EB">
        <w:rPr>
          <w:rFonts w:ascii="Garamond" w:hAnsi="Garamond" w:cs="Times New Roman"/>
          <w:color w:val="000000"/>
          <w:sz w:val="24"/>
          <w:szCs w:val="24"/>
          <w:lang w:val="sq-AL"/>
        </w:rPr>
        <w:t>”;</w:t>
      </w:r>
    </w:p>
    <w:p w14:paraId="7BAA74D9"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Pas pikës 2, shtohen pikat 2/1, 2/2 dhe 2/3 me përmbajtjen e mëposhtme:</w:t>
      </w:r>
    </w:p>
    <w:p w14:paraId="5551A344"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Arial"/>
          <w:color w:val="000000"/>
          <w:sz w:val="24"/>
          <w:szCs w:val="24"/>
          <w:lang w:val="sq-AL"/>
        </w:rPr>
        <w:t>“</w:t>
      </w:r>
      <w:r w:rsidRPr="00F801EB">
        <w:rPr>
          <w:rFonts w:ascii="Garamond" w:hAnsi="Garamond" w:cs="Times New Roman"/>
          <w:i/>
          <w:iCs/>
          <w:color w:val="000000"/>
          <w:sz w:val="24"/>
          <w:szCs w:val="24"/>
          <w:lang w:val="sq-AL"/>
        </w:rPr>
        <w:t>2/1. Vendimi për pezullimin ose revokimin e licencës i komunikohet me shkrim subjektit, duke dhënë dhe arsyet përkatëse.</w:t>
      </w:r>
    </w:p>
    <w:p w14:paraId="37F13A0D"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2/2. Vendimi i pezullimit ose revokimit, hyn në fuqi në datën e përcaktuar nga Banka e Shqipërisë.</w:t>
      </w:r>
    </w:p>
    <w:p w14:paraId="3C4CD01A"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lastRenderedPageBreak/>
        <w:t>2/3. Subjekti ndalohet të kryejë veprimtarinë e këmbimit valutor pas hyrjes në fuqi të vendimit të Bankës së Shqipërisë për pezullimin apo revokimin e licencës.”;</w:t>
      </w:r>
    </w:p>
    <w:p w14:paraId="69D844F1"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v. Pas pikës 3, shtohet pika 4 me përmbajtjen e mëposhtme:</w:t>
      </w:r>
    </w:p>
    <w:p w14:paraId="28D9C70A"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“4. Subjekti ndaj të cilit është vendosur masa e revokimit të licencës nga Banka e Shqipërisë, nuk mund të aplikojë sërish për licencim.”;</w:t>
      </w:r>
    </w:p>
    <w:p w14:paraId="45B59D47"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 xml:space="preserve">l) Në nenin 22, bëhen ndryshimet e mëposhtme:  </w:t>
      </w:r>
    </w:p>
    <w:p w14:paraId="635F940B"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 xml:space="preserve">i. Përmbajtja e pikës 1, ndryshon si vijon: </w:t>
      </w:r>
    </w:p>
    <w:p w14:paraId="64BF4F5F"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“1. Banka dëgjon subjektin në përputhje me kërkesat e nenit 92 të ligjit “Për bankat në Republikën e Shqipërisë”, para vendosjes së masave ndëshkimore dhe të pezullimit ose revokimit të licencës.”;</w:t>
      </w:r>
    </w:p>
    <w:p w14:paraId="1A54E680"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Pika 2, shfuqizohet;</w:t>
      </w:r>
    </w:p>
    <w:p w14:paraId="461B810F"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m) Në nenin 24, paragrafi ekzistues numërtohet pika 1 dhe pas pikës 1, shtohen pikat 2, 3 dhe 4 me përmbajtjen e mëposhtme:</w:t>
      </w:r>
    </w:p>
    <w:p w14:paraId="2832FE02"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“2. Subjekti njofton Bankën e Shqipërisë në rast se ndërpret veprimtarinë e këmbimit valutor për një periudhë kohore nga 1 deri në 3 muaj, duke paraqitur edhe arsyet përkatëse për këtë ndërprerje.</w:t>
      </w:r>
    </w:p>
    <w:p w14:paraId="4747593C"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3. Banka e Shqipërisë ndërpret procedurat e shqyrtimit dhe vlerësimit të dokumentacionit të paraqitur për njoftimet e parashikuara në pikën 1 të këtij neni, në rast se të dhënat dhe/ose dokumentacioni i kërkuar sipas kësaj rregulloreje nuk plotësohet nga subjekti brenda 3 (tre) muajve pas datës së paraqitjes së këtij njoftimi. Në rast të ndërprerjes së procedurës së shqyrtimit të dokumentacionit, Banka e Shqipërisë njofton me shkrim subjektin. Subjekti ka të drejtë të kërkojë rifillimin e procedurës së shqyrtimit të njoftimit. E drejta për të paraqitur dokumentacionin për rifillimin e procedurës, nuk mund të ushtrohet më shumë se një here, me përjashtim të rasteve kur mosrespektimi i afatit kohor të parashikuar në këtë pikë, ka ardhur për shkaqe madhore.  </w:t>
      </w:r>
    </w:p>
    <w:p w14:paraId="173729B7"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color w:val="000000"/>
          <w:sz w:val="24"/>
          <w:szCs w:val="24"/>
          <w:lang w:val="sq-AL"/>
        </w:rPr>
      </w:pPr>
      <w:r w:rsidRPr="00F801EB">
        <w:rPr>
          <w:rFonts w:ascii="Garamond" w:hAnsi="Garamond" w:cs="Times New Roman"/>
          <w:i/>
          <w:iCs/>
          <w:color w:val="000000"/>
          <w:sz w:val="24"/>
          <w:szCs w:val="24"/>
          <w:lang w:val="sq-AL"/>
        </w:rPr>
        <w:t xml:space="preserve">   4. Banka e Shqipërisë, mund të kërkojë rast pas rasti, edhe dokumente apo informacione shtesë, nëse e çmon të nevojshme, përveç sa është parashikuar në këtë nen</w:t>
      </w:r>
      <w:r w:rsidRPr="00F801EB">
        <w:rPr>
          <w:rFonts w:ascii="Garamond" w:hAnsi="Garamond" w:cs="Calibri"/>
          <w:color w:val="000000"/>
          <w:sz w:val="24"/>
          <w:szCs w:val="24"/>
          <w:lang w:val="sq-AL"/>
        </w:rPr>
        <w:t xml:space="preserve">.”;   </w:t>
      </w:r>
    </w:p>
    <w:p w14:paraId="3A481FEE"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n) Në Aneksin 1, bëhen ndryshimet e mëposhtme:</w:t>
      </w:r>
    </w:p>
    <w:p w14:paraId="7BFDCE1D"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i. Në pikën 1, togfjalëshi “</w:t>
      </w:r>
      <w:r w:rsidRPr="00F801EB">
        <w:rPr>
          <w:rFonts w:ascii="Garamond" w:hAnsi="Garamond" w:cs="Times New Roman"/>
          <w:i/>
          <w:iCs/>
          <w:color w:val="000000"/>
          <w:sz w:val="24"/>
          <w:szCs w:val="24"/>
          <w:lang w:val="sq-AL"/>
        </w:rPr>
        <w:t>i</w:t>
      </w:r>
      <w:r w:rsidRPr="00F801EB">
        <w:rPr>
          <w:rFonts w:ascii="Garamond" w:hAnsi="Garamond" w:cs="Times New Roman"/>
          <w:color w:val="000000"/>
          <w:sz w:val="24"/>
          <w:szCs w:val="24"/>
          <w:lang w:val="sq-AL"/>
        </w:rPr>
        <w:t xml:space="preserve"> </w:t>
      </w:r>
      <w:r w:rsidRPr="00F801EB">
        <w:rPr>
          <w:rFonts w:ascii="Garamond" w:hAnsi="Garamond" w:cs="Times New Roman"/>
          <w:i/>
          <w:iCs/>
          <w:color w:val="000000"/>
          <w:sz w:val="24"/>
          <w:szCs w:val="24"/>
          <w:lang w:val="sq-AL"/>
        </w:rPr>
        <w:t>personit ose shoqërisë</w:t>
      </w:r>
      <w:r w:rsidRPr="00F801EB">
        <w:rPr>
          <w:rFonts w:ascii="Garamond" w:hAnsi="Garamond" w:cs="Times New Roman"/>
          <w:color w:val="000000"/>
          <w:sz w:val="24"/>
          <w:szCs w:val="24"/>
          <w:lang w:val="sq-AL"/>
        </w:rPr>
        <w:t>”, zëvendësohet me togfjalëshin “</w:t>
      </w:r>
      <w:r w:rsidRPr="00F801EB">
        <w:rPr>
          <w:rFonts w:ascii="Garamond" w:hAnsi="Garamond" w:cs="Times New Roman"/>
          <w:i/>
          <w:iCs/>
          <w:color w:val="000000"/>
          <w:sz w:val="24"/>
          <w:szCs w:val="24"/>
          <w:lang w:val="sq-AL"/>
        </w:rPr>
        <w:t>i shoqërisë</w:t>
      </w:r>
      <w:r w:rsidRPr="00F801EB">
        <w:rPr>
          <w:rFonts w:ascii="Garamond" w:hAnsi="Garamond" w:cs="Times New Roman"/>
          <w:color w:val="000000"/>
          <w:sz w:val="24"/>
          <w:szCs w:val="24"/>
          <w:lang w:val="sq-AL"/>
        </w:rPr>
        <w:t xml:space="preserve">”; </w:t>
      </w:r>
    </w:p>
    <w:p w14:paraId="52D93AE0"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ii</w:t>
      </w:r>
      <w:proofErr w:type="spellEnd"/>
      <w:r w:rsidRPr="00F801EB">
        <w:rPr>
          <w:rFonts w:ascii="Garamond" w:hAnsi="Garamond" w:cs="Times New Roman"/>
          <w:color w:val="000000"/>
          <w:sz w:val="24"/>
          <w:szCs w:val="24"/>
          <w:lang w:val="sq-AL"/>
        </w:rPr>
        <w:t>. Në pikën 3, togfjalëshi “</w:t>
      </w:r>
      <w:r w:rsidRPr="00F801EB">
        <w:rPr>
          <w:rFonts w:ascii="Garamond" w:hAnsi="Garamond" w:cs="Times New Roman"/>
          <w:i/>
          <w:iCs/>
          <w:color w:val="000000"/>
          <w:sz w:val="24"/>
          <w:szCs w:val="24"/>
          <w:lang w:val="sq-AL"/>
        </w:rPr>
        <w:t>në Gjykatë</w:t>
      </w:r>
      <w:r w:rsidRPr="00F801EB">
        <w:rPr>
          <w:rFonts w:ascii="Garamond" w:hAnsi="Garamond" w:cs="Times New Roman"/>
          <w:color w:val="000000"/>
          <w:sz w:val="24"/>
          <w:szCs w:val="24"/>
          <w:lang w:val="sq-AL"/>
        </w:rPr>
        <w:t>”, zëvendësohet me togfjalëshin “</w:t>
      </w:r>
      <w:r w:rsidRPr="00F801EB">
        <w:rPr>
          <w:rFonts w:ascii="Garamond" w:hAnsi="Garamond" w:cs="Times New Roman"/>
          <w:i/>
          <w:iCs/>
          <w:color w:val="000000"/>
          <w:sz w:val="24"/>
          <w:szCs w:val="24"/>
          <w:lang w:val="sq-AL"/>
        </w:rPr>
        <w:t>në Qendrën Kombëtare të Biznesit</w:t>
      </w:r>
      <w:r w:rsidRPr="00F801EB">
        <w:rPr>
          <w:rFonts w:ascii="Garamond" w:hAnsi="Garamond" w:cs="Times New Roman"/>
          <w:color w:val="000000"/>
          <w:sz w:val="24"/>
          <w:szCs w:val="24"/>
          <w:lang w:val="sq-AL"/>
        </w:rPr>
        <w:t xml:space="preserve">”; </w:t>
      </w:r>
    </w:p>
    <w:p w14:paraId="72B48574"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proofErr w:type="spellStart"/>
      <w:r w:rsidRPr="00F801EB">
        <w:rPr>
          <w:rFonts w:ascii="Garamond" w:hAnsi="Garamond" w:cs="Times New Roman"/>
          <w:color w:val="000000"/>
          <w:sz w:val="24"/>
          <w:szCs w:val="24"/>
          <w:lang w:val="sq-AL"/>
        </w:rPr>
        <w:t>iii</w:t>
      </w:r>
      <w:proofErr w:type="spellEnd"/>
      <w:r w:rsidRPr="00F801EB">
        <w:rPr>
          <w:rFonts w:ascii="Garamond" w:hAnsi="Garamond" w:cs="Times New Roman"/>
          <w:color w:val="000000"/>
          <w:sz w:val="24"/>
          <w:szCs w:val="24"/>
          <w:lang w:val="sq-AL"/>
        </w:rPr>
        <w:t xml:space="preserve">. Përmbajtja e pikës 5 ndryshohet në </w:t>
      </w:r>
      <w:r w:rsidRPr="00F801EB">
        <w:rPr>
          <w:rFonts w:ascii="Garamond" w:hAnsi="Garamond" w:cs="Times New Roman"/>
          <w:i/>
          <w:iCs/>
          <w:color w:val="000000"/>
          <w:sz w:val="24"/>
          <w:szCs w:val="24"/>
          <w:lang w:val="sq-AL"/>
        </w:rPr>
        <w:t>“Numri unik i identifikimit të subjektit (</w:t>
      </w:r>
      <w:proofErr w:type="spellStart"/>
      <w:r w:rsidRPr="00F801EB">
        <w:rPr>
          <w:rFonts w:ascii="Garamond" w:hAnsi="Garamond" w:cs="Times New Roman"/>
          <w:i/>
          <w:iCs/>
          <w:color w:val="000000"/>
          <w:sz w:val="24"/>
          <w:szCs w:val="24"/>
          <w:lang w:val="sq-AL"/>
        </w:rPr>
        <w:t>NUIS</w:t>
      </w:r>
      <w:proofErr w:type="spellEnd"/>
      <w:r w:rsidRPr="00F801EB">
        <w:rPr>
          <w:rFonts w:ascii="Garamond" w:hAnsi="Garamond" w:cs="Times New Roman"/>
          <w:i/>
          <w:iCs/>
          <w:color w:val="000000"/>
          <w:sz w:val="24"/>
          <w:szCs w:val="24"/>
          <w:lang w:val="sq-AL"/>
        </w:rPr>
        <w:t>).”</w:t>
      </w:r>
      <w:r w:rsidRPr="00F801EB">
        <w:rPr>
          <w:rFonts w:ascii="Garamond" w:hAnsi="Garamond" w:cs="Times New Roman"/>
          <w:color w:val="000000"/>
          <w:sz w:val="24"/>
          <w:szCs w:val="24"/>
          <w:lang w:val="sq-AL"/>
        </w:rPr>
        <w:t>;</w:t>
      </w:r>
    </w:p>
    <w:p w14:paraId="1270AA6E"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iv</w:t>
      </w:r>
      <w:proofErr w:type="spellEnd"/>
      <w:r w:rsidRPr="00F801EB">
        <w:rPr>
          <w:rFonts w:ascii="Garamond" w:hAnsi="Garamond" w:cs="Times New Roman"/>
          <w:color w:val="000000"/>
          <w:sz w:val="24"/>
          <w:szCs w:val="24"/>
          <w:lang w:val="sq-AL"/>
        </w:rPr>
        <w:t>. Në pikën 8, togfjalëshi “</w:t>
      </w:r>
      <w:r w:rsidRPr="00F801EB">
        <w:rPr>
          <w:rFonts w:ascii="Garamond" w:hAnsi="Garamond" w:cs="Times New Roman"/>
          <w:i/>
          <w:iCs/>
          <w:color w:val="000000"/>
          <w:sz w:val="24"/>
          <w:szCs w:val="24"/>
          <w:lang w:val="sq-AL"/>
        </w:rPr>
        <w:t>Numri i telefonit, i faksit</w:t>
      </w:r>
      <w:r w:rsidRPr="00F801EB">
        <w:rPr>
          <w:rFonts w:ascii="Garamond" w:hAnsi="Garamond" w:cs="Times New Roman"/>
          <w:color w:val="000000"/>
          <w:sz w:val="24"/>
          <w:szCs w:val="24"/>
          <w:lang w:val="sq-AL"/>
        </w:rPr>
        <w:t>”, zëvendësohet me togfjalëshin “</w:t>
      </w:r>
      <w:r w:rsidRPr="00F801EB">
        <w:rPr>
          <w:rFonts w:ascii="Garamond" w:hAnsi="Garamond" w:cs="Times New Roman"/>
          <w:i/>
          <w:iCs/>
          <w:color w:val="000000"/>
          <w:sz w:val="24"/>
          <w:szCs w:val="24"/>
          <w:lang w:val="sq-AL"/>
        </w:rPr>
        <w:t>Numri i telefonit</w:t>
      </w:r>
      <w:r w:rsidRPr="00F801EB">
        <w:rPr>
          <w:rFonts w:ascii="Garamond" w:hAnsi="Garamond" w:cs="Times New Roman"/>
          <w:color w:val="000000"/>
          <w:sz w:val="24"/>
          <w:szCs w:val="24"/>
          <w:lang w:val="sq-AL"/>
        </w:rPr>
        <w:t xml:space="preserve">”; </w:t>
      </w:r>
    </w:p>
    <w:p w14:paraId="0746F809"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v. Në pikën 9, pas togfjalëshit “</w:t>
      </w:r>
      <w:r w:rsidRPr="00F801EB">
        <w:rPr>
          <w:rFonts w:ascii="Garamond" w:hAnsi="Garamond" w:cs="Times New Roman"/>
          <w:i/>
          <w:iCs/>
          <w:color w:val="000000"/>
          <w:sz w:val="24"/>
          <w:szCs w:val="24"/>
          <w:lang w:val="sq-AL"/>
        </w:rPr>
        <w:t>veprimtarinë e këmbimit valutor</w:t>
      </w:r>
      <w:r w:rsidRPr="00F801EB">
        <w:rPr>
          <w:rFonts w:ascii="Garamond" w:hAnsi="Garamond" w:cs="Times New Roman"/>
          <w:color w:val="000000"/>
          <w:sz w:val="24"/>
          <w:szCs w:val="24"/>
          <w:lang w:val="sq-AL"/>
        </w:rPr>
        <w:t>”, shtohet fjala “</w:t>
      </w:r>
      <w:r w:rsidRPr="00F801EB">
        <w:rPr>
          <w:rFonts w:ascii="Garamond" w:hAnsi="Garamond" w:cs="Times New Roman"/>
          <w:i/>
          <w:iCs/>
          <w:color w:val="000000"/>
          <w:sz w:val="24"/>
          <w:szCs w:val="24"/>
          <w:lang w:val="sq-AL"/>
        </w:rPr>
        <w:t>(</w:t>
      </w:r>
      <w:proofErr w:type="spellStart"/>
      <w:r w:rsidRPr="00F801EB">
        <w:rPr>
          <w:rFonts w:ascii="Garamond" w:hAnsi="Garamond" w:cs="Times New Roman"/>
          <w:i/>
          <w:iCs/>
          <w:color w:val="000000"/>
          <w:sz w:val="24"/>
          <w:szCs w:val="24"/>
          <w:lang w:val="sq-AL"/>
        </w:rPr>
        <w:t>kambist</w:t>
      </w:r>
      <w:proofErr w:type="spellEnd"/>
      <w:r w:rsidRPr="00F801EB">
        <w:rPr>
          <w:rFonts w:ascii="Garamond" w:hAnsi="Garamond" w:cs="Times New Roman"/>
          <w:i/>
          <w:iCs/>
          <w:color w:val="000000"/>
          <w:sz w:val="24"/>
          <w:szCs w:val="24"/>
          <w:lang w:val="sq-AL"/>
        </w:rPr>
        <w:t>)</w:t>
      </w:r>
      <w:r w:rsidRPr="00F801EB">
        <w:rPr>
          <w:rFonts w:ascii="Garamond" w:hAnsi="Garamond" w:cs="Times New Roman"/>
          <w:color w:val="000000"/>
          <w:sz w:val="24"/>
          <w:szCs w:val="24"/>
          <w:lang w:val="sq-AL"/>
        </w:rPr>
        <w:t xml:space="preserve">”; </w:t>
      </w:r>
    </w:p>
    <w:p w14:paraId="48A61BFA"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801EB">
        <w:rPr>
          <w:rFonts w:ascii="Garamond" w:hAnsi="Garamond" w:cs="Times New Roman"/>
          <w:color w:val="000000"/>
          <w:sz w:val="24"/>
          <w:szCs w:val="24"/>
          <w:lang w:val="sq-AL"/>
        </w:rPr>
        <w:t>vi</w:t>
      </w:r>
      <w:proofErr w:type="spellEnd"/>
      <w:r w:rsidRPr="00F801EB">
        <w:rPr>
          <w:rFonts w:ascii="Garamond" w:hAnsi="Garamond" w:cs="Times New Roman"/>
          <w:color w:val="000000"/>
          <w:sz w:val="24"/>
          <w:szCs w:val="24"/>
          <w:lang w:val="sq-AL"/>
        </w:rPr>
        <w:t>. Në pikën 10, pas fjalisë “</w:t>
      </w:r>
      <w:r w:rsidRPr="00F801EB">
        <w:rPr>
          <w:rFonts w:ascii="Garamond" w:hAnsi="Garamond" w:cs="Times New Roman"/>
          <w:i/>
          <w:iCs/>
          <w:color w:val="000000"/>
          <w:sz w:val="24"/>
          <w:szCs w:val="24"/>
          <w:lang w:val="sq-AL"/>
        </w:rPr>
        <w:t>Adresën/at elektronike të zyrës së këmbimit valutor.</w:t>
      </w:r>
      <w:r w:rsidRPr="00F801EB">
        <w:rPr>
          <w:rFonts w:ascii="Garamond" w:hAnsi="Garamond" w:cs="Times New Roman"/>
          <w:color w:val="000000"/>
          <w:sz w:val="24"/>
          <w:szCs w:val="24"/>
          <w:lang w:val="sq-AL"/>
        </w:rPr>
        <w:t>”, shtohet:</w:t>
      </w:r>
    </w:p>
    <w:p w14:paraId="278C3431"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“_____________________________________________________________”</w:t>
      </w:r>
    </w:p>
    <w:p w14:paraId="48BB04A2"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o) Anekset nr. 2, nr. 3 dhe nr. 4 të rregullores, shfuqizohen;</w:t>
      </w:r>
    </w:p>
    <w:p w14:paraId="49AD839B"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p) Përmbajtja e aneksit nr. 5 të rregullores ndryshohet, sipas përmbajtjes në aneksin 1 bashkëlidhur këtij vendimi.</w:t>
      </w:r>
    </w:p>
    <w:p w14:paraId="209EB976"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q) Në aneksin nr. 6 të rregullores, togfjalëshi “</w:t>
      </w:r>
      <w:r w:rsidRPr="00F801EB">
        <w:rPr>
          <w:rFonts w:ascii="Garamond" w:hAnsi="Garamond" w:cs="Times New Roman"/>
          <w:i/>
          <w:iCs/>
          <w:color w:val="000000"/>
          <w:sz w:val="24"/>
          <w:szCs w:val="24"/>
          <w:lang w:val="sq-AL"/>
        </w:rPr>
        <w:t>(telefon dhe/ose faks, e-</w:t>
      </w:r>
      <w:proofErr w:type="spellStart"/>
      <w:r w:rsidRPr="00F801EB">
        <w:rPr>
          <w:rFonts w:ascii="Garamond" w:hAnsi="Garamond" w:cs="Times New Roman"/>
          <w:i/>
          <w:iCs/>
          <w:color w:val="000000"/>
          <w:sz w:val="24"/>
          <w:szCs w:val="24"/>
          <w:lang w:val="sq-AL"/>
        </w:rPr>
        <w:t>mail</w:t>
      </w:r>
      <w:proofErr w:type="spellEnd"/>
      <w:r w:rsidRPr="00F801EB">
        <w:rPr>
          <w:rFonts w:ascii="Garamond" w:hAnsi="Garamond" w:cs="Times New Roman"/>
          <w:i/>
          <w:iCs/>
          <w:color w:val="000000"/>
          <w:sz w:val="24"/>
          <w:szCs w:val="24"/>
          <w:lang w:val="sq-AL"/>
        </w:rPr>
        <w:t>)</w:t>
      </w:r>
      <w:r w:rsidRPr="00F801EB">
        <w:rPr>
          <w:rFonts w:ascii="Garamond" w:hAnsi="Garamond" w:cs="Times New Roman"/>
          <w:color w:val="000000"/>
          <w:sz w:val="24"/>
          <w:szCs w:val="24"/>
          <w:lang w:val="sq-AL"/>
        </w:rPr>
        <w:t>”, zëvendësohet me togfjalëshin “</w:t>
      </w:r>
      <w:r w:rsidRPr="00F801EB">
        <w:rPr>
          <w:rFonts w:ascii="Garamond" w:hAnsi="Garamond" w:cs="Times New Roman"/>
          <w:i/>
          <w:iCs/>
          <w:color w:val="000000"/>
          <w:sz w:val="24"/>
          <w:szCs w:val="24"/>
          <w:lang w:val="sq-AL"/>
        </w:rPr>
        <w:t>(telefon, e-</w:t>
      </w:r>
      <w:proofErr w:type="spellStart"/>
      <w:r w:rsidRPr="00F801EB">
        <w:rPr>
          <w:rFonts w:ascii="Garamond" w:hAnsi="Garamond" w:cs="Times New Roman"/>
          <w:i/>
          <w:iCs/>
          <w:color w:val="000000"/>
          <w:sz w:val="24"/>
          <w:szCs w:val="24"/>
          <w:lang w:val="sq-AL"/>
        </w:rPr>
        <w:t>mail</w:t>
      </w:r>
      <w:proofErr w:type="spellEnd"/>
      <w:r w:rsidRPr="00F801EB">
        <w:rPr>
          <w:rFonts w:ascii="Garamond" w:hAnsi="Garamond" w:cs="Times New Roman"/>
          <w:i/>
          <w:iCs/>
          <w:color w:val="000000"/>
          <w:sz w:val="24"/>
          <w:szCs w:val="24"/>
          <w:lang w:val="sq-AL"/>
        </w:rPr>
        <w:t>)”</w:t>
      </w:r>
      <w:r w:rsidRPr="00F801EB">
        <w:rPr>
          <w:rFonts w:ascii="Garamond" w:hAnsi="Garamond" w:cs="Times New Roman"/>
          <w:color w:val="000000"/>
          <w:sz w:val="24"/>
          <w:szCs w:val="24"/>
          <w:lang w:val="sq-AL"/>
        </w:rPr>
        <w:t>, si dhe hiqet togfjalëshi</w:t>
      </w:r>
      <w:r w:rsidRPr="00F801EB">
        <w:rPr>
          <w:rFonts w:ascii="Garamond" w:hAnsi="Garamond" w:cs="Times New Roman"/>
          <w:i/>
          <w:iCs/>
          <w:color w:val="000000"/>
          <w:sz w:val="24"/>
          <w:szCs w:val="24"/>
          <w:lang w:val="sq-AL"/>
        </w:rPr>
        <w:t xml:space="preserve"> “dhe/ose të veprimtarisë së shërbimeve të pagesave dhe të transferimit të parave, në rastet e parashikuara dhe të lejuara nga kjo rregullore”</w:t>
      </w:r>
      <w:r w:rsidRPr="00F801EB">
        <w:rPr>
          <w:rFonts w:ascii="Garamond" w:hAnsi="Garamond" w:cs="Times New Roman"/>
          <w:color w:val="000000"/>
          <w:sz w:val="24"/>
          <w:szCs w:val="24"/>
          <w:lang w:val="sq-AL"/>
        </w:rPr>
        <w:t>;</w:t>
      </w:r>
    </w:p>
    <w:p w14:paraId="043DA9C7"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r) Në aneksin nr. 7 të rregullores, hiqet togfjalëshi</w:t>
      </w:r>
      <w:r w:rsidRPr="00F801EB">
        <w:rPr>
          <w:rFonts w:ascii="Garamond" w:hAnsi="Garamond" w:cs="Times New Roman"/>
          <w:i/>
          <w:iCs/>
          <w:color w:val="000000"/>
          <w:sz w:val="24"/>
          <w:szCs w:val="24"/>
          <w:lang w:val="sq-AL"/>
        </w:rPr>
        <w:t xml:space="preserve"> “dhe/ose të veprimtarisë së shërbimeve të pagesave dhe transferimit të parave, në rastet e parashikuara dhe të lejuara nga kjo rregullore”, </w:t>
      </w:r>
      <w:r w:rsidRPr="00F801EB">
        <w:rPr>
          <w:rFonts w:ascii="Garamond" w:hAnsi="Garamond" w:cs="Times New Roman"/>
          <w:color w:val="000000"/>
          <w:sz w:val="24"/>
          <w:szCs w:val="24"/>
          <w:lang w:val="sq-AL"/>
        </w:rPr>
        <w:t>si dhe shtohet paragrafi me përmbajtjen e mëposhtme:</w:t>
      </w:r>
    </w:p>
    <w:p w14:paraId="4CA6FCD3" w14:textId="6014A2DA"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 xml:space="preserve">“Subjekti ka detyrimin të njoftojë strukturat përkatëse të Policisë Vendore për adresën ku do të hapen zyrat, si dhe të pajiset për ambientet në të cilat do të ushtrojë veprimtarinë e tij, me dokumentin “Vërtetim </w:t>
      </w:r>
      <w:r w:rsidR="00685D73">
        <w:rPr>
          <w:rFonts w:ascii="Garamond" w:hAnsi="Garamond" w:cs="Times New Roman"/>
          <w:i/>
          <w:iCs/>
          <w:color w:val="000000"/>
          <w:sz w:val="24"/>
          <w:szCs w:val="24"/>
          <w:lang w:val="sq-AL"/>
        </w:rPr>
        <w:t>s</w:t>
      </w:r>
      <w:r w:rsidRPr="00F801EB">
        <w:rPr>
          <w:rFonts w:ascii="Garamond" w:hAnsi="Garamond" w:cs="Times New Roman"/>
          <w:i/>
          <w:iCs/>
          <w:color w:val="000000"/>
          <w:sz w:val="24"/>
          <w:szCs w:val="24"/>
          <w:lang w:val="sq-AL"/>
        </w:rPr>
        <w:t xml:space="preserve">igurie”, lëshuar nga </w:t>
      </w:r>
      <w:r w:rsidR="00685D73" w:rsidRPr="00F801EB">
        <w:rPr>
          <w:rFonts w:ascii="Garamond" w:hAnsi="Garamond" w:cs="Times New Roman"/>
          <w:i/>
          <w:iCs/>
          <w:color w:val="000000"/>
          <w:sz w:val="24"/>
          <w:szCs w:val="24"/>
          <w:lang w:val="sq-AL"/>
        </w:rPr>
        <w:t xml:space="preserve">drejtoritë vendore të </w:t>
      </w:r>
      <w:r w:rsidRPr="00F801EB">
        <w:rPr>
          <w:rFonts w:ascii="Garamond" w:hAnsi="Garamond" w:cs="Times New Roman"/>
          <w:i/>
          <w:iCs/>
          <w:color w:val="000000"/>
          <w:sz w:val="24"/>
          <w:szCs w:val="24"/>
          <w:lang w:val="sq-AL"/>
        </w:rPr>
        <w:t xml:space="preserve">Policisë, siç parashikohet në nenin 13, pikat 5 dhe 6 të rregullores 48/2024 “Për kërkesat minimale të sigurisë në ambientet në të cilat kryhen veprimtaritë bankare dhe financiare”. Këto dokumente duhet të jenë të </w:t>
      </w:r>
      <w:proofErr w:type="spellStart"/>
      <w:r w:rsidRPr="00F801EB">
        <w:rPr>
          <w:rFonts w:ascii="Garamond" w:hAnsi="Garamond" w:cs="Times New Roman"/>
          <w:i/>
          <w:iCs/>
          <w:color w:val="000000"/>
          <w:sz w:val="24"/>
          <w:szCs w:val="24"/>
          <w:lang w:val="sq-AL"/>
        </w:rPr>
        <w:t>disponueshme</w:t>
      </w:r>
      <w:proofErr w:type="spellEnd"/>
      <w:r w:rsidRPr="00F801EB">
        <w:rPr>
          <w:rFonts w:ascii="Garamond" w:hAnsi="Garamond" w:cs="Times New Roman"/>
          <w:i/>
          <w:iCs/>
          <w:color w:val="000000"/>
          <w:sz w:val="24"/>
          <w:szCs w:val="24"/>
          <w:lang w:val="sq-AL"/>
        </w:rPr>
        <w:t xml:space="preserve"> kur Banka kryen inspektimin sipas parashikimit të pikës 4, të nenit 9 të kësaj rregulloreje.”;</w:t>
      </w:r>
    </w:p>
    <w:p w14:paraId="127B0234"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lastRenderedPageBreak/>
        <w:t>s) Në aneksin nr. 9 të rregullores, togfjalëshi “</w:t>
      </w:r>
      <w:proofErr w:type="spellStart"/>
      <w:r w:rsidRPr="00F801EB">
        <w:rPr>
          <w:rFonts w:ascii="Garamond" w:hAnsi="Garamond" w:cs="Times New Roman"/>
          <w:i/>
          <w:iCs/>
          <w:color w:val="000000"/>
          <w:sz w:val="24"/>
          <w:szCs w:val="24"/>
          <w:lang w:val="sq-AL"/>
        </w:rPr>
        <w:t>aksioneri</w:t>
      </w:r>
      <w:proofErr w:type="spellEnd"/>
      <w:r w:rsidRPr="00F801EB">
        <w:rPr>
          <w:rFonts w:ascii="Garamond" w:hAnsi="Garamond" w:cs="Times New Roman"/>
          <w:i/>
          <w:iCs/>
          <w:color w:val="000000"/>
          <w:sz w:val="24"/>
          <w:szCs w:val="24"/>
          <w:lang w:val="sq-AL"/>
        </w:rPr>
        <w:t>/ortaku/administratori i propozuar</w:t>
      </w:r>
      <w:r w:rsidRPr="00F801EB">
        <w:rPr>
          <w:rFonts w:ascii="Garamond" w:hAnsi="Garamond" w:cs="Times New Roman"/>
          <w:color w:val="000000"/>
          <w:sz w:val="24"/>
          <w:szCs w:val="24"/>
          <w:lang w:val="sq-AL"/>
        </w:rPr>
        <w:t>”, zëvendësohet me togfjalëshin “</w:t>
      </w:r>
      <w:proofErr w:type="spellStart"/>
      <w:r w:rsidRPr="00F801EB">
        <w:rPr>
          <w:rFonts w:ascii="Garamond" w:hAnsi="Garamond" w:cs="Times New Roman"/>
          <w:i/>
          <w:iCs/>
          <w:color w:val="000000"/>
          <w:sz w:val="24"/>
          <w:szCs w:val="24"/>
          <w:lang w:val="sq-AL"/>
        </w:rPr>
        <w:t>aksioneri</w:t>
      </w:r>
      <w:proofErr w:type="spellEnd"/>
      <w:r w:rsidRPr="00F801EB">
        <w:rPr>
          <w:rFonts w:ascii="Garamond" w:hAnsi="Garamond" w:cs="Times New Roman"/>
          <w:i/>
          <w:iCs/>
          <w:color w:val="000000"/>
          <w:sz w:val="24"/>
          <w:szCs w:val="24"/>
          <w:lang w:val="sq-AL"/>
        </w:rPr>
        <w:t>/ortaku/pronari përfitues/administratori</w:t>
      </w:r>
      <w:r w:rsidRPr="00F801EB">
        <w:rPr>
          <w:rFonts w:ascii="Garamond" w:hAnsi="Garamond" w:cs="Times New Roman"/>
          <w:color w:val="000000"/>
          <w:sz w:val="24"/>
          <w:szCs w:val="24"/>
          <w:lang w:val="sq-AL"/>
        </w:rPr>
        <w:t>”, togfjalëshi “</w:t>
      </w:r>
      <w:proofErr w:type="spellStart"/>
      <w:r w:rsidRPr="00F801EB">
        <w:rPr>
          <w:rFonts w:ascii="Garamond" w:hAnsi="Garamond" w:cs="Times New Roman"/>
          <w:i/>
          <w:iCs/>
          <w:color w:val="000000"/>
          <w:sz w:val="24"/>
          <w:szCs w:val="24"/>
          <w:lang w:val="sq-AL"/>
        </w:rPr>
        <w:t>aksionerin</w:t>
      </w:r>
      <w:proofErr w:type="spellEnd"/>
      <w:r w:rsidRPr="00F801EB">
        <w:rPr>
          <w:rFonts w:ascii="Garamond" w:hAnsi="Garamond" w:cs="Times New Roman"/>
          <w:i/>
          <w:iCs/>
          <w:color w:val="000000"/>
          <w:sz w:val="24"/>
          <w:szCs w:val="24"/>
          <w:lang w:val="sq-AL"/>
        </w:rPr>
        <w:t>/ortakun/administratorin e propozuar</w:t>
      </w:r>
      <w:r w:rsidRPr="00F801EB">
        <w:rPr>
          <w:rFonts w:ascii="Garamond" w:hAnsi="Garamond" w:cs="Times New Roman"/>
          <w:color w:val="000000"/>
          <w:sz w:val="24"/>
          <w:szCs w:val="24"/>
          <w:lang w:val="sq-AL"/>
        </w:rPr>
        <w:t xml:space="preserve">”, zëvendësohet me togfjalëshin </w:t>
      </w:r>
      <w:r w:rsidRPr="00F801EB">
        <w:rPr>
          <w:rFonts w:ascii="Garamond" w:hAnsi="Garamond" w:cs="Times New Roman"/>
          <w:i/>
          <w:iCs/>
          <w:color w:val="000000"/>
          <w:sz w:val="24"/>
          <w:szCs w:val="24"/>
          <w:lang w:val="sq-AL"/>
        </w:rPr>
        <w:t>“</w:t>
      </w:r>
      <w:proofErr w:type="spellStart"/>
      <w:r w:rsidRPr="00F801EB">
        <w:rPr>
          <w:rFonts w:ascii="Garamond" w:hAnsi="Garamond" w:cs="Times New Roman"/>
          <w:i/>
          <w:iCs/>
          <w:color w:val="000000"/>
          <w:sz w:val="24"/>
          <w:szCs w:val="24"/>
          <w:lang w:val="sq-AL"/>
        </w:rPr>
        <w:t>aksionerin</w:t>
      </w:r>
      <w:proofErr w:type="spellEnd"/>
      <w:r w:rsidRPr="00F801EB">
        <w:rPr>
          <w:rFonts w:ascii="Garamond" w:hAnsi="Garamond" w:cs="Times New Roman"/>
          <w:i/>
          <w:iCs/>
          <w:color w:val="000000"/>
          <w:sz w:val="24"/>
          <w:szCs w:val="24"/>
          <w:lang w:val="sq-AL"/>
        </w:rPr>
        <w:t>/ortakun/pronarin përfitues/administratorin</w:t>
      </w:r>
      <w:r w:rsidRPr="00F801EB">
        <w:rPr>
          <w:rFonts w:ascii="Garamond" w:hAnsi="Garamond" w:cs="Times New Roman"/>
          <w:color w:val="000000"/>
          <w:sz w:val="24"/>
          <w:szCs w:val="24"/>
          <w:lang w:val="sq-AL"/>
        </w:rPr>
        <w:t>” dhe togfjalëshi “</w:t>
      </w:r>
      <w:proofErr w:type="spellStart"/>
      <w:r w:rsidRPr="00F801EB">
        <w:rPr>
          <w:rFonts w:ascii="Garamond" w:hAnsi="Garamond" w:cs="Times New Roman"/>
          <w:i/>
          <w:iCs/>
          <w:color w:val="000000"/>
          <w:sz w:val="24"/>
          <w:szCs w:val="24"/>
          <w:lang w:val="sq-AL"/>
        </w:rPr>
        <w:t>aksionerit</w:t>
      </w:r>
      <w:proofErr w:type="spellEnd"/>
      <w:r w:rsidRPr="00F801EB">
        <w:rPr>
          <w:rFonts w:ascii="Garamond" w:hAnsi="Garamond" w:cs="Times New Roman"/>
          <w:i/>
          <w:iCs/>
          <w:color w:val="000000"/>
          <w:sz w:val="24"/>
          <w:szCs w:val="24"/>
          <w:lang w:val="sq-AL"/>
        </w:rPr>
        <w:t>/ ortakut/administratorit të propozuar</w:t>
      </w:r>
      <w:r w:rsidRPr="00F801EB">
        <w:rPr>
          <w:rFonts w:ascii="Garamond" w:hAnsi="Garamond" w:cs="Times New Roman"/>
          <w:color w:val="000000"/>
          <w:sz w:val="24"/>
          <w:szCs w:val="24"/>
          <w:lang w:val="sq-AL"/>
        </w:rPr>
        <w:t xml:space="preserve">”, zëvendësohet me togfjalëshin </w:t>
      </w:r>
      <w:r w:rsidRPr="00F801EB">
        <w:rPr>
          <w:rFonts w:ascii="Garamond" w:hAnsi="Garamond" w:cs="Times New Roman"/>
          <w:i/>
          <w:iCs/>
          <w:color w:val="000000"/>
          <w:sz w:val="24"/>
          <w:szCs w:val="24"/>
          <w:lang w:val="sq-AL"/>
        </w:rPr>
        <w:t>“</w:t>
      </w:r>
      <w:proofErr w:type="spellStart"/>
      <w:r w:rsidRPr="00F801EB">
        <w:rPr>
          <w:rFonts w:ascii="Garamond" w:hAnsi="Garamond" w:cs="Times New Roman"/>
          <w:i/>
          <w:iCs/>
          <w:color w:val="000000"/>
          <w:sz w:val="24"/>
          <w:szCs w:val="24"/>
          <w:lang w:val="sq-AL"/>
        </w:rPr>
        <w:t>aksionerit</w:t>
      </w:r>
      <w:proofErr w:type="spellEnd"/>
      <w:r w:rsidRPr="00F801EB">
        <w:rPr>
          <w:rFonts w:ascii="Garamond" w:hAnsi="Garamond" w:cs="Times New Roman"/>
          <w:i/>
          <w:iCs/>
          <w:color w:val="000000"/>
          <w:sz w:val="24"/>
          <w:szCs w:val="24"/>
          <w:lang w:val="sq-AL"/>
        </w:rPr>
        <w:t>/ortakut/pronarit përfitues/administratorit</w:t>
      </w:r>
      <w:r w:rsidRPr="00F801EB">
        <w:rPr>
          <w:rFonts w:ascii="Garamond" w:hAnsi="Garamond" w:cs="Times New Roman"/>
          <w:color w:val="000000"/>
          <w:sz w:val="24"/>
          <w:szCs w:val="24"/>
          <w:lang w:val="sq-AL"/>
        </w:rPr>
        <w:t>”, si dhe shtohet paragrafi me përmbajtjen e mëposhtme:</w:t>
      </w:r>
    </w:p>
    <w:p w14:paraId="14103A51" w14:textId="70542629" w:rsidR="00F018E6" w:rsidRPr="00F801EB" w:rsidRDefault="00F018E6" w:rsidP="00F018E6">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801EB">
        <w:rPr>
          <w:rFonts w:ascii="Garamond" w:hAnsi="Garamond" w:cs="Times New Roman"/>
          <w:i/>
          <w:iCs/>
          <w:color w:val="000000"/>
          <w:sz w:val="24"/>
          <w:szCs w:val="24"/>
          <w:lang w:val="sq-AL"/>
        </w:rPr>
        <w:t>“</w:t>
      </w:r>
      <w:r w:rsidRPr="00685D73">
        <w:rPr>
          <w:rFonts w:ascii="Garamond" w:hAnsi="Garamond" w:cs="Times New Roman"/>
          <w:i/>
          <w:iCs/>
          <w:color w:val="000000"/>
          <w:sz w:val="24"/>
          <w:szCs w:val="24"/>
          <w:lang w:val="sq-AL"/>
        </w:rPr>
        <w:t>Shënim</w:t>
      </w:r>
      <w:r w:rsidR="00685D73">
        <w:rPr>
          <w:rFonts w:ascii="Garamond" w:hAnsi="Garamond" w:cs="Times New Roman"/>
          <w:i/>
          <w:iCs/>
          <w:color w:val="000000"/>
          <w:sz w:val="24"/>
          <w:szCs w:val="24"/>
          <w:lang w:val="sq-AL"/>
        </w:rPr>
        <w:t>.</w:t>
      </w:r>
      <w:r w:rsidRPr="00F801EB">
        <w:rPr>
          <w:rFonts w:ascii="Garamond" w:hAnsi="Garamond" w:cs="Times New Roman"/>
          <w:i/>
          <w:iCs/>
          <w:color w:val="000000"/>
          <w:sz w:val="24"/>
          <w:szCs w:val="24"/>
          <w:lang w:val="sq-AL"/>
        </w:rPr>
        <w:t xml:space="preserve"> Për qëllime të plotësimit të këtij formulari, lidhje familjare me një person do të konsiderohen të afërmit e ngushtë sipas përcaktimeve të nenit 4, pika 10</w:t>
      </w:r>
      <w:r w:rsidR="00685D73">
        <w:rPr>
          <w:rFonts w:ascii="Garamond" w:hAnsi="Garamond" w:cs="Times New Roman"/>
          <w:i/>
          <w:iCs/>
          <w:color w:val="000000"/>
          <w:sz w:val="24"/>
          <w:szCs w:val="24"/>
          <w:lang w:val="sq-AL"/>
        </w:rPr>
        <w:t>,</w:t>
      </w:r>
      <w:r w:rsidRPr="00F801EB">
        <w:rPr>
          <w:rFonts w:ascii="Garamond" w:hAnsi="Garamond" w:cs="Times New Roman"/>
          <w:i/>
          <w:iCs/>
          <w:color w:val="000000"/>
          <w:sz w:val="24"/>
          <w:szCs w:val="24"/>
          <w:lang w:val="sq-AL"/>
        </w:rPr>
        <w:t xml:space="preserve"> të ligjit nr. 9662, datë 18.12.2006</w:t>
      </w:r>
      <w:r w:rsidR="00685D73">
        <w:rPr>
          <w:rFonts w:ascii="Garamond" w:hAnsi="Garamond" w:cs="Times New Roman"/>
          <w:i/>
          <w:iCs/>
          <w:color w:val="000000"/>
          <w:sz w:val="24"/>
          <w:szCs w:val="24"/>
          <w:lang w:val="sq-AL"/>
        </w:rPr>
        <w:t>,</w:t>
      </w:r>
      <w:r w:rsidRPr="00F801EB">
        <w:rPr>
          <w:rFonts w:ascii="Garamond" w:hAnsi="Garamond" w:cs="Times New Roman"/>
          <w:i/>
          <w:iCs/>
          <w:color w:val="000000"/>
          <w:sz w:val="24"/>
          <w:szCs w:val="24"/>
          <w:lang w:val="sq-AL"/>
        </w:rPr>
        <w:t xml:space="preserve"> “Për bankat në Republikën e Shqipërisë”, ku përfshihen: a) fëmijët (ose të birësuarit); b) fëmijët e fëmijëve; c) bashkëshorti/ja; d) prindërit; e) vëllezërit, motrat, si dhe fëmijët e tyre; f) personat në kujdestarinë e tij.”;</w:t>
      </w:r>
    </w:p>
    <w:p w14:paraId="4D99FC75" w14:textId="77777777" w:rsidR="00F018E6" w:rsidRPr="00F801EB" w:rsidRDefault="00F018E6" w:rsidP="00F018E6">
      <w:pPr>
        <w:autoSpaceDE w:val="0"/>
        <w:autoSpaceDN w:val="0"/>
        <w:adjustRightInd w:val="0"/>
        <w:spacing w:after="0" w:line="240" w:lineRule="auto"/>
        <w:ind w:firstLine="284"/>
        <w:jc w:val="both"/>
        <w:rPr>
          <w:rFonts w:ascii="Garamond" w:hAnsi="Garamond" w:cs="Calibri"/>
          <w:i/>
          <w:iCs/>
          <w:color w:val="000000"/>
          <w:sz w:val="24"/>
          <w:szCs w:val="24"/>
          <w:lang w:val="sq-AL"/>
        </w:rPr>
      </w:pPr>
      <w:r w:rsidRPr="00F801EB">
        <w:rPr>
          <w:rFonts w:ascii="Garamond" w:hAnsi="Garamond" w:cs="Times New Roman"/>
          <w:color w:val="000000"/>
          <w:sz w:val="24"/>
          <w:szCs w:val="24"/>
          <w:lang w:val="sq-AL"/>
        </w:rPr>
        <w:t>t) Pas aneksit nr. 9, shtohet aneksi nr. 10, sipas përmbajtjes në aneksin 2 bashkëlidhur këtij vendimi.</w:t>
      </w:r>
    </w:p>
    <w:p w14:paraId="2776F5D6" w14:textId="77777777" w:rsidR="00F018E6" w:rsidRPr="00F801EB" w:rsidRDefault="00F018E6" w:rsidP="00F018E6">
      <w:pPr>
        <w:tabs>
          <w:tab w:val="left" w:pos="420"/>
        </w:tabs>
        <w:autoSpaceDE w:val="0"/>
        <w:autoSpaceDN w:val="0"/>
        <w:adjustRightInd w:val="0"/>
        <w:spacing w:after="0" w:line="240" w:lineRule="auto"/>
        <w:ind w:firstLine="284"/>
        <w:jc w:val="both"/>
        <w:rPr>
          <w:rFonts w:ascii="Garamond" w:hAnsi="Garamond" w:cs="Calibri"/>
          <w:color w:val="000000"/>
          <w:sz w:val="24"/>
          <w:szCs w:val="24"/>
          <w:lang w:val="sq-AL"/>
        </w:rPr>
      </w:pPr>
      <w:r w:rsidRPr="00F801EB">
        <w:rPr>
          <w:rFonts w:ascii="Garamond" w:hAnsi="Garamond" w:cs="Times New Roman"/>
          <w:color w:val="000000"/>
          <w:sz w:val="24"/>
          <w:szCs w:val="24"/>
          <w:lang w:val="sq-AL"/>
        </w:rPr>
        <w:t>2. Zyrat e këmbimit valutor, të licencuara nga Banka e Shqipërisë përpara datës së hyrjes në fuqi të këtij vendimi, marrin masat e nevojshme për të përmbushur kërkesën në lidhje me kapitalin, në përputhje me kërkesat e nenit 8 të kësaj rregulloreje, si dhe njoftojnë Bankën e Shqipërisë, brenda një periudhe një vjeçare nga hyrja në fuqi e këtij vendimi.</w:t>
      </w:r>
    </w:p>
    <w:p w14:paraId="19C1EAB6" w14:textId="77777777" w:rsidR="00F018E6" w:rsidRPr="00F801EB" w:rsidRDefault="00F018E6" w:rsidP="00F018E6">
      <w:pPr>
        <w:tabs>
          <w:tab w:val="left" w:pos="4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3. Ngarkohet Departamenti i Mbikëqyrjes, për ndjekjen e zbatimit të këtij vendimi.</w:t>
      </w:r>
    </w:p>
    <w:p w14:paraId="3F560509" w14:textId="77777777" w:rsidR="00F018E6" w:rsidRPr="00F801EB" w:rsidRDefault="00F018E6" w:rsidP="00F018E6">
      <w:pPr>
        <w:tabs>
          <w:tab w:val="left" w:pos="4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4. Ngarkohen Kabineti i Guvernatorit dhe Departamenti i Kërkimeve me publikimin e këtij vendimi, përkatësisht në Fletoren Zyrtare të Republikës së Shqipërisë dhe në Buletinin Zyrtar të Bankës së Shqipërisë.</w:t>
      </w:r>
    </w:p>
    <w:p w14:paraId="620BF798" w14:textId="77777777" w:rsidR="00F018E6" w:rsidRPr="00F801EB" w:rsidRDefault="00F018E6" w:rsidP="00F018E6">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Ky vendim hyn në fuqi 15 (pesëmbëdhjetë) ditë pas botimit në Fletoren Zyrtare.</w:t>
      </w:r>
    </w:p>
    <w:p w14:paraId="00266D72" w14:textId="77777777" w:rsidR="00F018E6" w:rsidRPr="00F801EB" w:rsidRDefault="00F018E6" w:rsidP="00F018E6">
      <w:pPr>
        <w:tabs>
          <w:tab w:val="left" w:pos="630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801EB">
        <w:rPr>
          <w:rFonts w:ascii="Garamond" w:hAnsi="Garamond" w:cs="Times New Roman"/>
          <w:color w:val="000000"/>
          <w:sz w:val="24"/>
          <w:szCs w:val="24"/>
          <w:lang w:val="sq-AL"/>
        </w:rPr>
        <w:t xml:space="preserve">     </w:t>
      </w:r>
    </w:p>
    <w:p w14:paraId="5D415F1E" w14:textId="4C0E9753" w:rsidR="00F018E6" w:rsidRPr="00F801EB" w:rsidRDefault="00F018E6" w:rsidP="00F018E6">
      <w:pPr>
        <w:tabs>
          <w:tab w:val="left" w:pos="6300"/>
        </w:tabs>
        <w:autoSpaceDE w:val="0"/>
        <w:autoSpaceDN w:val="0"/>
        <w:adjustRightInd w:val="0"/>
        <w:spacing w:after="0" w:line="240" w:lineRule="auto"/>
        <w:ind w:firstLine="284"/>
        <w:jc w:val="right"/>
        <w:rPr>
          <w:rFonts w:ascii="Garamond" w:hAnsi="Garamond" w:cs="Times New Roman"/>
          <w:bCs/>
          <w:color w:val="000000"/>
          <w:sz w:val="24"/>
          <w:szCs w:val="24"/>
          <w:lang w:val="sq-AL"/>
        </w:rPr>
      </w:pPr>
      <w:r w:rsidRPr="00F801EB">
        <w:rPr>
          <w:rFonts w:ascii="Garamond" w:hAnsi="Garamond" w:cs="Times New Roman"/>
          <w:bCs/>
          <w:color w:val="000000"/>
          <w:sz w:val="24"/>
          <w:szCs w:val="24"/>
          <w:lang w:val="sq-AL"/>
        </w:rPr>
        <w:t>KRYETAR</w:t>
      </w:r>
    </w:p>
    <w:p w14:paraId="2FEADE4A" w14:textId="77777777" w:rsidR="00F018E6" w:rsidRPr="00F801EB" w:rsidRDefault="00F018E6" w:rsidP="00F018E6">
      <w:pPr>
        <w:tabs>
          <w:tab w:val="left" w:pos="6300"/>
        </w:tabs>
        <w:autoSpaceDE w:val="0"/>
        <w:autoSpaceDN w:val="0"/>
        <w:adjustRightInd w:val="0"/>
        <w:spacing w:after="0" w:line="240" w:lineRule="auto"/>
        <w:ind w:firstLine="284"/>
        <w:jc w:val="right"/>
        <w:rPr>
          <w:rFonts w:ascii="Garamond" w:hAnsi="Garamond" w:cs="Calibri"/>
          <w:color w:val="000000"/>
          <w:sz w:val="24"/>
          <w:szCs w:val="24"/>
          <w:lang w:val="sq-AL"/>
        </w:rPr>
      </w:pPr>
      <w:r w:rsidRPr="00F801EB">
        <w:rPr>
          <w:rFonts w:ascii="Garamond" w:hAnsi="Garamond" w:cs="Times New Roman"/>
          <w:b/>
          <w:bCs/>
          <w:color w:val="000000"/>
          <w:sz w:val="24"/>
          <w:szCs w:val="24"/>
          <w:lang w:val="sq-AL"/>
        </w:rPr>
        <w:t xml:space="preserve">Gent </w:t>
      </w:r>
      <w:proofErr w:type="spellStart"/>
      <w:r w:rsidRPr="00F801EB">
        <w:rPr>
          <w:rFonts w:ascii="Garamond" w:hAnsi="Garamond" w:cs="Times New Roman"/>
          <w:b/>
          <w:bCs/>
          <w:color w:val="000000"/>
          <w:sz w:val="24"/>
          <w:szCs w:val="24"/>
          <w:lang w:val="sq-AL"/>
        </w:rPr>
        <w:t>Sejko</w:t>
      </w:r>
      <w:proofErr w:type="spellEnd"/>
    </w:p>
    <w:p w14:paraId="605E7D52" w14:textId="77777777" w:rsidR="00F018E6" w:rsidRPr="00F801EB" w:rsidRDefault="00F018E6" w:rsidP="00F018E6">
      <w:pPr>
        <w:tabs>
          <w:tab w:val="left" w:pos="6300"/>
        </w:tabs>
        <w:autoSpaceDE w:val="0"/>
        <w:autoSpaceDN w:val="0"/>
        <w:adjustRightInd w:val="0"/>
        <w:spacing w:after="0" w:line="240" w:lineRule="auto"/>
        <w:ind w:firstLine="284"/>
        <w:jc w:val="both"/>
        <w:rPr>
          <w:rFonts w:ascii="Garamond" w:hAnsi="Garamond" w:cs="Calibri"/>
          <w:color w:val="000000"/>
          <w:sz w:val="24"/>
          <w:szCs w:val="24"/>
          <w:lang w:val="sq-AL"/>
        </w:rPr>
      </w:pPr>
    </w:p>
    <w:p w14:paraId="23FA94B9" w14:textId="230D35B9" w:rsidR="00F018E6" w:rsidRPr="00F801EB" w:rsidRDefault="00B27171" w:rsidP="00B27171">
      <w:pPr>
        <w:tabs>
          <w:tab w:val="left" w:pos="6300"/>
        </w:tabs>
        <w:autoSpaceDE w:val="0"/>
        <w:autoSpaceDN w:val="0"/>
        <w:adjustRightInd w:val="0"/>
        <w:spacing w:after="0" w:line="240" w:lineRule="auto"/>
        <w:jc w:val="center"/>
        <w:rPr>
          <w:rFonts w:ascii="Garamond" w:hAnsi="Garamond" w:cs="Calibri"/>
          <w:color w:val="000000"/>
          <w:sz w:val="24"/>
          <w:szCs w:val="24"/>
          <w:lang w:val="sq-AL"/>
        </w:rPr>
      </w:pPr>
      <w:r w:rsidRPr="00F801EB">
        <w:rPr>
          <w:rFonts w:ascii="Garamond" w:hAnsi="Garamond" w:cs="Calibri"/>
          <w:color w:val="000000"/>
          <w:sz w:val="24"/>
          <w:szCs w:val="24"/>
          <w:lang w:val="sq-AL"/>
        </w:rPr>
        <w:lastRenderedPageBreak/>
        <w:drawing>
          <wp:inline distT="0" distB="0" distL="0" distR="0" wp14:anchorId="016E14F4" wp14:editId="5412746F">
            <wp:extent cx="5549900" cy="81576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2839" t="8301" r="12116" b="13793"/>
                    <a:stretch/>
                  </pic:blipFill>
                  <pic:spPr bwMode="auto">
                    <a:xfrm>
                      <a:off x="0" y="0"/>
                      <a:ext cx="5558394" cy="8170170"/>
                    </a:xfrm>
                    <a:prstGeom prst="rect">
                      <a:avLst/>
                    </a:prstGeom>
                    <a:noFill/>
                    <a:ln>
                      <a:noFill/>
                    </a:ln>
                    <a:extLst>
                      <a:ext uri="{53640926-AAD7-44D8-BBD7-CCE9431645EC}">
                        <a14:shadowObscured xmlns:a14="http://schemas.microsoft.com/office/drawing/2010/main"/>
                      </a:ext>
                    </a:extLst>
                  </pic:spPr>
                </pic:pic>
              </a:graphicData>
            </a:graphic>
          </wp:inline>
        </w:drawing>
      </w:r>
      <w:r w:rsidRPr="00F801EB">
        <w:rPr>
          <w:rFonts w:ascii="Garamond" w:hAnsi="Garamond" w:cs="Calibri"/>
          <w:color w:val="000000"/>
          <w:sz w:val="24"/>
          <w:szCs w:val="24"/>
          <w:lang w:val="sq-AL"/>
        </w:rPr>
        <w:lastRenderedPageBreak/>
        <w:drawing>
          <wp:inline distT="0" distB="0" distL="0" distR="0" wp14:anchorId="12CC44A4" wp14:editId="5922C621">
            <wp:extent cx="5244157" cy="304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1393" t="7408" r="17359" b="63346"/>
                    <a:stretch/>
                  </pic:blipFill>
                  <pic:spPr bwMode="auto">
                    <a:xfrm>
                      <a:off x="0" y="0"/>
                      <a:ext cx="5250331" cy="3051589"/>
                    </a:xfrm>
                    <a:prstGeom prst="rect">
                      <a:avLst/>
                    </a:prstGeom>
                    <a:noFill/>
                    <a:ln>
                      <a:noFill/>
                    </a:ln>
                    <a:extLst>
                      <a:ext uri="{53640926-AAD7-44D8-BBD7-CCE9431645EC}">
                        <a14:shadowObscured xmlns:a14="http://schemas.microsoft.com/office/drawing/2010/main"/>
                      </a:ext>
                    </a:extLst>
                  </pic:spPr>
                </pic:pic>
              </a:graphicData>
            </a:graphic>
          </wp:inline>
        </w:drawing>
      </w:r>
      <w:r w:rsidRPr="00F801EB">
        <w:rPr>
          <w:rFonts w:ascii="Garamond" w:hAnsi="Garamond" w:cs="Calibri"/>
          <w:color w:val="000000"/>
          <w:sz w:val="24"/>
          <w:szCs w:val="24"/>
          <w:lang w:val="sq-AL"/>
        </w:rPr>
        <w:lastRenderedPageBreak/>
        <w:drawing>
          <wp:inline distT="0" distB="0" distL="0" distR="0" wp14:anchorId="5DCFB245" wp14:editId="0DCF42A7">
            <wp:extent cx="5339209" cy="7753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11935" t="7790" r="12477" b="14688"/>
                    <a:stretch/>
                  </pic:blipFill>
                  <pic:spPr bwMode="auto">
                    <a:xfrm>
                      <a:off x="0" y="0"/>
                      <a:ext cx="5344477" cy="7761000"/>
                    </a:xfrm>
                    <a:prstGeom prst="rect">
                      <a:avLst/>
                    </a:prstGeom>
                    <a:noFill/>
                    <a:ln>
                      <a:noFill/>
                    </a:ln>
                    <a:extLst>
                      <a:ext uri="{53640926-AAD7-44D8-BBD7-CCE9431645EC}">
                        <a14:shadowObscured xmlns:a14="http://schemas.microsoft.com/office/drawing/2010/main"/>
                      </a:ext>
                    </a:extLst>
                  </pic:spPr>
                </pic:pic>
              </a:graphicData>
            </a:graphic>
          </wp:inline>
        </w:drawing>
      </w:r>
    </w:p>
    <w:p w14:paraId="5F284031" w14:textId="77777777" w:rsidR="00F018E6" w:rsidRPr="00F801EB" w:rsidRDefault="00F018E6" w:rsidP="00F018E6">
      <w:pPr>
        <w:autoSpaceDE w:val="0"/>
        <w:autoSpaceDN w:val="0"/>
        <w:adjustRightInd w:val="0"/>
        <w:spacing w:after="0" w:line="240" w:lineRule="auto"/>
        <w:ind w:firstLine="284"/>
        <w:jc w:val="center"/>
        <w:rPr>
          <w:rFonts w:ascii="Garamond" w:hAnsi="Garamond" w:cs="Calibri"/>
          <w:b/>
          <w:bCs/>
          <w:color w:val="000000"/>
          <w:sz w:val="24"/>
          <w:szCs w:val="24"/>
          <w:lang w:val="sq-AL"/>
        </w:rPr>
      </w:pPr>
    </w:p>
    <w:p w14:paraId="2633807A" w14:textId="77777777" w:rsidR="00F018E6" w:rsidRPr="00F801EB" w:rsidRDefault="00F018E6" w:rsidP="00F018E6">
      <w:pPr>
        <w:autoSpaceDE w:val="0"/>
        <w:autoSpaceDN w:val="0"/>
        <w:adjustRightInd w:val="0"/>
        <w:spacing w:after="160" w:line="330" w:lineRule="atLeast"/>
        <w:jc w:val="center"/>
        <w:rPr>
          <w:rFonts w:ascii="Calibri" w:hAnsi="Calibri" w:cs="Calibri"/>
          <w:b/>
          <w:bCs/>
          <w:color w:val="000000"/>
          <w:sz w:val="24"/>
          <w:szCs w:val="24"/>
          <w:lang w:val="sq-AL"/>
        </w:rPr>
      </w:pPr>
    </w:p>
    <w:p w14:paraId="20D498A5" w14:textId="77777777" w:rsidR="00924785" w:rsidRPr="00F801EB" w:rsidRDefault="00924785" w:rsidP="009F1642">
      <w:pPr>
        <w:jc w:val="center"/>
        <w:rPr>
          <w:rFonts w:ascii="Times New Roman" w:eastAsia="MS Mincho" w:hAnsi="Times New Roman" w:cs="Times New Roman"/>
          <w:b/>
          <w:sz w:val="24"/>
          <w:szCs w:val="24"/>
          <w:lang w:val="sq-AL"/>
        </w:rPr>
      </w:pPr>
    </w:p>
    <w:p w14:paraId="16F0C0FE" w14:textId="77777777" w:rsidR="009F1642" w:rsidRPr="00F801EB" w:rsidRDefault="006F26F5" w:rsidP="009F1642">
      <w:pPr>
        <w:jc w:val="center"/>
        <w:rPr>
          <w:rFonts w:ascii="Times New Roman" w:eastAsia="MS Mincho" w:hAnsi="Times New Roman" w:cs="Times New Roman"/>
          <w:b/>
          <w:sz w:val="24"/>
          <w:szCs w:val="24"/>
          <w:lang w:val="sq-AL"/>
        </w:rPr>
      </w:pPr>
      <w:r w:rsidRPr="00F801EB">
        <w:rPr>
          <w:rFonts w:ascii="Times New Roman" w:eastAsia="MS Mincho" w:hAnsi="Times New Roman" w:cs="Times New Roman"/>
          <w:b/>
          <w:sz w:val="24"/>
          <w:szCs w:val="24"/>
          <w:lang w:val="sq-AL"/>
        </w:rPr>
        <w:br w:type="page"/>
      </w:r>
    </w:p>
    <w:p w14:paraId="56C8A44F" w14:textId="633CC2D4" w:rsidR="006F26F5" w:rsidRPr="00F801EB" w:rsidRDefault="00C27AA9" w:rsidP="00B562CA">
      <w:pPr>
        <w:ind w:left="5760"/>
        <w:jc w:val="right"/>
        <w:rPr>
          <w:rFonts w:ascii="Times New Roman" w:eastAsia="MS Mincho" w:hAnsi="Times New Roman" w:cs="Times New Roman"/>
          <w:b/>
          <w:sz w:val="24"/>
          <w:szCs w:val="24"/>
          <w:lang w:val="sq-AL"/>
        </w:rPr>
      </w:pPr>
      <w:r w:rsidRPr="00F801EB">
        <w:rPr>
          <w:rFonts w:ascii="Times New Roman" w:hAnsi="Times New Roman" w:cs="Times New Roman"/>
          <w:i/>
          <w:sz w:val="24"/>
          <w:szCs w:val="24"/>
          <w:lang w:val="sq-AL"/>
        </w:rPr>
        <w:lastRenderedPageBreak/>
        <w:t xml:space="preserve"> </w:t>
      </w:r>
    </w:p>
    <w:sectPr w:rsidR="006F26F5" w:rsidRPr="00F801EB" w:rsidSect="00924785">
      <w:footerReference w:type="first" r:id="rId16"/>
      <w:pgSz w:w="11907" w:h="16839" w:code="9"/>
      <w:pgMar w:top="1440" w:right="1800" w:bottom="1440" w:left="1800" w:header="1138" w:footer="97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53FF6" w14:textId="77777777" w:rsidR="00994FC6" w:rsidRDefault="00994FC6" w:rsidP="007E4EA2">
      <w:pPr>
        <w:spacing w:after="0" w:line="240" w:lineRule="auto"/>
      </w:pPr>
      <w:r>
        <w:separator/>
      </w:r>
    </w:p>
  </w:endnote>
  <w:endnote w:type="continuationSeparator" w:id="0">
    <w:p w14:paraId="227393B5" w14:textId="77777777" w:rsidR="00994FC6" w:rsidRDefault="00994FC6" w:rsidP="007E4EA2">
      <w:pPr>
        <w:spacing w:after="0" w:line="240" w:lineRule="auto"/>
      </w:pPr>
      <w:r>
        <w:continuationSeparator/>
      </w:r>
    </w:p>
  </w:endnote>
  <w:endnote w:type="continuationNotice" w:id="1">
    <w:p w14:paraId="69944119" w14:textId="77777777" w:rsidR="00C46818" w:rsidRDefault="00C468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Segoe UI"/>
    <w:charset w:val="00"/>
    <w:family w:val="swiss"/>
    <w:pitch w:val="variable"/>
    <w:sig w:usb0="00000001" w:usb1="00000000" w:usb2="00000000" w:usb3="00000000" w:csb0="0000001B"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185C4" w14:textId="77777777" w:rsidR="00994FC6" w:rsidRDefault="00994FC6">
    <w:pPr>
      <w:pStyle w:val="Footer"/>
      <w:jc w:val="right"/>
    </w:pPr>
  </w:p>
  <w:p w14:paraId="5B3578F5" w14:textId="77777777" w:rsidR="00994FC6" w:rsidRDefault="00994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B6DFE" w14:textId="77777777" w:rsidR="00994FC6" w:rsidRDefault="00994FC6" w:rsidP="007E4EA2">
      <w:pPr>
        <w:spacing w:after="0" w:line="240" w:lineRule="auto"/>
      </w:pPr>
      <w:r>
        <w:separator/>
      </w:r>
    </w:p>
  </w:footnote>
  <w:footnote w:type="continuationSeparator" w:id="0">
    <w:p w14:paraId="64421010" w14:textId="77777777" w:rsidR="00994FC6" w:rsidRDefault="00994FC6" w:rsidP="007E4EA2">
      <w:pPr>
        <w:spacing w:after="0" w:line="240" w:lineRule="auto"/>
      </w:pPr>
      <w:r>
        <w:continuationSeparator/>
      </w:r>
    </w:p>
  </w:footnote>
  <w:footnote w:type="continuationNotice" w:id="1">
    <w:p w14:paraId="1E892059" w14:textId="77777777" w:rsidR="00C46818" w:rsidRDefault="00C468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7BE9"/>
    <w:multiLevelType w:val="hybridMultilevel"/>
    <w:tmpl w:val="5CC6A9B0"/>
    <w:lvl w:ilvl="0" w:tplc="46EC50C2">
      <w:start w:val="6"/>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AF74E7"/>
    <w:multiLevelType w:val="hybridMultilevel"/>
    <w:tmpl w:val="0088DD62"/>
    <w:lvl w:ilvl="0" w:tplc="CDD624EC">
      <w:start w:val="1"/>
      <w:numFmt w:val="decimal"/>
      <w:lvlText w:val="%1."/>
      <w:lvlJc w:val="left"/>
      <w:pPr>
        <w:tabs>
          <w:tab w:val="num" w:pos="360"/>
        </w:tabs>
        <w:ind w:left="36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D3540"/>
    <w:multiLevelType w:val="hybridMultilevel"/>
    <w:tmpl w:val="14F8C4A0"/>
    <w:lvl w:ilvl="0" w:tplc="D46012D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843DC"/>
    <w:multiLevelType w:val="hybridMultilevel"/>
    <w:tmpl w:val="B3F2E552"/>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5A98"/>
    <w:multiLevelType w:val="hybridMultilevel"/>
    <w:tmpl w:val="B3F2E552"/>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F5D5F"/>
    <w:multiLevelType w:val="hybridMultilevel"/>
    <w:tmpl w:val="AFACCB94"/>
    <w:lvl w:ilvl="0" w:tplc="2F94C96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53E58"/>
    <w:multiLevelType w:val="hybridMultilevel"/>
    <w:tmpl w:val="2CA4DAF8"/>
    <w:lvl w:ilvl="0" w:tplc="0409000F">
      <w:start w:val="1"/>
      <w:numFmt w:val="decimal"/>
      <w:lvlText w:val="%1."/>
      <w:lvlJc w:val="left"/>
      <w:pPr>
        <w:ind w:left="720" w:hanging="360"/>
      </w:pPr>
      <w:rPr>
        <w:rFonts w:ascii="Times New Roman" w:hAnsi="Times New Roman"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C156B"/>
    <w:multiLevelType w:val="hybridMultilevel"/>
    <w:tmpl w:val="E5265F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993590"/>
    <w:multiLevelType w:val="hybridMultilevel"/>
    <w:tmpl w:val="21B6B02A"/>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9" w15:restartNumberingAfterBreak="0">
    <w:nsid w:val="2D8A52B5"/>
    <w:multiLevelType w:val="hybridMultilevel"/>
    <w:tmpl w:val="133AE804"/>
    <w:lvl w:ilvl="0" w:tplc="0409000F">
      <w:start w:val="1"/>
      <w:numFmt w:val="decimal"/>
      <w:lvlText w:val="%1."/>
      <w:lvlJc w:val="left"/>
      <w:pPr>
        <w:tabs>
          <w:tab w:val="num" w:pos="720"/>
        </w:tabs>
        <w:ind w:left="720" w:hanging="360"/>
      </w:pPr>
      <w:rPr>
        <w:rFont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F953F8"/>
    <w:multiLevelType w:val="hybridMultilevel"/>
    <w:tmpl w:val="DA50C71C"/>
    <w:lvl w:ilvl="0" w:tplc="0D76B386">
      <w:start w:val="3"/>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ED624B"/>
    <w:multiLevelType w:val="hybridMultilevel"/>
    <w:tmpl w:val="50A8A8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828EF"/>
    <w:multiLevelType w:val="hybridMultilevel"/>
    <w:tmpl w:val="4258963A"/>
    <w:lvl w:ilvl="0" w:tplc="8458A5B4">
      <w:start w:val="1"/>
      <w:numFmt w:val="decimal"/>
      <w:lvlText w:val="%1."/>
      <w:lvlJc w:val="left"/>
      <w:pPr>
        <w:tabs>
          <w:tab w:val="num" w:pos="2340"/>
        </w:tabs>
        <w:ind w:left="2340" w:hanging="360"/>
      </w:pPr>
      <w:rPr>
        <w:rFonts w:cs="Times New Roma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5E13BD4"/>
    <w:multiLevelType w:val="hybridMultilevel"/>
    <w:tmpl w:val="365A6B06"/>
    <w:lvl w:ilvl="0" w:tplc="A2041A1A">
      <w:start w:val="1"/>
      <w:numFmt w:val="lowerLetter"/>
      <w:lvlText w:val="%1)"/>
      <w:lvlJc w:val="left"/>
      <w:pPr>
        <w:ind w:left="720" w:hanging="360"/>
      </w:pPr>
      <w:rPr>
        <w:rFonts w:eastAsia="Times New Roman" w:hint="default"/>
        <w:i w:val="0"/>
      </w:rPr>
    </w:lvl>
    <w:lvl w:ilvl="1" w:tplc="A2041A1A">
      <w:start w:val="1"/>
      <w:numFmt w:val="lowerLetter"/>
      <w:lvlText w:val="%2)"/>
      <w:lvlJc w:val="left"/>
      <w:pPr>
        <w:ind w:left="1440" w:hanging="360"/>
      </w:pPr>
      <w:rPr>
        <w:rFonts w:eastAsia="Times New Roman"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884F88"/>
    <w:multiLevelType w:val="hybridMultilevel"/>
    <w:tmpl w:val="56881946"/>
    <w:lvl w:ilvl="0" w:tplc="8458A5B4">
      <w:start w:val="1"/>
      <w:numFmt w:val="decimal"/>
      <w:lvlText w:val="%1."/>
      <w:lvlJc w:val="left"/>
      <w:pPr>
        <w:tabs>
          <w:tab w:val="num" w:pos="2340"/>
        </w:tabs>
        <w:ind w:left="2340" w:hanging="360"/>
      </w:pPr>
      <w:rPr>
        <w:rFonts w:cs="Times New Roman" w:hint="default"/>
        <w:b w:val="0"/>
      </w:rPr>
    </w:lvl>
    <w:lvl w:ilvl="1" w:tplc="9CA031CE">
      <w:start w:val="1"/>
      <w:numFmt w:val="lowerLetter"/>
      <w:lvlText w:val="%2)"/>
      <w:lvlJc w:val="left"/>
      <w:pPr>
        <w:tabs>
          <w:tab w:val="num" w:pos="1440"/>
        </w:tabs>
        <w:ind w:left="1440" w:hanging="360"/>
      </w:pPr>
      <w:rPr>
        <w:rFonts w:hint="default"/>
        <w:b w:val="0"/>
      </w:rPr>
    </w:lvl>
    <w:lvl w:ilvl="2" w:tplc="935A79CE">
      <w:start w:val="3"/>
      <w:numFmt w:val="decimal"/>
      <w:lvlText w:val="%3."/>
      <w:lvlJc w:val="left"/>
      <w:pPr>
        <w:tabs>
          <w:tab w:val="num" w:pos="2340"/>
        </w:tabs>
        <w:ind w:left="2340" w:hanging="360"/>
      </w:pPr>
      <w:rPr>
        <w:rFonts w:cs="Times New Roman"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8338FE"/>
    <w:multiLevelType w:val="hybridMultilevel"/>
    <w:tmpl w:val="24D0AEB6"/>
    <w:lvl w:ilvl="0" w:tplc="8458A5B4">
      <w:start w:val="1"/>
      <w:numFmt w:val="decimal"/>
      <w:lvlText w:val="%1."/>
      <w:lvlJc w:val="left"/>
      <w:pPr>
        <w:tabs>
          <w:tab w:val="num" w:pos="2340"/>
        </w:tabs>
        <w:ind w:left="2340" w:hanging="360"/>
      </w:pPr>
      <w:rPr>
        <w:rFonts w:cs="Times New Roman" w:hint="default"/>
        <w:b w:val="0"/>
      </w:rPr>
    </w:lvl>
    <w:lvl w:ilvl="1" w:tplc="9CA031CE">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666F7A"/>
    <w:multiLevelType w:val="hybridMultilevel"/>
    <w:tmpl w:val="8362BDEA"/>
    <w:lvl w:ilvl="0" w:tplc="8458A5B4">
      <w:start w:val="1"/>
      <w:numFmt w:val="decimal"/>
      <w:lvlText w:val="%1."/>
      <w:lvlJc w:val="left"/>
      <w:pPr>
        <w:tabs>
          <w:tab w:val="num" w:pos="2340"/>
        </w:tabs>
        <w:ind w:left="2340" w:hanging="360"/>
      </w:pPr>
      <w:rPr>
        <w:rFonts w:cs="Times New Roman" w:hint="default"/>
        <w:b w:val="0"/>
      </w:rPr>
    </w:lvl>
    <w:lvl w:ilvl="1" w:tplc="9CA031CE">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262D5C"/>
    <w:multiLevelType w:val="hybridMultilevel"/>
    <w:tmpl w:val="BDF281A8"/>
    <w:lvl w:ilvl="0" w:tplc="E2BCDFAE">
      <w:start w:val="8"/>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4261459A"/>
    <w:multiLevelType w:val="hybridMultilevel"/>
    <w:tmpl w:val="E5265F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2950B5"/>
    <w:multiLevelType w:val="hybridMultilevel"/>
    <w:tmpl w:val="C10C68AA"/>
    <w:lvl w:ilvl="0" w:tplc="CCA202CC">
      <w:start w:val="1"/>
      <w:numFmt w:val="low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A2763"/>
    <w:multiLevelType w:val="hybridMultilevel"/>
    <w:tmpl w:val="E5265F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E30C49"/>
    <w:multiLevelType w:val="hybridMultilevel"/>
    <w:tmpl w:val="E16210FC"/>
    <w:lvl w:ilvl="0" w:tplc="C3423AC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986531"/>
    <w:multiLevelType w:val="hybridMultilevel"/>
    <w:tmpl w:val="D8CC923C"/>
    <w:lvl w:ilvl="0" w:tplc="9058055E">
      <w:start w:val="1"/>
      <w:numFmt w:val="decimal"/>
      <w:lvlText w:val="%1."/>
      <w:lvlJc w:val="left"/>
      <w:pPr>
        <w:ind w:left="720" w:hanging="360"/>
      </w:pPr>
      <w:rPr>
        <w:color w:val="00B0F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3B4DF6"/>
    <w:multiLevelType w:val="hybridMultilevel"/>
    <w:tmpl w:val="8F1A3BDC"/>
    <w:lvl w:ilvl="0" w:tplc="0409001B">
      <w:start w:val="1"/>
      <w:numFmt w:val="lowerRoman"/>
      <w:lvlText w:val="%1."/>
      <w:lvlJc w:val="right"/>
      <w:pPr>
        <w:tabs>
          <w:tab w:val="num" w:pos="1260"/>
        </w:tabs>
        <w:ind w:left="1260" w:hanging="18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4" w15:restartNumberingAfterBreak="0">
    <w:nsid w:val="4D034010"/>
    <w:multiLevelType w:val="hybridMultilevel"/>
    <w:tmpl w:val="347A7E66"/>
    <w:lvl w:ilvl="0" w:tplc="A34E53D2">
      <w:start w:val="1"/>
      <w:numFmt w:val="decimal"/>
      <w:lvlText w:val="%1."/>
      <w:lvlJc w:val="left"/>
      <w:pPr>
        <w:tabs>
          <w:tab w:val="num" w:pos="450"/>
        </w:tabs>
        <w:ind w:left="450" w:hanging="360"/>
      </w:pPr>
      <w:rPr>
        <w:rFonts w:cs="Times New Roman" w:hint="default"/>
        <w:b w:val="0"/>
      </w:r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0B3C64"/>
    <w:multiLevelType w:val="hybridMultilevel"/>
    <w:tmpl w:val="E5265F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A5827"/>
    <w:multiLevelType w:val="hybridMultilevel"/>
    <w:tmpl w:val="08B8E4F8"/>
    <w:lvl w:ilvl="0" w:tplc="A9FA613C">
      <w:start w:val="3"/>
      <w:numFmt w:val="decimal"/>
      <w:lvlText w:val="%1."/>
      <w:lvlJc w:val="left"/>
      <w:pPr>
        <w:tabs>
          <w:tab w:val="num" w:pos="540"/>
        </w:tabs>
        <w:ind w:left="540" w:hanging="360"/>
      </w:pPr>
      <w:rPr>
        <w:rFonts w:ascii="Times New Roman" w:hAnsi="Times New Roman" w:cs="Times New Roman" w:hint="default"/>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53BE62B1"/>
    <w:multiLevelType w:val="hybridMultilevel"/>
    <w:tmpl w:val="8C809DB4"/>
    <w:lvl w:ilvl="0" w:tplc="ABC4EAA6">
      <w:start w:val="1"/>
      <w:numFmt w:val="decimal"/>
      <w:lvlText w:val="%1."/>
      <w:lvlJc w:val="left"/>
      <w:pPr>
        <w:tabs>
          <w:tab w:val="num" w:pos="2340"/>
        </w:tabs>
        <w:ind w:left="2340" w:hanging="360"/>
      </w:pPr>
      <w:rPr>
        <w:rFonts w:cs="Times New Roman" w:hint="default"/>
        <w:b w:val="0"/>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3D71FDD"/>
    <w:multiLevelType w:val="hybridMultilevel"/>
    <w:tmpl w:val="0630E168"/>
    <w:lvl w:ilvl="0" w:tplc="CFA0E056">
      <w:start w:val="1"/>
      <w:numFmt w:val="lowerLetter"/>
      <w:lvlText w:val="%1)"/>
      <w:lvlJc w:val="left"/>
      <w:pPr>
        <w:tabs>
          <w:tab w:val="num" w:pos="720"/>
        </w:tabs>
        <w:ind w:left="720" w:hanging="360"/>
      </w:pPr>
      <w:rPr>
        <w:rFonts w:ascii="Times New Roman" w:hAnsi="Times New Roman" w:cs="Times New Roman" w:hint="default"/>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9" w15:restartNumberingAfterBreak="0">
    <w:nsid w:val="59B23BC7"/>
    <w:multiLevelType w:val="hybridMultilevel"/>
    <w:tmpl w:val="286C1C1A"/>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0" w15:restartNumberingAfterBreak="0">
    <w:nsid w:val="5A7B654A"/>
    <w:multiLevelType w:val="hybridMultilevel"/>
    <w:tmpl w:val="2EF61EAA"/>
    <w:lvl w:ilvl="0" w:tplc="24040FFC">
      <w:start w:val="1"/>
      <w:numFmt w:val="lowerRoman"/>
      <w:lvlText w:val="%1."/>
      <w:lvlJc w:val="right"/>
      <w:pPr>
        <w:tabs>
          <w:tab w:val="num" w:pos="1440"/>
        </w:tabs>
        <w:ind w:left="1440" w:hanging="180"/>
      </w:pPr>
      <w:rPr>
        <w:rFonts w:cs="Times New Roman"/>
      </w:rPr>
    </w:lvl>
    <w:lvl w:ilvl="1" w:tplc="04090019">
      <w:start w:val="1"/>
      <w:numFmt w:val="lowerLetter"/>
      <w:lvlText w:val="%2."/>
      <w:lvlJc w:val="left"/>
      <w:pPr>
        <w:tabs>
          <w:tab w:val="num" w:pos="2340"/>
        </w:tabs>
        <w:ind w:left="2340" w:hanging="360"/>
      </w:pPr>
      <w:rPr>
        <w:rFonts w:cs="Times New Roman"/>
      </w:rPr>
    </w:lvl>
    <w:lvl w:ilvl="2" w:tplc="0409001B">
      <w:start w:val="1"/>
      <w:numFmt w:val="lowerRoman"/>
      <w:lvlText w:val="%3."/>
      <w:lvlJc w:val="right"/>
      <w:pPr>
        <w:tabs>
          <w:tab w:val="num" w:pos="3060"/>
        </w:tabs>
        <w:ind w:left="3060" w:hanging="180"/>
      </w:pPr>
      <w:rPr>
        <w:rFonts w:cs="Times New Roman"/>
      </w:rPr>
    </w:lvl>
    <w:lvl w:ilvl="3" w:tplc="0409000F">
      <w:start w:val="1"/>
      <w:numFmt w:val="decimal"/>
      <w:lvlText w:val="%4."/>
      <w:lvlJc w:val="left"/>
      <w:pPr>
        <w:tabs>
          <w:tab w:val="num" w:pos="3780"/>
        </w:tabs>
        <w:ind w:left="3780" w:hanging="360"/>
      </w:pPr>
      <w:rPr>
        <w:rFonts w:cs="Times New Roman"/>
      </w:rPr>
    </w:lvl>
    <w:lvl w:ilvl="4" w:tplc="04090019">
      <w:start w:val="1"/>
      <w:numFmt w:val="lowerLetter"/>
      <w:lvlText w:val="%5."/>
      <w:lvlJc w:val="left"/>
      <w:pPr>
        <w:tabs>
          <w:tab w:val="num" w:pos="4500"/>
        </w:tabs>
        <w:ind w:left="4500" w:hanging="360"/>
      </w:pPr>
      <w:rPr>
        <w:rFonts w:cs="Times New Roman"/>
      </w:rPr>
    </w:lvl>
    <w:lvl w:ilvl="5" w:tplc="0409001B">
      <w:start w:val="1"/>
      <w:numFmt w:val="lowerRoman"/>
      <w:lvlText w:val="%6."/>
      <w:lvlJc w:val="right"/>
      <w:pPr>
        <w:tabs>
          <w:tab w:val="num" w:pos="5220"/>
        </w:tabs>
        <w:ind w:left="5220" w:hanging="180"/>
      </w:pPr>
      <w:rPr>
        <w:rFonts w:cs="Times New Roman"/>
      </w:rPr>
    </w:lvl>
    <w:lvl w:ilvl="6" w:tplc="0409000F">
      <w:start w:val="1"/>
      <w:numFmt w:val="decimal"/>
      <w:lvlText w:val="%7."/>
      <w:lvlJc w:val="left"/>
      <w:pPr>
        <w:tabs>
          <w:tab w:val="num" w:pos="5940"/>
        </w:tabs>
        <w:ind w:left="5940" w:hanging="360"/>
      </w:pPr>
      <w:rPr>
        <w:rFonts w:cs="Times New Roman"/>
      </w:rPr>
    </w:lvl>
    <w:lvl w:ilvl="7" w:tplc="04090019">
      <w:start w:val="1"/>
      <w:numFmt w:val="lowerLetter"/>
      <w:lvlText w:val="%8."/>
      <w:lvlJc w:val="left"/>
      <w:pPr>
        <w:tabs>
          <w:tab w:val="num" w:pos="6660"/>
        </w:tabs>
        <w:ind w:left="6660" w:hanging="360"/>
      </w:pPr>
      <w:rPr>
        <w:rFonts w:cs="Times New Roman"/>
      </w:rPr>
    </w:lvl>
    <w:lvl w:ilvl="8" w:tplc="0409001B">
      <w:start w:val="1"/>
      <w:numFmt w:val="lowerRoman"/>
      <w:lvlText w:val="%9."/>
      <w:lvlJc w:val="right"/>
      <w:pPr>
        <w:tabs>
          <w:tab w:val="num" w:pos="7380"/>
        </w:tabs>
        <w:ind w:left="7380" w:hanging="180"/>
      </w:pPr>
      <w:rPr>
        <w:rFonts w:cs="Times New Roman"/>
      </w:rPr>
    </w:lvl>
  </w:abstractNum>
  <w:abstractNum w:abstractNumId="31" w15:restartNumberingAfterBreak="0">
    <w:nsid w:val="5AD572FE"/>
    <w:multiLevelType w:val="hybridMultilevel"/>
    <w:tmpl w:val="BE34636A"/>
    <w:lvl w:ilvl="0" w:tplc="A2041A1A">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1D2387"/>
    <w:multiLevelType w:val="hybridMultilevel"/>
    <w:tmpl w:val="490A8080"/>
    <w:lvl w:ilvl="0" w:tplc="9EB61934">
      <w:start w:val="50"/>
      <w:numFmt w:val="lowerRoman"/>
      <w:lvlText w:val="%1."/>
      <w:lvlJc w:val="left"/>
      <w:pPr>
        <w:ind w:left="1429" w:hanging="720"/>
      </w:pPr>
      <w:rPr>
        <w:rFonts w:ascii="Arial" w:hAnsi="Arial" w:cs="Arial" w:hint="default"/>
        <w:i w:val="0"/>
        <w:color w:val="00B0F0"/>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5D183249"/>
    <w:multiLevelType w:val="hybridMultilevel"/>
    <w:tmpl w:val="BDBC4D60"/>
    <w:lvl w:ilvl="0" w:tplc="A1FCD696">
      <w:start w:val="1"/>
      <w:numFmt w:val="lowerLetter"/>
      <w:lvlText w:val="%1)"/>
      <w:lvlJc w:val="left"/>
      <w:pPr>
        <w:ind w:left="1781" w:hanging="360"/>
      </w:pPr>
      <w:rPr>
        <w:rFonts w:hint="default"/>
      </w:rPr>
    </w:lvl>
    <w:lvl w:ilvl="1" w:tplc="04090019">
      <w:start w:val="1"/>
      <w:numFmt w:val="lowerLetter"/>
      <w:lvlText w:val="%2."/>
      <w:lvlJc w:val="left"/>
      <w:pPr>
        <w:ind w:left="2501" w:hanging="360"/>
      </w:pPr>
    </w:lvl>
    <w:lvl w:ilvl="2" w:tplc="0409001B" w:tentative="1">
      <w:start w:val="1"/>
      <w:numFmt w:val="lowerRoman"/>
      <w:lvlText w:val="%3."/>
      <w:lvlJc w:val="right"/>
      <w:pPr>
        <w:ind w:left="3221" w:hanging="180"/>
      </w:pPr>
    </w:lvl>
    <w:lvl w:ilvl="3" w:tplc="0409000F" w:tentative="1">
      <w:start w:val="1"/>
      <w:numFmt w:val="decimal"/>
      <w:lvlText w:val="%4."/>
      <w:lvlJc w:val="left"/>
      <w:pPr>
        <w:ind w:left="3941" w:hanging="360"/>
      </w:pPr>
    </w:lvl>
    <w:lvl w:ilvl="4" w:tplc="04090019" w:tentative="1">
      <w:start w:val="1"/>
      <w:numFmt w:val="lowerLetter"/>
      <w:lvlText w:val="%5."/>
      <w:lvlJc w:val="left"/>
      <w:pPr>
        <w:ind w:left="4661" w:hanging="360"/>
      </w:pPr>
    </w:lvl>
    <w:lvl w:ilvl="5" w:tplc="0409001B" w:tentative="1">
      <w:start w:val="1"/>
      <w:numFmt w:val="lowerRoman"/>
      <w:lvlText w:val="%6."/>
      <w:lvlJc w:val="right"/>
      <w:pPr>
        <w:ind w:left="5381" w:hanging="180"/>
      </w:pPr>
    </w:lvl>
    <w:lvl w:ilvl="6" w:tplc="0409000F" w:tentative="1">
      <w:start w:val="1"/>
      <w:numFmt w:val="decimal"/>
      <w:lvlText w:val="%7."/>
      <w:lvlJc w:val="left"/>
      <w:pPr>
        <w:ind w:left="6101" w:hanging="360"/>
      </w:pPr>
    </w:lvl>
    <w:lvl w:ilvl="7" w:tplc="04090019" w:tentative="1">
      <w:start w:val="1"/>
      <w:numFmt w:val="lowerLetter"/>
      <w:lvlText w:val="%8."/>
      <w:lvlJc w:val="left"/>
      <w:pPr>
        <w:ind w:left="6821" w:hanging="360"/>
      </w:pPr>
    </w:lvl>
    <w:lvl w:ilvl="8" w:tplc="0409001B" w:tentative="1">
      <w:start w:val="1"/>
      <w:numFmt w:val="lowerRoman"/>
      <w:lvlText w:val="%9."/>
      <w:lvlJc w:val="right"/>
      <w:pPr>
        <w:ind w:left="7541" w:hanging="180"/>
      </w:pPr>
    </w:lvl>
  </w:abstractNum>
  <w:abstractNum w:abstractNumId="34" w15:restartNumberingAfterBreak="0">
    <w:nsid w:val="5F0E7535"/>
    <w:multiLevelType w:val="hybridMultilevel"/>
    <w:tmpl w:val="4BB4A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AB6744"/>
    <w:multiLevelType w:val="hybridMultilevel"/>
    <w:tmpl w:val="B3F2E552"/>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5F48BD"/>
    <w:multiLevelType w:val="hybridMultilevel"/>
    <w:tmpl w:val="E5265F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A8351A"/>
    <w:multiLevelType w:val="hybridMultilevel"/>
    <w:tmpl w:val="D75208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C17D7F"/>
    <w:multiLevelType w:val="hybridMultilevel"/>
    <w:tmpl w:val="E5265F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661CD1"/>
    <w:multiLevelType w:val="hybridMultilevel"/>
    <w:tmpl w:val="6F8A6648"/>
    <w:lvl w:ilvl="0" w:tplc="64C4172E">
      <w:start w:val="1"/>
      <w:numFmt w:val="decimal"/>
      <w:lvlText w:val="%1."/>
      <w:lvlJc w:val="left"/>
      <w:pPr>
        <w:tabs>
          <w:tab w:val="num" w:pos="360"/>
        </w:tabs>
        <w:ind w:left="360" w:hanging="360"/>
      </w:pPr>
      <w:rPr>
        <w:rFonts w:ascii="Times New Roman" w:hAnsi="Times New Roman" w:cs="Times New Roman" w:hint="default"/>
        <w:b w:val="0"/>
        <w:bCs w:val="0"/>
        <w:i w:val="0"/>
      </w:rPr>
    </w:lvl>
    <w:lvl w:ilvl="1" w:tplc="04090019">
      <w:start w:val="1"/>
      <w:numFmt w:val="lowerLetter"/>
      <w:lvlText w:val="%2."/>
      <w:lvlJc w:val="left"/>
      <w:pPr>
        <w:tabs>
          <w:tab w:val="num" w:pos="1440"/>
        </w:tabs>
        <w:ind w:left="1440" w:hanging="360"/>
      </w:pPr>
      <w:rPr>
        <w:rFonts w:cs="Times New Roman"/>
      </w:rPr>
    </w:lvl>
    <w:lvl w:ilvl="2" w:tplc="B8C60E8E">
      <w:start w:val="1"/>
      <w:numFmt w:val="lowerRoman"/>
      <w:lvlText w:val="%3."/>
      <w:lvlJc w:val="right"/>
      <w:pPr>
        <w:tabs>
          <w:tab w:val="num" w:pos="2160"/>
        </w:tabs>
        <w:ind w:left="2160" w:hanging="180"/>
      </w:pPr>
      <w:rPr>
        <w:rFonts w:ascii="Times New Roman" w:eastAsia="Arial Unicode MS" w:hAnsi="Times New Roman" w:cs="Times New Roman"/>
        <w:i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CDBAF28C">
      <w:start w:val="1"/>
      <w:numFmt w:val="lowerRoman"/>
      <w:lvlText w:val="%6."/>
      <w:lvlJc w:val="right"/>
      <w:pPr>
        <w:tabs>
          <w:tab w:val="num" w:pos="4320"/>
        </w:tabs>
        <w:ind w:left="4320" w:hanging="180"/>
      </w:pPr>
      <w:rPr>
        <w:rFonts w:cs="Times New Roman"/>
        <w:i w:val="0"/>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6B975684"/>
    <w:multiLevelType w:val="hybridMultilevel"/>
    <w:tmpl w:val="B3F2E552"/>
    <w:lvl w:ilvl="0" w:tplc="B8C60E8E">
      <w:start w:val="1"/>
      <w:numFmt w:val="lowerRoman"/>
      <w:lvlText w:val="%1."/>
      <w:lvlJc w:val="right"/>
      <w:pPr>
        <w:tabs>
          <w:tab w:val="num" w:pos="2160"/>
        </w:tabs>
        <w:ind w:left="2160" w:hanging="180"/>
      </w:pPr>
      <w:rPr>
        <w:rFonts w:ascii="Times New Roman" w:eastAsia="Arial Unicode MS"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632FC2"/>
    <w:multiLevelType w:val="hybridMultilevel"/>
    <w:tmpl w:val="A574CAAA"/>
    <w:lvl w:ilvl="0" w:tplc="CDBAF28C">
      <w:start w:val="1"/>
      <w:numFmt w:val="lowerRoman"/>
      <w:lvlText w:val="%1."/>
      <w:lvlJc w:val="right"/>
      <w:pPr>
        <w:tabs>
          <w:tab w:val="num" w:pos="4320"/>
        </w:tabs>
        <w:ind w:left="4320" w:hanging="180"/>
      </w:pPr>
      <w:rPr>
        <w:rFonts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A32CC6"/>
    <w:multiLevelType w:val="hybridMultilevel"/>
    <w:tmpl w:val="2E5A7C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AB7EF0"/>
    <w:multiLevelType w:val="hybridMultilevel"/>
    <w:tmpl w:val="2DCC31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5E81F36"/>
    <w:multiLevelType w:val="multilevel"/>
    <w:tmpl w:val="1354BC94"/>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3"/>
  </w:num>
  <w:num w:numId="3">
    <w:abstractNumId w:val="39"/>
  </w:num>
  <w:num w:numId="4">
    <w:abstractNumId w:val="35"/>
  </w:num>
  <w:num w:numId="5">
    <w:abstractNumId w:val="0"/>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44"/>
  </w:num>
  <w:num w:numId="10">
    <w:abstractNumId w:val="21"/>
  </w:num>
  <w:num w:numId="11">
    <w:abstractNumId w:val="23"/>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41"/>
  </w:num>
  <w:num w:numId="16">
    <w:abstractNumId w:val="8"/>
  </w:num>
  <w:num w:numId="17">
    <w:abstractNumId w:val="4"/>
  </w:num>
  <w:num w:numId="18">
    <w:abstractNumId w:val="42"/>
  </w:num>
  <w:num w:numId="19">
    <w:abstractNumId w:val="18"/>
  </w:num>
  <w:num w:numId="20">
    <w:abstractNumId w:val="12"/>
  </w:num>
  <w:num w:numId="21">
    <w:abstractNumId w:val="33"/>
  </w:num>
  <w:num w:numId="22">
    <w:abstractNumId w:val="20"/>
  </w:num>
  <w:num w:numId="23">
    <w:abstractNumId w:val="38"/>
  </w:num>
  <w:num w:numId="24">
    <w:abstractNumId w:val="25"/>
  </w:num>
  <w:num w:numId="25">
    <w:abstractNumId w:val="31"/>
  </w:num>
  <w:num w:numId="26">
    <w:abstractNumId w:val="22"/>
  </w:num>
  <w:num w:numId="27">
    <w:abstractNumId w:val="19"/>
  </w:num>
  <w:num w:numId="28">
    <w:abstractNumId w:val="9"/>
  </w:num>
  <w:num w:numId="29">
    <w:abstractNumId w:val="6"/>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14"/>
  </w:num>
  <w:num w:numId="34">
    <w:abstractNumId w:val="45"/>
  </w:num>
  <w:num w:numId="35">
    <w:abstractNumId w:val="17"/>
  </w:num>
  <w:num w:numId="36">
    <w:abstractNumId w:val="11"/>
  </w:num>
  <w:num w:numId="37">
    <w:abstractNumId w:val="16"/>
  </w:num>
  <w:num w:numId="38">
    <w:abstractNumId w:val="34"/>
  </w:num>
  <w:num w:numId="39">
    <w:abstractNumId w:val="5"/>
  </w:num>
  <w:num w:numId="40">
    <w:abstractNumId w:val="7"/>
  </w:num>
  <w:num w:numId="41">
    <w:abstractNumId w:val="26"/>
  </w:num>
  <w:num w:numId="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10"/>
  </w:num>
  <w:num w:numId="46">
    <w:abstractNumId w:val="43"/>
  </w:num>
  <w:num w:numId="47">
    <w:abstractNumId w:val="37"/>
  </w:num>
  <w:num w:numId="4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num>
  <w:num w:numId="50">
    <w:abstractNumId w:val="2"/>
  </w:num>
  <w:num w:numId="51">
    <w:abstractNumId w:val="27"/>
  </w:num>
  <w:num w:numId="52">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62"/>
    <w:rsid w:val="000006AA"/>
    <w:rsid w:val="00000859"/>
    <w:rsid w:val="0000321A"/>
    <w:rsid w:val="00004AE7"/>
    <w:rsid w:val="00007AA5"/>
    <w:rsid w:val="00007AB2"/>
    <w:rsid w:val="000132F2"/>
    <w:rsid w:val="00014042"/>
    <w:rsid w:val="0001457D"/>
    <w:rsid w:val="00016DEE"/>
    <w:rsid w:val="000232C7"/>
    <w:rsid w:val="00031EAB"/>
    <w:rsid w:val="00035320"/>
    <w:rsid w:val="00036132"/>
    <w:rsid w:val="0004541E"/>
    <w:rsid w:val="000454EA"/>
    <w:rsid w:val="00045ED1"/>
    <w:rsid w:val="00046494"/>
    <w:rsid w:val="00046FEF"/>
    <w:rsid w:val="000508D2"/>
    <w:rsid w:val="000511FB"/>
    <w:rsid w:val="000523DD"/>
    <w:rsid w:val="000546AC"/>
    <w:rsid w:val="000547CE"/>
    <w:rsid w:val="00054DBF"/>
    <w:rsid w:val="000550BD"/>
    <w:rsid w:val="00060647"/>
    <w:rsid w:val="0006271E"/>
    <w:rsid w:val="00063ADC"/>
    <w:rsid w:val="00066EE9"/>
    <w:rsid w:val="00070856"/>
    <w:rsid w:val="00073E72"/>
    <w:rsid w:val="00073EE2"/>
    <w:rsid w:val="00074097"/>
    <w:rsid w:val="00074268"/>
    <w:rsid w:val="00075B84"/>
    <w:rsid w:val="00075F1D"/>
    <w:rsid w:val="0008419F"/>
    <w:rsid w:val="0008758B"/>
    <w:rsid w:val="00090CA4"/>
    <w:rsid w:val="000932AC"/>
    <w:rsid w:val="00093FB4"/>
    <w:rsid w:val="000A5054"/>
    <w:rsid w:val="000B10BC"/>
    <w:rsid w:val="000B1176"/>
    <w:rsid w:val="000B53F2"/>
    <w:rsid w:val="000C1059"/>
    <w:rsid w:val="000C1CEE"/>
    <w:rsid w:val="000C334C"/>
    <w:rsid w:val="000C3D0E"/>
    <w:rsid w:val="000C40FA"/>
    <w:rsid w:val="000C47A4"/>
    <w:rsid w:val="000C6128"/>
    <w:rsid w:val="000C67A7"/>
    <w:rsid w:val="000D1320"/>
    <w:rsid w:val="000D332F"/>
    <w:rsid w:val="000D514B"/>
    <w:rsid w:val="000E16BD"/>
    <w:rsid w:val="000E2444"/>
    <w:rsid w:val="000E2461"/>
    <w:rsid w:val="000E35ED"/>
    <w:rsid w:val="000E3810"/>
    <w:rsid w:val="000E5F61"/>
    <w:rsid w:val="000E7D6E"/>
    <w:rsid w:val="000F0012"/>
    <w:rsid w:val="000F0D16"/>
    <w:rsid w:val="000F4F69"/>
    <w:rsid w:val="001034DC"/>
    <w:rsid w:val="001057D6"/>
    <w:rsid w:val="0011065D"/>
    <w:rsid w:val="001204F3"/>
    <w:rsid w:val="00120C47"/>
    <w:rsid w:val="00126BF8"/>
    <w:rsid w:val="001341DB"/>
    <w:rsid w:val="001403EF"/>
    <w:rsid w:val="00140614"/>
    <w:rsid w:val="001546D5"/>
    <w:rsid w:val="001556F5"/>
    <w:rsid w:val="001614FE"/>
    <w:rsid w:val="001635FA"/>
    <w:rsid w:val="00164BF0"/>
    <w:rsid w:val="0016666D"/>
    <w:rsid w:val="001726CB"/>
    <w:rsid w:val="00173B5D"/>
    <w:rsid w:val="00176BA9"/>
    <w:rsid w:val="00182E63"/>
    <w:rsid w:val="00183D46"/>
    <w:rsid w:val="00185C1A"/>
    <w:rsid w:val="00186688"/>
    <w:rsid w:val="00191C4D"/>
    <w:rsid w:val="001941D4"/>
    <w:rsid w:val="0019540F"/>
    <w:rsid w:val="001A2CC0"/>
    <w:rsid w:val="001A30D1"/>
    <w:rsid w:val="001A5E3A"/>
    <w:rsid w:val="001A740A"/>
    <w:rsid w:val="001B3900"/>
    <w:rsid w:val="001B6425"/>
    <w:rsid w:val="001B7F05"/>
    <w:rsid w:val="001C0848"/>
    <w:rsid w:val="001C1807"/>
    <w:rsid w:val="001C3FD8"/>
    <w:rsid w:val="001C4FCA"/>
    <w:rsid w:val="001C590B"/>
    <w:rsid w:val="001C5EB5"/>
    <w:rsid w:val="001D3335"/>
    <w:rsid w:val="001D3EA8"/>
    <w:rsid w:val="001D4993"/>
    <w:rsid w:val="001D4C91"/>
    <w:rsid w:val="001D7E44"/>
    <w:rsid w:val="001D7F61"/>
    <w:rsid w:val="001E23BD"/>
    <w:rsid w:val="001E3119"/>
    <w:rsid w:val="001E3EAC"/>
    <w:rsid w:val="001E4285"/>
    <w:rsid w:val="001E472B"/>
    <w:rsid w:val="001E5D92"/>
    <w:rsid w:val="001E7E9A"/>
    <w:rsid w:val="001F24A6"/>
    <w:rsid w:val="001F31ED"/>
    <w:rsid w:val="001F3789"/>
    <w:rsid w:val="001F59F5"/>
    <w:rsid w:val="00202043"/>
    <w:rsid w:val="00206237"/>
    <w:rsid w:val="00207154"/>
    <w:rsid w:val="00210859"/>
    <w:rsid w:val="00212BA6"/>
    <w:rsid w:val="00217566"/>
    <w:rsid w:val="00220E03"/>
    <w:rsid w:val="00223AF9"/>
    <w:rsid w:val="002313C6"/>
    <w:rsid w:val="0023480D"/>
    <w:rsid w:val="00237344"/>
    <w:rsid w:val="002374E8"/>
    <w:rsid w:val="00241F6E"/>
    <w:rsid w:val="002450F0"/>
    <w:rsid w:val="00247806"/>
    <w:rsid w:val="00252437"/>
    <w:rsid w:val="002525D9"/>
    <w:rsid w:val="00255BD6"/>
    <w:rsid w:val="0025718D"/>
    <w:rsid w:val="00260EEC"/>
    <w:rsid w:val="0026127F"/>
    <w:rsid w:val="002634CA"/>
    <w:rsid w:val="002654A0"/>
    <w:rsid w:val="00270BCF"/>
    <w:rsid w:val="002804BE"/>
    <w:rsid w:val="00282CF8"/>
    <w:rsid w:val="002841ED"/>
    <w:rsid w:val="00284A81"/>
    <w:rsid w:val="0029214D"/>
    <w:rsid w:val="002A0843"/>
    <w:rsid w:val="002A0932"/>
    <w:rsid w:val="002A5422"/>
    <w:rsid w:val="002A6254"/>
    <w:rsid w:val="002A63B9"/>
    <w:rsid w:val="002B6016"/>
    <w:rsid w:val="002B7B50"/>
    <w:rsid w:val="002B7EF1"/>
    <w:rsid w:val="002C31E5"/>
    <w:rsid w:val="002C362E"/>
    <w:rsid w:val="002C54D6"/>
    <w:rsid w:val="002C5582"/>
    <w:rsid w:val="002D28C1"/>
    <w:rsid w:val="002D4ABA"/>
    <w:rsid w:val="002D4BB6"/>
    <w:rsid w:val="002D4F94"/>
    <w:rsid w:val="002D57AE"/>
    <w:rsid w:val="002D7D2F"/>
    <w:rsid w:val="002E05DD"/>
    <w:rsid w:val="002E1CF5"/>
    <w:rsid w:val="002E6EB4"/>
    <w:rsid w:val="002F01F7"/>
    <w:rsid w:val="002F176F"/>
    <w:rsid w:val="002F23D3"/>
    <w:rsid w:val="002F479D"/>
    <w:rsid w:val="003025E4"/>
    <w:rsid w:val="0030307B"/>
    <w:rsid w:val="0030670D"/>
    <w:rsid w:val="00307449"/>
    <w:rsid w:val="00311609"/>
    <w:rsid w:val="0031660A"/>
    <w:rsid w:val="00316D6D"/>
    <w:rsid w:val="00320C41"/>
    <w:rsid w:val="00321D5C"/>
    <w:rsid w:val="00322825"/>
    <w:rsid w:val="00323F13"/>
    <w:rsid w:val="003248A7"/>
    <w:rsid w:val="00324BB9"/>
    <w:rsid w:val="00324E8D"/>
    <w:rsid w:val="003259D0"/>
    <w:rsid w:val="003322A4"/>
    <w:rsid w:val="00332FBB"/>
    <w:rsid w:val="00333F73"/>
    <w:rsid w:val="003363EB"/>
    <w:rsid w:val="0033707C"/>
    <w:rsid w:val="00346C01"/>
    <w:rsid w:val="0034785A"/>
    <w:rsid w:val="00354C6E"/>
    <w:rsid w:val="00356C7E"/>
    <w:rsid w:val="0036060F"/>
    <w:rsid w:val="00364621"/>
    <w:rsid w:val="00366231"/>
    <w:rsid w:val="00366A65"/>
    <w:rsid w:val="00370FF4"/>
    <w:rsid w:val="0037202C"/>
    <w:rsid w:val="00374DE4"/>
    <w:rsid w:val="0038450A"/>
    <w:rsid w:val="00384774"/>
    <w:rsid w:val="00385F28"/>
    <w:rsid w:val="00387C36"/>
    <w:rsid w:val="003922E6"/>
    <w:rsid w:val="003933EB"/>
    <w:rsid w:val="00393CA1"/>
    <w:rsid w:val="00394520"/>
    <w:rsid w:val="003A0E39"/>
    <w:rsid w:val="003A10DA"/>
    <w:rsid w:val="003A3FB8"/>
    <w:rsid w:val="003A48D0"/>
    <w:rsid w:val="003A4B69"/>
    <w:rsid w:val="003A5501"/>
    <w:rsid w:val="003B341B"/>
    <w:rsid w:val="003B5A4B"/>
    <w:rsid w:val="003B6E3E"/>
    <w:rsid w:val="003C0F8D"/>
    <w:rsid w:val="003C3448"/>
    <w:rsid w:val="003C410A"/>
    <w:rsid w:val="003C5C41"/>
    <w:rsid w:val="003C78C2"/>
    <w:rsid w:val="003D0B51"/>
    <w:rsid w:val="003D1110"/>
    <w:rsid w:val="003D40B8"/>
    <w:rsid w:val="003D4405"/>
    <w:rsid w:val="003D529D"/>
    <w:rsid w:val="003E28AC"/>
    <w:rsid w:val="003F0580"/>
    <w:rsid w:val="003F25ED"/>
    <w:rsid w:val="003F4810"/>
    <w:rsid w:val="003F625A"/>
    <w:rsid w:val="004019BB"/>
    <w:rsid w:val="00404C9F"/>
    <w:rsid w:val="00404EBF"/>
    <w:rsid w:val="004063F7"/>
    <w:rsid w:val="004079BB"/>
    <w:rsid w:val="00412579"/>
    <w:rsid w:val="0041294E"/>
    <w:rsid w:val="00412DE3"/>
    <w:rsid w:val="004148DE"/>
    <w:rsid w:val="00415D29"/>
    <w:rsid w:val="00421453"/>
    <w:rsid w:val="00424E85"/>
    <w:rsid w:val="004259CD"/>
    <w:rsid w:val="00433410"/>
    <w:rsid w:val="0043627A"/>
    <w:rsid w:val="0043741E"/>
    <w:rsid w:val="004402B1"/>
    <w:rsid w:val="004420A8"/>
    <w:rsid w:val="004436D0"/>
    <w:rsid w:val="00446A58"/>
    <w:rsid w:val="00447116"/>
    <w:rsid w:val="00447316"/>
    <w:rsid w:val="004476F1"/>
    <w:rsid w:val="00451214"/>
    <w:rsid w:val="00455227"/>
    <w:rsid w:val="00456620"/>
    <w:rsid w:val="00456668"/>
    <w:rsid w:val="00485781"/>
    <w:rsid w:val="00487BBF"/>
    <w:rsid w:val="004914F0"/>
    <w:rsid w:val="004918FC"/>
    <w:rsid w:val="004944A7"/>
    <w:rsid w:val="00497336"/>
    <w:rsid w:val="004A42C1"/>
    <w:rsid w:val="004A584B"/>
    <w:rsid w:val="004A6145"/>
    <w:rsid w:val="004A61C7"/>
    <w:rsid w:val="004A69C5"/>
    <w:rsid w:val="004A7AF7"/>
    <w:rsid w:val="004A7E3C"/>
    <w:rsid w:val="004B05C0"/>
    <w:rsid w:val="004B2711"/>
    <w:rsid w:val="004B448F"/>
    <w:rsid w:val="004B5EAC"/>
    <w:rsid w:val="004B7A1A"/>
    <w:rsid w:val="004C466F"/>
    <w:rsid w:val="004C491A"/>
    <w:rsid w:val="004C621D"/>
    <w:rsid w:val="004D3B08"/>
    <w:rsid w:val="004D40FA"/>
    <w:rsid w:val="004D59B2"/>
    <w:rsid w:val="004E3871"/>
    <w:rsid w:val="004E5F40"/>
    <w:rsid w:val="004F5F9E"/>
    <w:rsid w:val="00500BA4"/>
    <w:rsid w:val="00504EBA"/>
    <w:rsid w:val="00505449"/>
    <w:rsid w:val="00505D95"/>
    <w:rsid w:val="005063EA"/>
    <w:rsid w:val="00506E24"/>
    <w:rsid w:val="00510F67"/>
    <w:rsid w:val="00513B0C"/>
    <w:rsid w:val="00515EE3"/>
    <w:rsid w:val="0051780C"/>
    <w:rsid w:val="00517A14"/>
    <w:rsid w:val="00520011"/>
    <w:rsid w:val="00525207"/>
    <w:rsid w:val="00525E75"/>
    <w:rsid w:val="00527CFA"/>
    <w:rsid w:val="00535A97"/>
    <w:rsid w:val="0053617C"/>
    <w:rsid w:val="0053674E"/>
    <w:rsid w:val="0054017B"/>
    <w:rsid w:val="00540FE0"/>
    <w:rsid w:val="005425AD"/>
    <w:rsid w:val="00542820"/>
    <w:rsid w:val="00543F72"/>
    <w:rsid w:val="0054537B"/>
    <w:rsid w:val="00547961"/>
    <w:rsid w:val="00554B1B"/>
    <w:rsid w:val="00557C27"/>
    <w:rsid w:val="00560834"/>
    <w:rsid w:val="00560CB7"/>
    <w:rsid w:val="0056143C"/>
    <w:rsid w:val="00561C99"/>
    <w:rsid w:val="0056399C"/>
    <w:rsid w:val="00566182"/>
    <w:rsid w:val="00585086"/>
    <w:rsid w:val="0058790F"/>
    <w:rsid w:val="00591528"/>
    <w:rsid w:val="00591903"/>
    <w:rsid w:val="00595C22"/>
    <w:rsid w:val="005A0429"/>
    <w:rsid w:val="005A2A6E"/>
    <w:rsid w:val="005A4204"/>
    <w:rsid w:val="005A454C"/>
    <w:rsid w:val="005A73F8"/>
    <w:rsid w:val="005B1E7C"/>
    <w:rsid w:val="005B3F5E"/>
    <w:rsid w:val="005B7343"/>
    <w:rsid w:val="005C03C6"/>
    <w:rsid w:val="005C1AF7"/>
    <w:rsid w:val="005C356A"/>
    <w:rsid w:val="005C5445"/>
    <w:rsid w:val="005C7E83"/>
    <w:rsid w:val="005D3647"/>
    <w:rsid w:val="005D70A1"/>
    <w:rsid w:val="005E0AEE"/>
    <w:rsid w:val="005E4BF9"/>
    <w:rsid w:val="005F4B29"/>
    <w:rsid w:val="00602113"/>
    <w:rsid w:val="00603D43"/>
    <w:rsid w:val="006053DD"/>
    <w:rsid w:val="00614C60"/>
    <w:rsid w:val="0061589F"/>
    <w:rsid w:val="006168B5"/>
    <w:rsid w:val="00622E9D"/>
    <w:rsid w:val="00625465"/>
    <w:rsid w:val="0063268F"/>
    <w:rsid w:val="00632E10"/>
    <w:rsid w:val="00633070"/>
    <w:rsid w:val="00634FE7"/>
    <w:rsid w:val="006354EF"/>
    <w:rsid w:val="0063571E"/>
    <w:rsid w:val="00637689"/>
    <w:rsid w:val="00643D13"/>
    <w:rsid w:val="00645FA8"/>
    <w:rsid w:val="006501BC"/>
    <w:rsid w:val="006509DC"/>
    <w:rsid w:val="00650BA1"/>
    <w:rsid w:val="00652B34"/>
    <w:rsid w:val="0065437F"/>
    <w:rsid w:val="006601B7"/>
    <w:rsid w:val="006602A2"/>
    <w:rsid w:val="006709F2"/>
    <w:rsid w:val="0068013D"/>
    <w:rsid w:val="006820F3"/>
    <w:rsid w:val="006828FF"/>
    <w:rsid w:val="0068339D"/>
    <w:rsid w:val="00685D73"/>
    <w:rsid w:val="006861A0"/>
    <w:rsid w:val="00692615"/>
    <w:rsid w:val="00693DA3"/>
    <w:rsid w:val="006A31C6"/>
    <w:rsid w:val="006A7AA3"/>
    <w:rsid w:val="006B0B11"/>
    <w:rsid w:val="006B1D0D"/>
    <w:rsid w:val="006B3EEE"/>
    <w:rsid w:val="006B7C42"/>
    <w:rsid w:val="006C0611"/>
    <w:rsid w:val="006C2C9E"/>
    <w:rsid w:val="006C4A61"/>
    <w:rsid w:val="006C7247"/>
    <w:rsid w:val="006D0048"/>
    <w:rsid w:val="006E68B2"/>
    <w:rsid w:val="006E7805"/>
    <w:rsid w:val="006F17FD"/>
    <w:rsid w:val="006F26F5"/>
    <w:rsid w:val="006F27A3"/>
    <w:rsid w:val="006F79A8"/>
    <w:rsid w:val="007010C5"/>
    <w:rsid w:val="007018E7"/>
    <w:rsid w:val="00701BAA"/>
    <w:rsid w:val="00702E48"/>
    <w:rsid w:val="00707059"/>
    <w:rsid w:val="0071337D"/>
    <w:rsid w:val="007138E3"/>
    <w:rsid w:val="00713964"/>
    <w:rsid w:val="00715460"/>
    <w:rsid w:val="00716B4C"/>
    <w:rsid w:val="007272C0"/>
    <w:rsid w:val="007302CF"/>
    <w:rsid w:val="007311ED"/>
    <w:rsid w:val="00737A3E"/>
    <w:rsid w:val="00740501"/>
    <w:rsid w:val="00740EA1"/>
    <w:rsid w:val="007415F5"/>
    <w:rsid w:val="007436BB"/>
    <w:rsid w:val="00744319"/>
    <w:rsid w:val="00744AA0"/>
    <w:rsid w:val="00746263"/>
    <w:rsid w:val="007529C4"/>
    <w:rsid w:val="0075379C"/>
    <w:rsid w:val="00753832"/>
    <w:rsid w:val="0076115C"/>
    <w:rsid w:val="007614BA"/>
    <w:rsid w:val="0076179A"/>
    <w:rsid w:val="00762D63"/>
    <w:rsid w:val="00762E2E"/>
    <w:rsid w:val="00767F5F"/>
    <w:rsid w:val="0077169B"/>
    <w:rsid w:val="00777F52"/>
    <w:rsid w:val="00782773"/>
    <w:rsid w:val="00784E4A"/>
    <w:rsid w:val="00784FBE"/>
    <w:rsid w:val="00785544"/>
    <w:rsid w:val="00785847"/>
    <w:rsid w:val="007901C2"/>
    <w:rsid w:val="00791A22"/>
    <w:rsid w:val="00795187"/>
    <w:rsid w:val="007951ED"/>
    <w:rsid w:val="007A03E8"/>
    <w:rsid w:val="007A1B61"/>
    <w:rsid w:val="007A72F1"/>
    <w:rsid w:val="007B5453"/>
    <w:rsid w:val="007C0457"/>
    <w:rsid w:val="007C1236"/>
    <w:rsid w:val="007C4593"/>
    <w:rsid w:val="007D2A76"/>
    <w:rsid w:val="007D3DC0"/>
    <w:rsid w:val="007D4C17"/>
    <w:rsid w:val="007E41ED"/>
    <w:rsid w:val="007E4827"/>
    <w:rsid w:val="007E4EA2"/>
    <w:rsid w:val="007F707A"/>
    <w:rsid w:val="008020CC"/>
    <w:rsid w:val="008037C7"/>
    <w:rsid w:val="00803D7F"/>
    <w:rsid w:val="00803F6E"/>
    <w:rsid w:val="00804C44"/>
    <w:rsid w:val="0081401C"/>
    <w:rsid w:val="00816C7B"/>
    <w:rsid w:val="00817BDA"/>
    <w:rsid w:val="00820E61"/>
    <w:rsid w:val="008223A8"/>
    <w:rsid w:val="00825ADA"/>
    <w:rsid w:val="00830813"/>
    <w:rsid w:val="00832AE6"/>
    <w:rsid w:val="008341D6"/>
    <w:rsid w:val="008348AA"/>
    <w:rsid w:val="008439A7"/>
    <w:rsid w:val="0085488B"/>
    <w:rsid w:val="00854B84"/>
    <w:rsid w:val="0085525D"/>
    <w:rsid w:val="008605F9"/>
    <w:rsid w:val="00861C32"/>
    <w:rsid w:val="00863209"/>
    <w:rsid w:val="008666AB"/>
    <w:rsid w:val="00866F8C"/>
    <w:rsid w:val="0087069B"/>
    <w:rsid w:val="00871789"/>
    <w:rsid w:val="0087284E"/>
    <w:rsid w:val="00872F91"/>
    <w:rsid w:val="00875F25"/>
    <w:rsid w:val="00883C46"/>
    <w:rsid w:val="0088454D"/>
    <w:rsid w:val="00884FC0"/>
    <w:rsid w:val="0089296C"/>
    <w:rsid w:val="00896397"/>
    <w:rsid w:val="00897F05"/>
    <w:rsid w:val="00897FE0"/>
    <w:rsid w:val="008A2A2D"/>
    <w:rsid w:val="008A5059"/>
    <w:rsid w:val="008A508A"/>
    <w:rsid w:val="008A7128"/>
    <w:rsid w:val="008B105C"/>
    <w:rsid w:val="008B2A9E"/>
    <w:rsid w:val="008B2C7D"/>
    <w:rsid w:val="008B60F7"/>
    <w:rsid w:val="008B6B2A"/>
    <w:rsid w:val="008C0AD3"/>
    <w:rsid w:val="008C2414"/>
    <w:rsid w:val="008D23C6"/>
    <w:rsid w:val="008D40DC"/>
    <w:rsid w:val="008D477A"/>
    <w:rsid w:val="008D66B5"/>
    <w:rsid w:val="008D6C2E"/>
    <w:rsid w:val="008D7E64"/>
    <w:rsid w:val="008E19EF"/>
    <w:rsid w:val="008E5F99"/>
    <w:rsid w:val="008E651E"/>
    <w:rsid w:val="008F09D8"/>
    <w:rsid w:val="008F0CFA"/>
    <w:rsid w:val="008F18DC"/>
    <w:rsid w:val="00916049"/>
    <w:rsid w:val="00917734"/>
    <w:rsid w:val="009239BC"/>
    <w:rsid w:val="00924785"/>
    <w:rsid w:val="00924ABB"/>
    <w:rsid w:val="00925364"/>
    <w:rsid w:val="00934506"/>
    <w:rsid w:val="00934E15"/>
    <w:rsid w:val="009412F7"/>
    <w:rsid w:val="009433AF"/>
    <w:rsid w:val="009463C1"/>
    <w:rsid w:val="00950C0F"/>
    <w:rsid w:val="00962963"/>
    <w:rsid w:val="00965C0E"/>
    <w:rsid w:val="00970764"/>
    <w:rsid w:val="00990E3D"/>
    <w:rsid w:val="00994FC6"/>
    <w:rsid w:val="0099553B"/>
    <w:rsid w:val="00997AC5"/>
    <w:rsid w:val="009A16BE"/>
    <w:rsid w:val="009A4D40"/>
    <w:rsid w:val="009B083D"/>
    <w:rsid w:val="009B309F"/>
    <w:rsid w:val="009B6A6D"/>
    <w:rsid w:val="009C1222"/>
    <w:rsid w:val="009C2445"/>
    <w:rsid w:val="009C45E3"/>
    <w:rsid w:val="009D25B2"/>
    <w:rsid w:val="009E4142"/>
    <w:rsid w:val="009F1642"/>
    <w:rsid w:val="009F4661"/>
    <w:rsid w:val="009F4F08"/>
    <w:rsid w:val="00A002CE"/>
    <w:rsid w:val="00A00793"/>
    <w:rsid w:val="00A049E0"/>
    <w:rsid w:val="00A067C2"/>
    <w:rsid w:val="00A06CCC"/>
    <w:rsid w:val="00A1034C"/>
    <w:rsid w:val="00A104B8"/>
    <w:rsid w:val="00A1082C"/>
    <w:rsid w:val="00A12938"/>
    <w:rsid w:val="00A12C5D"/>
    <w:rsid w:val="00A208A9"/>
    <w:rsid w:val="00A24008"/>
    <w:rsid w:val="00A24B14"/>
    <w:rsid w:val="00A302FF"/>
    <w:rsid w:val="00A30A41"/>
    <w:rsid w:val="00A31A21"/>
    <w:rsid w:val="00A342DC"/>
    <w:rsid w:val="00A35DA9"/>
    <w:rsid w:val="00A40874"/>
    <w:rsid w:val="00A47197"/>
    <w:rsid w:val="00A47775"/>
    <w:rsid w:val="00A51D1E"/>
    <w:rsid w:val="00A51FAA"/>
    <w:rsid w:val="00A53521"/>
    <w:rsid w:val="00A54464"/>
    <w:rsid w:val="00A64F8C"/>
    <w:rsid w:val="00A65BBD"/>
    <w:rsid w:val="00A717B5"/>
    <w:rsid w:val="00A7334E"/>
    <w:rsid w:val="00A74478"/>
    <w:rsid w:val="00A7753F"/>
    <w:rsid w:val="00A775EA"/>
    <w:rsid w:val="00A81E08"/>
    <w:rsid w:val="00A84651"/>
    <w:rsid w:val="00A8718F"/>
    <w:rsid w:val="00A926B9"/>
    <w:rsid w:val="00A94A34"/>
    <w:rsid w:val="00A96FDC"/>
    <w:rsid w:val="00AA3CA7"/>
    <w:rsid w:val="00AA4131"/>
    <w:rsid w:val="00AA55F7"/>
    <w:rsid w:val="00AB0210"/>
    <w:rsid w:val="00AB06CE"/>
    <w:rsid w:val="00AB117C"/>
    <w:rsid w:val="00AB5057"/>
    <w:rsid w:val="00AB6BFC"/>
    <w:rsid w:val="00AB7642"/>
    <w:rsid w:val="00AC2F98"/>
    <w:rsid w:val="00AC5B4E"/>
    <w:rsid w:val="00AC789E"/>
    <w:rsid w:val="00AD57F7"/>
    <w:rsid w:val="00AE06C5"/>
    <w:rsid w:val="00AE4D8A"/>
    <w:rsid w:val="00AE54DA"/>
    <w:rsid w:val="00AE5EA5"/>
    <w:rsid w:val="00AE5F8D"/>
    <w:rsid w:val="00AF435F"/>
    <w:rsid w:val="00AF4CFD"/>
    <w:rsid w:val="00AF6816"/>
    <w:rsid w:val="00AF6E1C"/>
    <w:rsid w:val="00B0521B"/>
    <w:rsid w:val="00B05E3A"/>
    <w:rsid w:val="00B06748"/>
    <w:rsid w:val="00B07489"/>
    <w:rsid w:val="00B07DE2"/>
    <w:rsid w:val="00B1104E"/>
    <w:rsid w:val="00B16696"/>
    <w:rsid w:val="00B2123B"/>
    <w:rsid w:val="00B2449A"/>
    <w:rsid w:val="00B248EF"/>
    <w:rsid w:val="00B27171"/>
    <w:rsid w:val="00B277FB"/>
    <w:rsid w:val="00B32672"/>
    <w:rsid w:val="00B3461F"/>
    <w:rsid w:val="00B35BEA"/>
    <w:rsid w:val="00B36B22"/>
    <w:rsid w:val="00B4126C"/>
    <w:rsid w:val="00B443B6"/>
    <w:rsid w:val="00B4639C"/>
    <w:rsid w:val="00B51DFA"/>
    <w:rsid w:val="00B5226C"/>
    <w:rsid w:val="00B562CA"/>
    <w:rsid w:val="00B57F59"/>
    <w:rsid w:val="00B6025A"/>
    <w:rsid w:val="00B60A83"/>
    <w:rsid w:val="00B6428C"/>
    <w:rsid w:val="00B6453A"/>
    <w:rsid w:val="00B67066"/>
    <w:rsid w:val="00B72EEE"/>
    <w:rsid w:val="00B747E6"/>
    <w:rsid w:val="00B766D0"/>
    <w:rsid w:val="00B86530"/>
    <w:rsid w:val="00B87B47"/>
    <w:rsid w:val="00B9527C"/>
    <w:rsid w:val="00B95F61"/>
    <w:rsid w:val="00B97249"/>
    <w:rsid w:val="00BB3CDD"/>
    <w:rsid w:val="00BB4B33"/>
    <w:rsid w:val="00BB7007"/>
    <w:rsid w:val="00BC048A"/>
    <w:rsid w:val="00BD06B2"/>
    <w:rsid w:val="00BD26D9"/>
    <w:rsid w:val="00BD2EBF"/>
    <w:rsid w:val="00BD3447"/>
    <w:rsid w:val="00BE0BEC"/>
    <w:rsid w:val="00BE1C9C"/>
    <w:rsid w:val="00BE327A"/>
    <w:rsid w:val="00BE3678"/>
    <w:rsid w:val="00BF196F"/>
    <w:rsid w:val="00BF7185"/>
    <w:rsid w:val="00C0069E"/>
    <w:rsid w:val="00C016C5"/>
    <w:rsid w:val="00C024BF"/>
    <w:rsid w:val="00C038C6"/>
    <w:rsid w:val="00C11B0D"/>
    <w:rsid w:val="00C145A5"/>
    <w:rsid w:val="00C14DB6"/>
    <w:rsid w:val="00C15EC0"/>
    <w:rsid w:val="00C17B76"/>
    <w:rsid w:val="00C20F9B"/>
    <w:rsid w:val="00C27AA9"/>
    <w:rsid w:val="00C33222"/>
    <w:rsid w:val="00C37330"/>
    <w:rsid w:val="00C41525"/>
    <w:rsid w:val="00C45A9D"/>
    <w:rsid w:val="00C46818"/>
    <w:rsid w:val="00C476D1"/>
    <w:rsid w:val="00C50BE4"/>
    <w:rsid w:val="00C519D2"/>
    <w:rsid w:val="00C52537"/>
    <w:rsid w:val="00C52D97"/>
    <w:rsid w:val="00C57A4A"/>
    <w:rsid w:val="00C60DC3"/>
    <w:rsid w:val="00C657D5"/>
    <w:rsid w:val="00C72B1B"/>
    <w:rsid w:val="00C759B3"/>
    <w:rsid w:val="00C81DE8"/>
    <w:rsid w:val="00C82AE0"/>
    <w:rsid w:val="00C852A8"/>
    <w:rsid w:val="00C858FC"/>
    <w:rsid w:val="00C87E63"/>
    <w:rsid w:val="00C90680"/>
    <w:rsid w:val="00C95B34"/>
    <w:rsid w:val="00C963D2"/>
    <w:rsid w:val="00CA1BDA"/>
    <w:rsid w:val="00CA5604"/>
    <w:rsid w:val="00CA6AA6"/>
    <w:rsid w:val="00CA6ADE"/>
    <w:rsid w:val="00CB13EA"/>
    <w:rsid w:val="00CB2037"/>
    <w:rsid w:val="00CB278D"/>
    <w:rsid w:val="00CB2B4B"/>
    <w:rsid w:val="00CB388E"/>
    <w:rsid w:val="00CC181B"/>
    <w:rsid w:val="00CC32DF"/>
    <w:rsid w:val="00CC6FC3"/>
    <w:rsid w:val="00CD0146"/>
    <w:rsid w:val="00CD1885"/>
    <w:rsid w:val="00CD4250"/>
    <w:rsid w:val="00CD6F49"/>
    <w:rsid w:val="00CD71A8"/>
    <w:rsid w:val="00CE030A"/>
    <w:rsid w:val="00CE1C2F"/>
    <w:rsid w:val="00CE336E"/>
    <w:rsid w:val="00CE39DC"/>
    <w:rsid w:val="00CE56EA"/>
    <w:rsid w:val="00CE6062"/>
    <w:rsid w:val="00CF3C32"/>
    <w:rsid w:val="00CF7AAB"/>
    <w:rsid w:val="00D0127A"/>
    <w:rsid w:val="00D0430A"/>
    <w:rsid w:val="00D05C2C"/>
    <w:rsid w:val="00D0692E"/>
    <w:rsid w:val="00D1001F"/>
    <w:rsid w:val="00D1064B"/>
    <w:rsid w:val="00D10BAE"/>
    <w:rsid w:val="00D1234B"/>
    <w:rsid w:val="00D126E8"/>
    <w:rsid w:val="00D134D4"/>
    <w:rsid w:val="00D15046"/>
    <w:rsid w:val="00D1611F"/>
    <w:rsid w:val="00D24E68"/>
    <w:rsid w:val="00D3216F"/>
    <w:rsid w:val="00D35EAF"/>
    <w:rsid w:val="00D4210B"/>
    <w:rsid w:val="00D45825"/>
    <w:rsid w:val="00D472B7"/>
    <w:rsid w:val="00D5156A"/>
    <w:rsid w:val="00D518D7"/>
    <w:rsid w:val="00D52A58"/>
    <w:rsid w:val="00D536C1"/>
    <w:rsid w:val="00D53A2B"/>
    <w:rsid w:val="00D55102"/>
    <w:rsid w:val="00D654A7"/>
    <w:rsid w:val="00D67C5D"/>
    <w:rsid w:val="00D73105"/>
    <w:rsid w:val="00D75EF8"/>
    <w:rsid w:val="00D803B4"/>
    <w:rsid w:val="00D83920"/>
    <w:rsid w:val="00D84303"/>
    <w:rsid w:val="00D87123"/>
    <w:rsid w:val="00D90D69"/>
    <w:rsid w:val="00D95F4B"/>
    <w:rsid w:val="00DA5ACB"/>
    <w:rsid w:val="00DA7EF2"/>
    <w:rsid w:val="00DB40D8"/>
    <w:rsid w:val="00DB4433"/>
    <w:rsid w:val="00DB49D4"/>
    <w:rsid w:val="00DC0441"/>
    <w:rsid w:val="00DC4F72"/>
    <w:rsid w:val="00DC781F"/>
    <w:rsid w:val="00DD1022"/>
    <w:rsid w:val="00DD1088"/>
    <w:rsid w:val="00DD1FF2"/>
    <w:rsid w:val="00DD4BBD"/>
    <w:rsid w:val="00DD4E6F"/>
    <w:rsid w:val="00DE055E"/>
    <w:rsid w:val="00DE07AA"/>
    <w:rsid w:val="00DE53F8"/>
    <w:rsid w:val="00DE7468"/>
    <w:rsid w:val="00DF0E02"/>
    <w:rsid w:val="00DF0F95"/>
    <w:rsid w:val="00DF10AE"/>
    <w:rsid w:val="00DF3BB0"/>
    <w:rsid w:val="00DF6831"/>
    <w:rsid w:val="00E011AB"/>
    <w:rsid w:val="00E05187"/>
    <w:rsid w:val="00E062EC"/>
    <w:rsid w:val="00E0681C"/>
    <w:rsid w:val="00E16687"/>
    <w:rsid w:val="00E20624"/>
    <w:rsid w:val="00E221C7"/>
    <w:rsid w:val="00E22238"/>
    <w:rsid w:val="00E27D0E"/>
    <w:rsid w:val="00E3387C"/>
    <w:rsid w:val="00E402F4"/>
    <w:rsid w:val="00E4084C"/>
    <w:rsid w:val="00E5349F"/>
    <w:rsid w:val="00E54EDF"/>
    <w:rsid w:val="00E550D3"/>
    <w:rsid w:val="00E57717"/>
    <w:rsid w:val="00E61BFE"/>
    <w:rsid w:val="00E64D27"/>
    <w:rsid w:val="00E67F42"/>
    <w:rsid w:val="00E71791"/>
    <w:rsid w:val="00E735A7"/>
    <w:rsid w:val="00E76F91"/>
    <w:rsid w:val="00E82866"/>
    <w:rsid w:val="00E85C13"/>
    <w:rsid w:val="00E867AE"/>
    <w:rsid w:val="00E975B7"/>
    <w:rsid w:val="00E97D6B"/>
    <w:rsid w:val="00EA01E4"/>
    <w:rsid w:val="00EA5BCD"/>
    <w:rsid w:val="00EA6347"/>
    <w:rsid w:val="00EA7321"/>
    <w:rsid w:val="00EC0636"/>
    <w:rsid w:val="00EC0C7E"/>
    <w:rsid w:val="00EC610F"/>
    <w:rsid w:val="00EC61F6"/>
    <w:rsid w:val="00ED1B25"/>
    <w:rsid w:val="00ED449D"/>
    <w:rsid w:val="00ED54E7"/>
    <w:rsid w:val="00EE0718"/>
    <w:rsid w:val="00EE0B92"/>
    <w:rsid w:val="00EE1D17"/>
    <w:rsid w:val="00EE4B34"/>
    <w:rsid w:val="00EE5F83"/>
    <w:rsid w:val="00EE70F7"/>
    <w:rsid w:val="00EF2467"/>
    <w:rsid w:val="00EF39E9"/>
    <w:rsid w:val="00EF51F4"/>
    <w:rsid w:val="00F00535"/>
    <w:rsid w:val="00F018E6"/>
    <w:rsid w:val="00F0485B"/>
    <w:rsid w:val="00F13834"/>
    <w:rsid w:val="00F1400C"/>
    <w:rsid w:val="00F15CC4"/>
    <w:rsid w:val="00F166A9"/>
    <w:rsid w:val="00F20215"/>
    <w:rsid w:val="00F223B2"/>
    <w:rsid w:val="00F2536D"/>
    <w:rsid w:val="00F33EA8"/>
    <w:rsid w:val="00F3521C"/>
    <w:rsid w:val="00F50128"/>
    <w:rsid w:val="00F57349"/>
    <w:rsid w:val="00F57891"/>
    <w:rsid w:val="00F60E99"/>
    <w:rsid w:val="00F6217F"/>
    <w:rsid w:val="00F622FA"/>
    <w:rsid w:val="00F6270A"/>
    <w:rsid w:val="00F62A6F"/>
    <w:rsid w:val="00F749EC"/>
    <w:rsid w:val="00F77DCC"/>
    <w:rsid w:val="00F801EB"/>
    <w:rsid w:val="00F82FEA"/>
    <w:rsid w:val="00F85C6F"/>
    <w:rsid w:val="00F85E12"/>
    <w:rsid w:val="00F86225"/>
    <w:rsid w:val="00F862AD"/>
    <w:rsid w:val="00F9007A"/>
    <w:rsid w:val="00F93660"/>
    <w:rsid w:val="00F93B95"/>
    <w:rsid w:val="00FA0EAE"/>
    <w:rsid w:val="00FA6FD6"/>
    <w:rsid w:val="00FA720A"/>
    <w:rsid w:val="00FB42B7"/>
    <w:rsid w:val="00FB4CC2"/>
    <w:rsid w:val="00FC4A3A"/>
    <w:rsid w:val="00FC4CB3"/>
    <w:rsid w:val="00FC5CF8"/>
    <w:rsid w:val="00FD1071"/>
    <w:rsid w:val="00FD4132"/>
    <w:rsid w:val="00FE2C1C"/>
    <w:rsid w:val="00FE4962"/>
    <w:rsid w:val="00FE6F35"/>
    <w:rsid w:val="00FE7283"/>
    <w:rsid w:val="00FE7B37"/>
    <w:rsid w:val="00FF50D6"/>
    <w:rsid w:val="00FF55D8"/>
    <w:rsid w:val="00FF66AA"/>
    <w:rsid w:val="00FF6723"/>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349E8D"/>
  <w15:docId w15:val="{22718BBD-86CA-47E3-8D79-AB80F3A32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062"/>
  </w:style>
  <w:style w:type="paragraph" w:styleId="Heading3">
    <w:name w:val="heading 3"/>
    <w:basedOn w:val="Normal"/>
    <w:next w:val="Normal"/>
    <w:link w:val="Heading3Char"/>
    <w:qFormat/>
    <w:rsid w:val="00060647"/>
    <w:pPr>
      <w:keepNext/>
      <w:spacing w:after="0" w:line="360" w:lineRule="atLeast"/>
      <w:ind w:left="283" w:hanging="283"/>
      <w:jc w:val="center"/>
      <w:outlineLvl w:val="2"/>
    </w:pPr>
    <w:rPr>
      <w:rFonts w:ascii="Times New Roman" w:eastAsia="MS Mincho" w:hAnsi="Times New Roman" w:cs="Times New Roman"/>
      <w:b/>
      <w:sz w:val="26"/>
      <w:szCs w:val="20"/>
      <w:lang w:val="en-GB"/>
    </w:rPr>
  </w:style>
  <w:style w:type="paragraph" w:styleId="Heading7">
    <w:name w:val="heading 7"/>
    <w:basedOn w:val="Normal"/>
    <w:next w:val="Normal"/>
    <w:link w:val="Heading7Char"/>
    <w:uiPriority w:val="9"/>
    <w:semiHidden/>
    <w:unhideWhenUsed/>
    <w:qFormat/>
    <w:rsid w:val="00BC048A"/>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EA2"/>
  </w:style>
  <w:style w:type="paragraph" w:styleId="ListParagraph">
    <w:name w:val="List Paragraph"/>
    <w:basedOn w:val="Normal"/>
    <w:link w:val="ListParagraphChar"/>
    <w:uiPriority w:val="1"/>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nhideWhenUsed/>
    <w:rsid w:val="006601B7"/>
    <w:rPr>
      <w:sz w:val="16"/>
      <w:szCs w:val="16"/>
    </w:rPr>
  </w:style>
  <w:style w:type="paragraph" w:styleId="CommentText">
    <w:name w:val="annotation text"/>
    <w:basedOn w:val="Normal"/>
    <w:link w:val="CommentTextChar"/>
    <w:unhideWhenUsed/>
    <w:rsid w:val="006601B7"/>
    <w:pPr>
      <w:spacing w:line="240" w:lineRule="auto"/>
    </w:pPr>
    <w:rPr>
      <w:sz w:val="20"/>
      <w:szCs w:val="20"/>
    </w:rPr>
  </w:style>
  <w:style w:type="character" w:customStyle="1" w:styleId="CommentTextChar">
    <w:name w:val="Comment Text Char"/>
    <w:basedOn w:val="DefaultParagraphFont"/>
    <w:link w:val="CommentText"/>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BodyText3">
    <w:name w:val="Body Text 3"/>
    <w:basedOn w:val="Normal"/>
    <w:link w:val="BodyText3Char"/>
    <w:rsid w:val="00A64F8C"/>
    <w:pPr>
      <w:tabs>
        <w:tab w:val="left" w:pos="-720"/>
      </w:tabs>
      <w:spacing w:after="0" w:line="360" w:lineRule="atLeast"/>
      <w:jc w:val="both"/>
    </w:pPr>
    <w:rPr>
      <w:rFonts w:ascii="Arial" w:eastAsia="MS Mincho" w:hAnsi="Arial" w:cs="Times New Roman"/>
      <w:sz w:val="26"/>
      <w:szCs w:val="20"/>
      <w:lang w:val="en-GB"/>
    </w:rPr>
  </w:style>
  <w:style w:type="character" w:customStyle="1" w:styleId="BodyText3Char">
    <w:name w:val="Body Text 3 Char"/>
    <w:basedOn w:val="DefaultParagraphFont"/>
    <w:link w:val="BodyText3"/>
    <w:rsid w:val="00A64F8C"/>
    <w:rPr>
      <w:rFonts w:ascii="Arial" w:eastAsia="MS Mincho" w:hAnsi="Arial" w:cs="Times New Roman"/>
      <w:sz w:val="26"/>
      <w:szCs w:val="20"/>
      <w:lang w:val="en-GB"/>
    </w:rPr>
  </w:style>
  <w:style w:type="character" w:customStyle="1" w:styleId="Heading3Char">
    <w:name w:val="Heading 3 Char"/>
    <w:basedOn w:val="DefaultParagraphFont"/>
    <w:link w:val="Heading3"/>
    <w:rsid w:val="00060647"/>
    <w:rPr>
      <w:rFonts w:ascii="Times New Roman" w:eastAsia="MS Mincho" w:hAnsi="Times New Roman" w:cs="Times New Roman"/>
      <w:b/>
      <w:sz w:val="26"/>
      <w:szCs w:val="20"/>
      <w:lang w:val="en-GB"/>
    </w:rPr>
  </w:style>
  <w:style w:type="paragraph" w:styleId="FootnoteText">
    <w:name w:val="footnote text"/>
    <w:aliases w:val="Footnote Text Char2,Footnote Text Char Char1,Fußnotentext Char Char2 Char1,Char Char1 Char2 Char1,Fußnotentext Char Char Char1 Char1,Char Char1 Char Char1 Char1,Fußnotentext Char Char Char Char Char1,Char Char1 Char Char Char Char1,Fußnot"/>
    <w:basedOn w:val="Normal"/>
    <w:link w:val="FootnoteTextChar"/>
    <w:uiPriority w:val="99"/>
    <w:semiHidden/>
    <w:rsid w:val="00404EBF"/>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aliases w:val="Footnote Text Char2 Char,Footnote Text Char Char1 Char,Fußnotentext Char Char2 Char1 Char,Char Char1 Char2 Char1 Char,Fußnotentext Char Char Char1 Char1 Char,Char Char1 Char Char1 Char1 Char,Fußnotentext Char Char Char Char Char1 Char"/>
    <w:basedOn w:val="DefaultParagraphFont"/>
    <w:link w:val="FootnoteText"/>
    <w:uiPriority w:val="99"/>
    <w:rsid w:val="00404EBF"/>
    <w:rPr>
      <w:rFonts w:ascii="Times New Roman" w:eastAsia="MS Mincho" w:hAnsi="Times New Roman" w:cs="Times New Roman"/>
      <w:sz w:val="20"/>
      <w:szCs w:val="20"/>
      <w:lang w:val="sq-AL"/>
    </w:rPr>
  </w:style>
  <w:style w:type="character" w:styleId="FootnoteReference">
    <w:name w:val="footnote reference"/>
    <w:aliases w:val="BVI fnr,fr,ftref"/>
    <w:uiPriority w:val="99"/>
    <w:semiHidden/>
    <w:rsid w:val="00404EBF"/>
    <w:rPr>
      <w:vertAlign w:val="superscript"/>
    </w:rPr>
  </w:style>
  <w:style w:type="paragraph" w:styleId="BodyText2">
    <w:name w:val="Body Text 2"/>
    <w:basedOn w:val="Normal"/>
    <w:link w:val="BodyText2Char"/>
    <w:uiPriority w:val="99"/>
    <w:semiHidden/>
    <w:unhideWhenUsed/>
    <w:rsid w:val="00500BA4"/>
    <w:pPr>
      <w:spacing w:after="120" w:line="480" w:lineRule="auto"/>
    </w:pPr>
  </w:style>
  <w:style w:type="character" w:customStyle="1" w:styleId="BodyText2Char">
    <w:name w:val="Body Text 2 Char"/>
    <w:basedOn w:val="DefaultParagraphFont"/>
    <w:link w:val="BodyText2"/>
    <w:uiPriority w:val="99"/>
    <w:semiHidden/>
    <w:rsid w:val="00500BA4"/>
  </w:style>
  <w:style w:type="character" w:customStyle="1" w:styleId="Heading7Char">
    <w:name w:val="Heading 7 Char"/>
    <w:basedOn w:val="DefaultParagraphFont"/>
    <w:link w:val="Heading7"/>
    <w:rsid w:val="00BC048A"/>
    <w:rPr>
      <w:rFonts w:asciiTheme="majorHAnsi" w:eastAsiaTheme="majorEastAsia" w:hAnsiTheme="majorHAnsi" w:cstheme="majorBidi"/>
      <w:i/>
      <w:iCs/>
      <w:color w:val="243F60" w:themeColor="accent1" w:themeShade="7F"/>
    </w:rPr>
  </w:style>
  <w:style w:type="paragraph" w:customStyle="1" w:styleId="Default">
    <w:name w:val="Default"/>
    <w:rsid w:val="000550BD"/>
    <w:pPr>
      <w:autoSpaceDE w:val="0"/>
      <w:autoSpaceDN w:val="0"/>
      <w:adjustRightInd w:val="0"/>
      <w:spacing w:after="0" w:line="240" w:lineRule="auto"/>
    </w:pPr>
    <w:rPr>
      <w:rFonts w:ascii="Arial" w:hAnsi="Arial" w:cs="Arial"/>
      <w:color w:val="000000"/>
      <w:sz w:val="24"/>
      <w:szCs w:val="24"/>
    </w:rPr>
  </w:style>
  <w:style w:type="character" w:styleId="Hyperlink">
    <w:name w:val="Hyperlink"/>
    <w:rsid w:val="000523DD"/>
    <w:rPr>
      <w:color w:val="0000FF"/>
      <w:u w:val="single"/>
    </w:rPr>
  </w:style>
  <w:style w:type="paragraph" w:styleId="NormalWeb">
    <w:name w:val="Normal (Web)"/>
    <w:basedOn w:val="Normal"/>
    <w:uiPriority w:val="99"/>
    <w:unhideWhenUsed/>
    <w:rsid w:val="001C3FD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A7128"/>
    <w:pPr>
      <w:spacing w:before="100" w:after="0" w:line="240" w:lineRule="auto"/>
    </w:pPr>
    <w:rPr>
      <w:rFonts w:ascii="Calibri" w:eastAsia="Times New Roman" w:hAnsi="Calibri" w:cs="Times New Roman"/>
      <w:sz w:val="20"/>
      <w:szCs w:val="20"/>
    </w:rPr>
  </w:style>
  <w:style w:type="paragraph" w:customStyle="1" w:styleId="CM19">
    <w:name w:val="CM19"/>
    <w:basedOn w:val="Default"/>
    <w:next w:val="Default"/>
    <w:rsid w:val="00B0521B"/>
    <w:pPr>
      <w:widowControl w:val="0"/>
      <w:spacing w:line="253" w:lineRule="atLeast"/>
    </w:pPr>
    <w:rPr>
      <w:rFonts w:eastAsia="Times New Roman"/>
      <w:color w:val="auto"/>
      <w:lang w:val="sq-AL" w:eastAsia="sq-AL"/>
    </w:rPr>
  </w:style>
  <w:style w:type="paragraph" w:customStyle="1" w:styleId="CM12">
    <w:name w:val="CM12"/>
    <w:basedOn w:val="Default"/>
    <w:next w:val="Default"/>
    <w:rsid w:val="009B6A6D"/>
    <w:pPr>
      <w:widowControl w:val="0"/>
      <w:spacing w:line="253" w:lineRule="atLeast"/>
    </w:pPr>
    <w:rPr>
      <w:rFonts w:eastAsia="Times New Roman"/>
      <w:color w:val="auto"/>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577666588">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 w:id="126596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3CD7DB14BDA3462AB9B680893AC1C17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42</Nr_x002e__x0020_akti>
    <Data_x0020_e_x0020_Krijimit xmlns="0e656187-b300-4fb0-8bf4-3a50f872073c">2025-09-10T14:15:10Z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2025-09-10T00:00:00Z</Date_x0020_protokolli>
    <Titulli xmlns="0e656187-b300-4fb0-8bf4-3a50f872073c">Për disa ndryshime në rregulloren "Për licencimin, organizimin, veprimtarinë dhe mbikëqyrjen e zyrave të këmbimit valutor"</Titulli>
    <Modifikuesi xmlns="0e656187-b300-4fb0-8bf4-3a50f872073c">keisina.zace</Modifikuesi>
    <Nr_x002e__x0020_prot_x0020_QBZ xmlns="0e656187-b300-4fb0-8bf4-3a50f872073c">1458/1</Nr_x002e__x0020_prot_x0020_QBZ>
    <Data_x0020_e_x0020_Modifikimit xmlns="0e656187-b300-4fb0-8bf4-3a50f872073c">2025-09-11T10:06:36Z</Data_x0020_e_x0020_Modifikimit>
    <Dekretuar xmlns="0e656187-b300-4fb0-8bf4-3a50f872073c">false</Dekretuar>
    <Data xmlns="0e656187-b300-4fb0-8bf4-3a50f872073c">2025-09-03T00:00:00Z</Data>
    <Nr_x002e__x0020_protokolli_x0020_i_x0020_aktit xmlns="0e656187-b300-4fb0-8bf4-3a50f872073c">3957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CD7DB14BDA3462AB9B680893AC1C17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B2ADB-73B6-4D27-88B7-353FA99FAFD1}">
  <ds:schemaRefs>
    <ds:schemaRef ds:uri="http://schemas.microsoft.com/sharepoint/v3/contenttype/forms"/>
  </ds:schemaRefs>
</ds:datastoreItem>
</file>

<file path=customXml/itemProps2.xml><?xml version="1.0" encoding="utf-8"?>
<ds:datastoreItem xmlns:ds="http://schemas.openxmlformats.org/officeDocument/2006/customXml" ds:itemID="{6CECA2D7-6C3C-4408-BBEC-ABE670D2F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943217-B842-43AD-987B-EE6CF1C8F6D8}">
  <ds:schemaRefs>
    <ds:schemaRef ds:uri="0e656187-b300-4fb0-8bf4-3a50f872073c"/>
    <ds:schemaRef ds:uri="http://purl.org/dc/term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3A82E9A1-2ACC-4D7C-BA3E-94703D215E82}">
  <ds:schemaRefs>
    <ds:schemaRef ds:uri="http://schemas.microsoft.com/sharepoint/v3/contenttype/forms"/>
  </ds:schemaRefs>
</ds:datastoreItem>
</file>

<file path=customXml/itemProps5.xml><?xml version="1.0" encoding="utf-8"?>
<ds:datastoreItem xmlns:ds="http://schemas.openxmlformats.org/officeDocument/2006/customXml" ds:itemID="{6178C000-0349-4270-8409-EC726E569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4C37E9A-1ADB-4B41-8DD7-05318EC2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2924</Words>
  <Characters>16670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Eduart Nela</dc:creator>
  <cp:lastModifiedBy>Jorina Kryeziu</cp:lastModifiedBy>
  <cp:revision>8</cp:revision>
  <cp:lastPrinted>2025-09-11T09:11:00Z</cp:lastPrinted>
  <dcterms:created xsi:type="dcterms:W3CDTF">2025-09-03T07:27:00Z</dcterms:created>
  <dcterms:modified xsi:type="dcterms:W3CDTF">2025-09-11T10:03:00Z</dcterms:modified>
</cp:coreProperties>
</file>