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D957D1" w14:textId="72DCEED7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b/>
          <w:bCs/>
          <w:color w:val="000000"/>
          <w:sz w:val="24"/>
          <w:szCs w:val="24"/>
          <w14:ligatures w14:val="standardContextual"/>
        </w:rPr>
        <w:t>VENDIM</w:t>
      </w:r>
    </w:p>
    <w:p w14:paraId="1F0AA619" w14:textId="5DBCF903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b/>
          <w:bCs/>
          <w:color w:val="000000"/>
          <w:sz w:val="24"/>
          <w:szCs w:val="24"/>
          <w14:ligatures w14:val="standardContextual"/>
        </w:rPr>
        <w:t>Nr. 7, datë 25.3.2026</w:t>
      </w:r>
    </w:p>
    <w:p w14:paraId="6E6678AF" w14:textId="77777777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mallCaps/>
          <w:color w:val="000000"/>
          <w:sz w:val="24"/>
          <w:szCs w:val="24"/>
          <w14:ligatures w14:val="standardContextual"/>
        </w:rPr>
      </w:pPr>
    </w:p>
    <w:p w14:paraId="1806F403" w14:textId="63645063" w:rsidR="00BE43FD" w:rsidRPr="0076610B" w:rsidRDefault="00BE43FD" w:rsidP="00BE43FD">
      <w:pPr>
        <w:spacing w:after="0" w:line="240" w:lineRule="auto"/>
        <w:ind w:firstLine="284"/>
        <w:jc w:val="center"/>
        <w:rPr>
          <w:rFonts w:ascii="Garamond" w:hAnsi="Garamond"/>
          <w:b/>
          <w:sz w:val="24"/>
        </w:rPr>
      </w:pPr>
      <w:r w:rsidRPr="0076610B">
        <w:rPr>
          <w:rFonts w:ascii="Garamond" w:hAnsi="Garamond"/>
          <w:b/>
          <w:sz w:val="24"/>
        </w:rPr>
        <w:t xml:space="preserve">PËR DHËNIEN E LICENCËS BANKËS “BANKA </w:t>
      </w:r>
      <w:proofErr w:type="spellStart"/>
      <w:r w:rsidRPr="0076610B">
        <w:rPr>
          <w:rFonts w:ascii="Garamond" w:hAnsi="Garamond"/>
          <w:b/>
          <w:sz w:val="24"/>
        </w:rPr>
        <w:t>JET</w:t>
      </w:r>
      <w:proofErr w:type="spellEnd"/>
      <w:r w:rsidRPr="0076610B">
        <w:rPr>
          <w:rFonts w:ascii="Garamond" w:hAnsi="Garamond"/>
          <w:b/>
          <w:sz w:val="24"/>
        </w:rPr>
        <w:t>” SHA NË REPUBLIKËN E SHQIPËRISË</w:t>
      </w:r>
    </w:p>
    <w:p w14:paraId="01A53F04" w14:textId="77777777" w:rsidR="00BE43FD" w:rsidRPr="0076610B" w:rsidRDefault="00BE43FD" w:rsidP="00BE43FD">
      <w:pPr>
        <w:tabs>
          <w:tab w:val="left" w:pos="518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14:ligatures w14:val="standardContextual"/>
        </w:rPr>
      </w:pPr>
    </w:p>
    <w:p w14:paraId="3B6F2823" w14:textId="2F65441B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>Në bazë dhe për zbatim të shkronjës “e”</w:t>
      </w:r>
      <w:r w:rsid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>,</w:t>
      </w: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 të nenit 43</w:t>
      </w:r>
      <w:r w:rsid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>,</w:t>
      </w: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 të ligjit nr. 8269, datë 23.12.1997, “Për Bankën e Shqipërisë”, </w:t>
      </w:r>
      <w:r w:rsid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>të</w:t>
      </w: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 ndryshuar; të neneve 14, 20, 21 dhe 54</w:t>
      </w:r>
      <w:r w:rsid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>,</w:t>
      </w: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 të ligjit nr.</w:t>
      </w:r>
      <w:r w:rsid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 </w:t>
      </w: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9662, datë 18.12.2006, “Për bankat në Republikën e Shqipërisë”, </w:t>
      </w:r>
      <w:r w:rsid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>të</w:t>
      </w: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 ndryshuar; të rregullores “Për licencimin dhe ushtrimin e veprimtarisë së bankave dhe të degëve të bankave të huaja në Republikën e Shqipërisë”, miratuar me vendimin nr. 14, datë 11.3.2009, të Këshillit Mbikëqyrës të Bankës së Shqipërisë, </w:t>
      </w:r>
      <w:r w:rsid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>të</w:t>
      </w: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 ndryshuar; dhe të pikës 2 të </w:t>
      </w:r>
      <w:r w:rsidR="0076610B"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shtojcës </w:t>
      </w: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nr. 1 të rregullores “Për përcaktimin e nivelit të vendimmarrjes në mbikëqyrjen e veprimtarive bankare dhe financiare”, miratuar me vendimin nr. 36, datë 26.5.2010, të Këshillit Mbikëqyrës, </w:t>
      </w:r>
      <w:r w:rsid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>të</w:t>
      </w: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 ndryshuar; si dhe me propozim të Departamentit të Mbikëqyrjes, Këshilli Mbikëqyrës i Bankës së Shqipërisë</w:t>
      </w:r>
    </w:p>
    <w:p w14:paraId="32639C96" w14:textId="77777777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color w:val="000000"/>
          <w:sz w:val="24"/>
          <w:szCs w:val="24"/>
          <w14:ligatures w14:val="standardContextual"/>
        </w:rPr>
      </w:pPr>
    </w:p>
    <w:p w14:paraId="327AEB94" w14:textId="77777777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mallCap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>VENDOSI</w:t>
      </w:r>
      <w:r w:rsidRPr="0076610B">
        <w:rPr>
          <w:rFonts w:ascii="Garamond" w:hAnsi="Garamond" w:cs="Times New Roman"/>
          <w:smallCaps/>
          <w:color w:val="000000"/>
          <w:sz w:val="24"/>
          <w:szCs w:val="24"/>
          <w14:ligatures w14:val="standardContextual"/>
        </w:rPr>
        <w:t>:</w:t>
      </w:r>
    </w:p>
    <w:p w14:paraId="30AC5260" w14:textId="77777777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14:ligatures w14:val="standardContextual"/>
        </w:rPr>
      </w:pPr>
    </w:p>
    <w:p w14:paraId="6055276A" w14:textId="6E19CC3E" w:rsidR="00BE43FD" w:rsidRPr="0076610B" w:rsidRDefault="00BE43FD" w:rsidP="00BE43FD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sz w:val="24"/>
          <w:szCs w:val="24"/>
          <w14:ligatures w14:val="standardContextual"/>
        </w:rPr>
        <w:t xml:space="preserve">1. Të miratojë dhënien e licencës për ushtrimin e veprimtarisë bankare dhe financiare bankës “Banka </w:t>
      </w:r>
      <w:proofErr w:type="spellStart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>Jet</w:t>
      </w:r>
      <w:proofErr w:type="spellEnd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 xml:space="preserve">” </w:t>
      </w:r>
      <w:proofErr w:type="spellStart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>sh.a</w:t>
      </w:r>
      <w:proofErr w:type="spellEnd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>. në Republikën e Shqipërisë.</w:t>
      </w:r>
    </w:p>
    <w:p w14:paraId="3DD5F49C" w14:textId="2D89A7AA" w:rsidR="00BE43FD" w:rsidRPr="0076610B" w:rsidRDefault="00BE43FD" w:rsidP="00BE43FD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sz w:val="24"/>
          <w:szCs w:val="24"/>
          <w14:ligatures w14:val="standardContextual"/>
        </w:rPr>
        <w:t xml:space="preserve">2. Të miratojë kryerjen e veprimtarive bankare dhe financiare për “Bankën </w:t>
      </w:r>
      <w:proofErr w:type="spellStart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>Jet</w:t>
      </w:r>
      <w:proofErr w:type="spellEnd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 xml:space="preserve">” </w:t>
      </w:r>
      <w:proofErr w:type="spellStart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>sh.a</w:t>
      </w:r>
      <w:proofErr w:type="spellEnd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 xml:space="preserve">., sipas </w:t>
      </w:r>
      <w:r w:rsidR="000E19EF" w:rsidRPr="0076610B">
        <w:rPr>
          <w:rFonts w:ascii="Garamond" w:hAnsi="Garamond" w:cs="Times New Roman"/>
          <w:sz w:val="24"/>
          <w:szCs w:val="24"/>
          <w14:ligatures w14:val="standardContextual"/>
        </w:rPr>
        <w:t xml:space="preserve">shtojcës </w:t>
      </w:r>
      <w:r w:rsidRPr="0076610B">
        <w:rPr>
          <w:rFonts w:ascii="Garamond" w:hAnsi="Garamond" w:cs="Times New Roman"/>
          <w:sz w:val="24"/>
          <w:szCs w:val="24"/>
          <w14:ligatures w14:val="standardContextual"/>
        </w:rPr>
        <w:t xml:space="preserve">1 bashkëlidhur të këtij vendimi. </w:t>
      </w:r>
    </w:p>
    <w:p w14:paraId="5415DC1D" w14:textId="32293BB0" w:rsidR="00BE43FD" w:rsidRPr="0076610B" w:rsidRDefault="00BE43FD" w:rsidP="00BE43FD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sz w:val="24"/>
          <w:szCs w:val="24"/>
          <w14:ligatures w14:val="standardContextual"/>
        </w:rPr>
        <w:t xml:space="preserve">3. Ngarkohet “Banka </w:t>
      </w:r>
      <w:proofErr w:type="spellStart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>Jet</w:t>
      </w:r>
      <w:proofErr w:type="spellEnd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 xml:space="preserve">” </w:t>
      </w:r>
      <w:proofErr w:type="spellStart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>sh.a</w:t>
      </w:r>
      <w:proofErr w:type="spellEnd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 xml:space="preserve">. që të njoftojë me shkrim Bankën e Shqipërisë dhe Agjencinë e Sigurimit të Depozitave për datën e fillimit të veprimtarisë. </w:t>
      </w:r>
    </w:p>
    <w:p w14:paraId="65AA1D66" w14:textId="1F1CF684" w:rsidR="00BE43FD" w:rsidRPr="0076610B" w:rsidRDefault="00BE43FD" w:rsidP="00BE43FD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sz w:val="24"/>
          <w:szCs w:val="24"/>
          <w14:ligatures w14:val="standardContextual"/>
        </w:rPr>
        <w:t xml:space="preserve">4. Ngarkohet Departamenti i Mbikëqyrjes, Departamenti i Sistemeve të Pagesave, Kontabilitetit dhe Financës dhe Departamenti i Operacioneve Monetare për ndjekjen e zbatimit të këtij vendimi. </w:t>
      </w:r>
    </w:p>
    <w:p w14:paraId="4A36BC3A" w14:textId="236FCCA6" w:rsidR="00BE43FD" w:rsidRPr="0076610B" w:rsidRDefault="00BE43FD" w:rsidP="00BE43FD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sz w:val="24"/>
          <w:szCs w:val="24"/>
          <w14:ligatures w14:val="standardContextual"/>
        </w:rPr>
        <w:t xml:space="preserve">5. Ngarkohet Guvernatori me nënshkrimin e licencës të bankës “Banka </w:t>
      </w:r>
      <w:proofErr w:type="spellStart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>Jet</w:t>
      </w:r>
      <w:proofErr w:type="spellEnd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 xml:space="preserve">” </w:t>
      </w:r>
      <w:proofErr w:type="spellStart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>sh.a</w:t>
      </w:r>
      <w:proofErr w:type="spellEnd"/>
      <w:r w:rsidRPr="0076610B">
        <w:rPr>
          <w:rFonts w:ascii="Garamond" w:hAnsi="Garamond" w:cs="Times New Roman"/>
          <w:sz w:val="24"/>
          <w:szCs w:val="24"/>
          <w14:ligatures w14:val="standardContextual"/>
        </w:rPr>
        <w:t xml:space="preserve">. dhe aneksit të veprimtarive, bashkëlidhur licencës. </w:t>
      </w:r>
    </w:p>
    <w:p w14:paraId="30DFE5AC" w14:textId="2033AD39" w:rsidR="00BE43FD" w:rsidRPr="0076610B" w:rsidRDefault="00BE43FD" w:rsidP="00BE43FD">
      <w:pPr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sz w:val="24"/>
          <w:szCs w:val="24"/>
          <w14:ligatures w14:val="standardContextual"/>
        </w:rPr>
        <w:t>6. Ngarkohen Kabineti i Guvernatorit dhe Departamenti i Kërkimeve për publikimin e këtij vendimi, përkatësisht në Fletoren Zyrtare të Republikës së Shqipërisë dhe në Buletinin Zyrtar të Bankës së Shqipërisë.</w:t>
      </w:r>
    </w:p>
    <w:p w14:paraId="01B60BE3" w14:textId="0821EAB6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>Ky vendim hyn në fuqi menjëherë.</w:t>
      </w:r>
      <w:r w:rsidR="0076610B"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 </w:t>
      </w:r>
    </w:p>
    <w:p w14:paraId="628A957E" w14:textId="77777777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14:ligatures w14:val="standardContextual"/>
        </w:rPr>
      </w:pPr>
    </w:p>
    <w:p w14:paraId="7C6D5F7D" w14:textId="1A8DEA78" w:rsidR="00BE43FD" w:rsidRPr="0076610B" w:rsidRDefault="00BE43FD" w:rsidP="00BE43FD">
      <w:pPr>
        <w:tabs>
          <w:tab w:val="left" w:pos="2820"/>
          <w:tab w:val="left" w:pos="5499"/>
          <w:tab w:val="left" w:pos="8307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>KRYETAR</w:t>
      </w:r>
      <w:r w:rsidRPr="0076610B">
        <w:rPr>
          <w:rFonts w:ascii="Garamond" w:hAnsi="Garamond" w:cs="Times New Roman"/>
          <w:b/>
          <w:bCs/>
          <w:color w:val="000000"/>
          <w:sz w:val="24"/>
          <w:szCs w:val="24"/>
          <w14:ligatures w14:val="standardContextual"/>
        </w:rPr>
        <w:t xml:space="preserve"> </w:t>
      </w:r>
    </w:p>
    <w:p w14:paraId="3378CA09" w14:textId="62FD80D3" w:rsidR="00BE43FD" w:rsidRPr="0076610B" w:rsidRDefault="00BE43FD" w:rsidP="00BE43FD">
      <w:pPr>
        <w:tabs>
          <w:tab w:val="left" w:pos="2820"/>
          <w:tab w:val="left" w:pos="5499"/>
          <w:tab w:val="left" w:pos="8307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b/>
          <w:b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b/>
          <w:bCs/>
          <w:color w:val="000000"/>
          <w:sz w:val="24"/>
          <w:szCs w:val="24"/>
          <w14:ligatures w14:val="standardContextual"/>
        </w:rPr>
        <w:t xml:space="preserve">Gent </w:t>
      </w:r>
      <w:proofErr w:type="spellStart"/>
      <w:r w:rsidRPr="0076610B">
        <w:rPr>
          <w:rFonts w:ascii="Garamond" w:hAnsi="Garamond" w:cs="Times New Roman"/>
          <w:b/>
          <w:bCs/>
          <w:color w:val="000000"/>
          <w:sz w:val="24"/>
          <w:szCs w:val="24"/>
          <w14:ligatures w14:val="standardContextual"/>
        </w:rPr>
        <w:t>Sejko</w:t>
      </w:r>
      <w:proofErr w:type="spellEnd"/>
      <w:r w:rsidRPr="0076610B">
        <w:rPr>
          <w:rFonts w:ascii="Garamond" w:hAnsi="Garamond" w:cs="Times New Roman"/>
          <w:b/>
          <w:bCs/>
          <w:color w:val="000000"/>
          <w:sz w:val="24"/>
          <w:szCs w:val="24"/>
          <w14:ligatures w14:val="standardContextual"/>
        </w:rPr>
        <w:t xml:space="preserve"> </w:t>
      </w:r>
    </w:p>
    <w:p w14:paraId="3244144A" w14:textId="77777777" w:rsidR="00BE43FD" w:rsidRPr="0076610B" w:rsidRDefault="00BE43FD" w:rsidP="00BE43FD">
      <w:pPr>
        <w:tabs>
          <w:tab w:val="left" w:pos="2820"/>
          <w:tab w:val="left" w:pos="5499"/>
          <w:tab w:val="left" w:pos="8307"/>
        </w:tabs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</w:p>
    <w:p w14:paraId="288437C6" w14:textId="767496CF" w:rsidR="00BE43FD" w:rsidRPr="0076610B" w:rsidRDefault="00BE43FD" w:rsidP="00BE43FD">
      <w:pPr>
        <w:tabs>
          <w:tab w:val="left" w:pos="2820"/>
          <w:tab w:val="left" w:pos="5499"/>
          <w:tab w:val="left" w:pos="8307"/>
        </w:tabs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Shtojca 1</w:t>
      </w:r>
    </w:p>
    <w:p w14:paraId="3A143743" w14:textId="610B0F94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Mbi veprimtaritë bankare dhe financiare,</w:t>
      </w: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 sipas përcaktimit të nenit 4 dhe nenit 54, pika 2, të ligjit për bankat, për të cilat licencohet dhe lejohet të ushtrojë veprimtari “Banka </w:t>
      </w:r>
      <w:proofErr w:type="spellStart"/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>Jet</w:t>
      </w:r>
      <w:proofErr w:type="spellEnd"/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” </w:t>
      </w:r>
      <w:proofErr w:type="spellStart"/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>sh.a</w:t>
      </w:r>
      <w:proofErr w:type="spellEnd"/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.: </w:t>
      </w:r>
    </w:p>
    <w:p w14:paraId="1A456906" w14:textId="1EE151E0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a</w:t>
      </w:r>
      <w:r w:rsidR="000E19EF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)</w:t>
      </w: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Pranimi i depozitave në para dhe i fondeve të </w:t>
      </w: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ripagueshme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nga publiku; </w:t>
      </w:r>
    </w:p>
    <w:p w14:paraId="73DAC41F" w14:textId="6011A6A2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b</w:t>
      </w:r>
      <w:r w:rsidR="000E19EF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)</w:t>
      </w: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Të gjitha format e </w:t>
      </w: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kredidhënies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, duke përfshirë edhe kredinë </w:t>
      </w: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konsumatore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dhe hipotekare; </w:t>
      </w:r>
    </w:p>
    <w:p w14:paraId="2AA2DB44" w14:textId="3AB0D671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c</w:t>
      </w:r>
      <w:r w:rsidR="000E19EF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)</w:t>
      </w: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Emetimin dhe administrimin e instrumenteve të pagesës (të tilla si</w:t>
      </w:r>
      <w:r w:rsidR="000E19EF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:</w:t>
      </w: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kartat e kreditit dhe të debitit, çeqet e udhëtarit dhe çeqet bankare, kartat e pagesës dhe pagesat me celular) etj., përfshir</w:t>
      </w:r>
      <w:r w:rsidR="006167D6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ë emetimin e parasë elektronike</w:t>
      </w: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; </w:t>
      </w:r>
    </w:p>
    <w:p w14:paraId="44C278E0" w14:textId="64BB3C7C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d</w:t>
      </w:r>
      <w:r w:rsidR="000E19EF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)</w:t>
      </w: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Shërbimet e pagesave duke përfshirë: </w:t>
      </w:r>
    </w:p>
    <w:p w14:paraId="73A3F38D" w14:textId="77777777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i. Shërbimet që mundësojnë depozitimin e parave fizike në një llogari pagese, si dhe të gjitha veprimet e nevojshme për funksionimin e një llogarie pagese; </w:t>
      </w:r>
    </w:p>
    <w:p w14:paraId="29873AFC" w14:textId="3C9E5045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ii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. Shërbimet që mundësojnë tërheqjen e parave fizike nga një llogari pagese, si dhe të gjitha veprimet e nevojshme për funksionimin e një llogarie pagese; </w:t>
      </w:r>
    </w:p>
    <w:p w14:paraId="43EEA93E" w14:textId="77777777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lastRenderedPageBreak/>
        <w:t>iii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. Ekzekutimi i transaksioneve të pagesave, duke përfshirë transferimet e fondeve në një llogari pagesash të çelur pranë ofruesit të shërbimit të pagesave të përdoruesit ose pranë një ofruesi tjetër të shërbimit të pagesave:</w:t>
      </w:r>
    </w:p>
    <w:p w14:paraId="5B076D92" w14:textId="5E34FF8C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- ekzekutimi i debitimeve </w:t>
      </w: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direkte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, duke përfshirë dhe debitimet </w:t>
      </w: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direkte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që bëhen vetëm një herë</w:t>
      </w:r>
      <w:r w:rsidR="000E19EF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;</w:t>
      </w: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</w:t>
      </w:r>
    </w:p>
    <w:p w14:paraId="47034FE8" w14:textId="5436464B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- ekzekutimi i transaksioneve të pagesave, përmes një karte pagese ose nga një pajisje e ngjashme</w:t>
      </w:r>
      <w:r w:rsidR="000E19EF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;</w:t>
      </w: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</w:t>
      </w:r>
    </w:p>
    <w:p w14:paraId="651D5743" w14:textId="77777777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- ekzekutimi i </w:t>
      </w: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transfertave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të kreditit, duke përfshirë pagesat periodike. </w:t>
      </w:r>
    </w:p>
    <w:p w14:paraId="31A99954" w14:textId="77777777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iv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. Ekzekutimi i transaksioneve të pagesave, ku fondet janë të mbuluara nga një linjë kredie për një përdorues të shërbimit të pagesave:</w:t>
      </w:r>
    </w:p>
    <w:p w14:paraId="2B8B2981" w14:textId="73346FC1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- </w:t>
      </w: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ekzekutimi i debitimeve </w:t>
      </w: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direkte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, duke përfshirë debitimet </w:t>
      </w: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direkte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që bëhen vetëm një herë</w:t>
      </w:r>
      <w:r w:rsidR="000E19EF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;</w:t>
      </w: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</w:t>
      </w:r>
    </w:p>
    <w:p w14:paraId="14C41355" w14:textId="2988E57E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- </w:t>
      </w: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ekzekutimi i transaksioneve të pagesave, përmes një karte pagese ose nga një pajisje e ngjashme</w:t>
      </w:r>
      <w:r w:rsidR="000E19EF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;</w:t>
      </w: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</w:t>
      </w:r>
    </w:p>
    <w:p w14:paraId="33CBFE44" w14:textId="71F1DE68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color w:val="000000"/>
          <w:sz w:val="24"/>
          <w:szCs w:val="24"/>
          <w14:ligatures w14:val="standardContextual"/>
        </w:rPr>
        <w:t xml:space="preserve">- </w:t>
      </w: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ekzekutimi i </w:t>
      </w: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transfertave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të kreditit, duke përfshirë pagesat periodike. </w:t>
      </w:r>
    </w:p>
    <w:p w14:paraId="33E64108" w14:textId="77777777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v. Emetimi i një instrumenti pagese dhe/ose pranimi i transaksioneve të pagesave; </w:t>
      </w:r>
    </w:p>
    <w:p w14:paraId="2359B0F1" w14:textId="77777777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vi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. Dërgesat e parave; </w:t>
      </w:r>
    </w:p>
    <w:p w14:paraId="42E5C9A5" w14:textId="77777777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vii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. Shërbimi i inicimit të pagesës; </w:t>
      </w:r>
    </w:p>
    <w:p w14:paraId="04758C59" w14:textId="62725CE7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viii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. Shërbimi i informimit të llogarisë</w:t>
      </w:r>
      <w:r w:rsidR="004C5219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;</w:t>
      </w:r>
      <w:bookmarkStart w:id="0" w:name="_GoBack"/>
      <w:bookmarkEnd w:id="0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</w:t>
      </w:r>
    </w:p>
    <w:p w14:paraId="2C95D7CC" w14:textId="7ACA4C4E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e</w:t>
      </w:r>
      <w:r w:rsidR="000E19EF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)</w:t>
      </w: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Tregtimin për llogari të saj ose për llogari të klientëve, qoftë dhe në një këmbim valutor, në një treg të vetorganizuar (</w:t>
      </w: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OTC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) ose ndryshe, si më poshtë: </w:t>
      </w:r>
    </w:p>
    <w:p w14:paraId="0B84800F" w14:textId="3C58F446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i. Instrumente të tregut të parasë (çeqe, dëftesa, certifikata të depozitave etj.)</w:t>
      </w:r>
      <w:r w:rsidR="00F4485E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;</w:t>
      </w:r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 xml:space="preserve"> </w:t>
      </w:r>
    </w:p>
    <w:p w14:paraId="753175D8" w14:textId="7AC447FF" w:rsidR="00BE43FD" w:rsidRPr="0076610B" w:rsidRDefault="00BE43FD" w:rsidP="00BE43FD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</w:pPr>
      <w:proofErr w:type="spellStart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ii</w:t>
      </w:r>
      <w:proofErr w:type="spellEnd"/>
      <w:r w:rsidRPr="0076610B">
        <w:rPr>
          <w:rFonts w:ascii="Garamond" w:hAnsi="Garamond" w:cs="Times New Roman"/>
          <w:i/>
          <w:iCs/>
          <w:color w:val="000000"/>
          <w:sz w:val="24"/>
          <w:szCs w:val="24"/>
          <w14:ligatures w14:val="standardContextual"/>
        </w:rPr>
        <w:t>. Këmbim valutor.</w:t>
      </w:r>
    </w:p>
    <w:p w14:paraId="1474AD83" w14:textId="27DB204E" w:rsidR="00E23AC6" w:rsidRPr="0076610B" w:rsidRDefault="00E23AC6" w:rsidP="00BE43FD">
      <w:pPr>
        <w:spacing w:after="0" w:line="240" w:lineRule="auto"/>
        <w:ind w:firstLine="284"/>
        <w:rPr>
          <w:rFonts w:ascii="Garamond" w:hAnsi="Garamond"/>
          <w:sz w:val="24"/>
          <w:szCs w:val="24"/>
        </w:rPr>
      </w:pPr>
    </w:p>
    <w:sectPr w:rsidR="00E23AC6" w:rsidRPr="0076610B" w:rsidSect="00BE43F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320DA" w14:textId="77777777" w:rsidR="006167D6" w:rsidRDefault="006167D6">
      <w:pPr>
        <w:spacing w:after="0" w:line="240" w:lineRule="auto"/>
      </w:pPr>
      <w:r>
        <w:separator/>
      </w:r>
    </w:p>
  </w:endnote>
  <w:endnote w:type="continuationSeparator" w:id="0">
    <w:p w14:paraId="7FDEC018" w14:textId="77777777" w:rsidR="006167D6" w:rsidRDefault="006167D6">
      <w:pPr>
        <w:spacing w:after="0" w:line="240" w:lineRule="auto"/>
      </w:pPr>
      <w:r>
        <w:continuationSeparator/>
      </w:r>
    </w:p>
  </w:endnote>
  <w:endnote w:type="continuationNotice" w:id="1">
    <w:p w14:paraId="7E1EE210" w14:textId="77777777" w:rsidR="006167D6" w:rsidRDefault="006167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F27FE" w14:textId="77777777" w:rsidR="006167D6" w:rsidRDefault="006167D6">
      <w:pPr>
        <w:spacing w:after="0" w:line="240" w:lineRule="auto"/>
      </w:pPr>
      <w:r>
        <w:separator/>
      </w:r>
    </w:p>
  </w:footnote>
  <w:footnote w:type="continuationSeparator" w:id="0">
    <w:p w14:paraId="321C593B" w14:textId="77777777" w:rsidR="006167D6" w:rsidRDefault="006167D6">
      <w:pPr>
        <w:spacing w:after="0" w:line="240" w:lineRule="auto"/>
      </w:pPr>
      <w:r>
        <w:continuationSeparator/>
      </w:r>
    </w:p>
  </w:footnote>
  <w:footnote w:type="continuationNotice" w:id="1">
    <w:p w14:paraId="5788D95A" w14:textId="77777777" w:rsidR="006167D6" w:rsidRDefault="006167D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0116CB"/>
    <w:multiLevelType w:val="hybridMultilevel"/>
    <w:tmpl w:val="380EC922"/>
    <w:lvl w:ilvl="0" w:tplc="B6F66C90">
      <w:start w:val="4"/>
      <w:numFmt w:val="bullet"/>
      <w:lvlText w:val="-"/>
      <w:lvlJc w:val="left"/>
      <w:pPr>
        <w:ind w:left="420" w:hanging="360"/>
      </w:pPr>
      <w:rPr>
        <w:rFonts w:ascii="Times New Roman" w:eastAsia="MS Mincho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641B2298"/>
    <w:multiLevelType w:val="hybridMultilevel"/>
    <w:tmpl w:val="CED4196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E8D"/>
    <w:rsid w:val="000175CC"/>
    <w:rsid w:val="00022586"/>
    <w:rsid w:val="00071C12"/>
    <w:rsid w:val="000E14DF"/>
    <w:rsid w:val="000E19EF"/>
    <w:rsid w:val="000E6290"/>
    <w:rsid w:val="0017319F"/>
    <w:rsid w:val="001C75F6"/>
    <w:rsid w:val="001F5FCB"/>
    <w:rsid w:val="00204977"/>
    <w:rsid w:val="00226275"/>
    <w:rsid w:val="00281465"/>
    <w:rsid w:val="00296DAC"/>
    <w:rsid w:val="002D6E8D"/>
    <w:rsid w:val="00316E91"/>
    <w:rsid w:val="003946EB"/>
    <w:rsid w:val="003D37CE"/>
    <w:rsid w:val="003F45AF"/>
    <w:rsid w:val="0043116F"/>
    <w:rsid w:val="0045182F"/>
    <w:rsid w:val="004C5219"/>
    <w:rsid w:val="00513AA5"/>
    <w:rsid w:val="00583DAB"/>
    <w:rsid w:val="005E7ECC"/>
    <w:rsid w:val="00615EAF"/>
    <w:rsid w:val="006167D6"/>
    <w:rsid w:val="00625A0E"/>
    <w:rsid w:val="00637E5C"/>
    <w:rsid w:val="006A6730"/>
    <w:rsid w:val="00715B33"/>
    <w:rsid w:val="0076610B"/>
    <w:rsid w:val="008174EA"/>
    <w:rsid w:val="00834660"/>
    <w:rsid w:val="00836AFC"/>
    <w:rsid w:val="008C681D"/>
    <w:rsid w:val="0097688C"/>
    <w:rsid w:val="009F02D7"/>
    <w:rsid w:val="00A351E4"/>
    <w:rsid w:val="00A3760A"/>
    <w:rsid w:val="00A50B17"/>
    <w:rsid w:val="00A53323"/>
    <w:rsid w:val="00A70194"/>
    <w:rsid w:val="00A77599"/>
    <w:rsid w:val="00A80BC9"/>
    <w:rsid w:val="00AF2E18"/>
    <w:rsid w:val="00B50715"/>
    <w:rsid w:val="00B52312"/>
    <w:rsid w:val="00BE43FD"/>
    <w:rsid w:val="00C06BAF"/>
    <w:rsid w:val="00C15685"/>
    <w:rsid w:val="00C579D9"/>
    <w:rsid w:val="00CC7E8D"/>
    <w:rsid w:val="00CD3EEC"/>
    <w:rsid w:val="00D009E5"/>
    <w:rsid w:val="00D02B7A"/>
    <w:rsid w:val="00DC01EF"/>
    <w:rsid w:val="00DC2BA7"/>
    <w:rsid w:val="00DF356A"/>
    <w:rsid w:val="00E02164"/>
    <w:rsid w:val="00E11A09"/>
    <w:rsid w:val="00E11C60"/>
    <w:rsid w:val="00E23AC6"/>
    <w:rsid w:val="00EA101A"/>
    <w:rsid w:val="00EA5A0B"/>
    <w:rsid w:val="00EF08BD"/>
    <w:rsid w:val="00F21BB3"/>
    <w:rsid w:val="00F4485E"/>
    <w:rsid w:val="00FD17A8"/>
    <w:rsid w:val="00FD2436"/>
    <w:rsid w:val="00FF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FEE7554"/>
  <w15:chartTrackingRefBased/>
  <w15:docId w15:val="{B78EFFA6-E7D9-4F5B-9FA3-A340E3EC7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C7E8D"/>
    <w:pPr>
      <w:spacing w:line="259" w:lineRule="auto"/>
    </w:pPr>
    <w:rPr>
      <w:kern w:val="0"/>
      <w:sz w:val="22"/>
      <w:szCs w:val="22"/>
      <w:lang w:val="sq-A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C7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7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7E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7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7E8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7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7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7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7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7E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7E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7E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7E8D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7E8D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7E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7E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7E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7E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CC7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CC7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7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7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7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7E8D"/>
    <w:rPr>
      <w:i/>
      <w:iCs/>
      <w:color w:val="404040" w:themeColor="text1" w:themeTint="BF"/>
    </w:rPr>
  </w:style>
  <w:style w:type="paragraph" w:styleId="ListParagraph">
    <w:name w:val="List Paragraph"/>
    <w:aliases w:val="Bullet Styles para,Bullets,Normal 1,List Paragraph 1,Akapit z listą BS,Recommendatio,Párrafo de lista,Recommendation,OBC Bullet,Dot pt,F5 List Paragraph,List Paragraph Char Char Char,Indicator Text,Numbered Para 1,Bullet 1,Bullet Points,L"/>
    <w:basedOn w:val="Normal"/>
    <w:link w:val="ListParagraphChar"/>
    <w:uiPriority w:val="34"/>
    <w:qFormat/>
    <w:rsid w:val="00CC7E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7E8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7E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7E8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7E8D"/>
    <w:rPr>
      <w:b/>
      <w:bCs/>
      <w:smallCaps/>
      <w:color w:val="2E74B5" w:themeColor="accent1" w:themeShade="BF"/>
      <w:spacing w:val="5"/>
    </w:rPr>
  </w:style>
  <w:style w:type="paragraph" w:styleId="FootnoteText">
    <w:name w:val="footnote text"/>
    <w:basedOn w:val="Normal"/>
    <w:link w:val="FootnoteTextChar"/>
    <w:rsid w:val="00CC7E8D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semiHidden/>
    <w:rsid w:val="00CC7E8D"/>
    <w:rPr>
      <w:rFonts w:ascii="Times New Roman" w:eastAsia="MS Mincho" w:hAnsi="Times New Roman" w:cs="Times New Roman"/>
      <w:kern w:val="0"/>
      <w:sz w:val="20"/>
      <w:szCs w:val="20"/>
      <w14:ligatures w14:val="none"/>
    </w:rPr>
  </w:style>
  <w:style w:type="paragraph" w:styleId="Revision">
    <w:name w:val="Revision"/>
    <w:hidden/>
    <w:uiPriority w:val="99"/>
    <w:semiHidden/>
    <w:rsid w:val="008174EA"/>
    <w:pPr>
      <w:spacing w:after="0" w:line="240" w:lineRule="auto"/>
    </w:pPr>
    <w:rPr>
      <w:kern w:val="0"/>
      <w:sz w:val="22"/>
      <w:szCs w:val="22"/>
      <w:lang w:val="sq-A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11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A09"/>
    <w:rPr>
      <w:kern w:val="0"/>
      <w:sz w:val="22"/>
      <w:szCs w:val="22"/>
      <w:lang w:val="sq-A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11A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1A09"/>
    <w:rPr>
      <w:kern w:val="0"/>
      <w:sz w:val="22"/>
      <w:szCs w:val="22"/>
      <w:lang w:val="sq-AL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36A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6AF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6AFC"/>
    <w:rPr>
      <w:kern w:val="0"/>
      <w:sz w:val="20"/>
      <w:szCs w:val="20"/>
      <w:lang w:val="sq-A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6A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6AFC"/>
    <w:rPr>
      <w:b/>
      <w:bCs/>
      <w:kern w:val="0"/>
      <w:sz w:val="20"/>
      <w:szCs w:val="20"/>
      <w:lang w:val="sq-AL"/>
      <w14:ligatures w14:val="none"/>
    </w:rPr>
  </w:style>
  <w:style w:type="character" w:customStyle="1" w:styleId="ListParagraphChar">
    <w:name w:val="List Paragraph Char"/>
    <w:aliases w:val="Bullet Styles para Char,Bullets Char,Normal 1 Char,List Paragraph 1 Char,Akapit z listą BS Char,Recommendatio Char,Párrafo de lista Char,Recommendation Char,OBC Bullet Char,Dot pt Char,F5 List Paragraph Char,Indicator Text Char"/>
    <w:link w:val="ListParagraph"/>
    <w:uiPriority w:val="34"/>
    <w:qFormat/>
    <w:locked/>
    <w:rsid w:val="00226275"/>
    <w:rPr>
      <w:kern w:val="0"/>
      <w:sz w:val="22"/>
      <w:szCs w:val="22"/>
      <w:lang w:val="sq-AL"/>
      <w14:ligatures w14:val="none"/>
    </w:rPr>
  </w:style>
  <w:style w:type="table" w:styleId="TableGrid">
    <w:name w:val="Table Grid"/>
    <w:basedOn w:val="TableNormal"/>
    <w:uiPriority w:val="39"/>
    <w:rsid w:val="00A53323"/>
    <w:pPr>
      <w:spacing w:after="0" w:line="240" w:lineRule="auto"/>
    </w:pPr>
    <w:rPr>
      <w:kern w:val="0"/>
      <w:sz w:val="22"/>
      <w:szCs w:val="22"/>
      <w:lang w:val="sq-A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BCFF904E1244B4DBD3929220FE4465A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7</Nr_x002e__x0020_akti>
    <Data_x0020_e_x0020_Krijimit xmlns="0e656187-b300-4fb0-8bf4-3a50f872073c">2026-03-27T12:43:36Z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>http://qbz.gov.al/resource/authority/document-type/vendim</Tipi_x0020_i_x0020_aktit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Etlevahaxhia</Krijuesi>
    <Date_x0020_protokolli xmlns="0e656187-b300-4fb0-8bf4-3a50f872073c">2026-03-27T00:00:00Z</Date_x0020_protokolli>
    <Titulli xmlns="0e656187-b300-4fb0-8bf4-3a50f872073c">Për dhënien e licencës “Banka Jet” sh.a. në Republikën e Shqiperise</Titulli>
    <Modifikuesi xmlns="0e656187-b300-4fb0-8bf4-3a50f872073c">Etlevahaxhia</Modifikuesi>
    <Nr_x002e__x0020_prot_x0020_QBZ xmlns="0e656187-b300-4fb0-8bf4-3a50f872073c">624</Nr_x002e__x0020_prot_x0020_QBZ>
    <Data_x0020_e_x0020_Modifikimit xmlns="0e656187-b300-4fb0-8bf4-3a50f872073c">2026-03-27T13:01:54Z</Data_x0020_e_x0020_Modifikimit>
    <Dekretuar xmlns="0e656187-b300-4fb0-8bf4-3a50f872073c">false</Dekretuar>
    <Data xmlns="0e656187-b300-4fb0-8bf4-3a50f872073c">2026-03-25T00:00:00Z</Data>
    <Nr_x002e__x0020_protokolli_x0020_i_x0020_aktit xmlns="0e656187-b300-4fb0-8bf4-3a50f872073c">2456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0207D8-56C5-4828-8EBE-68DF120AD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48A58306-857D-48B9-98E9-573B90A6B8C7}">
  <ds:schemaRefs>
    <ds:schemaRef ds:uri="http://www.w3.org/XML/1998/namespace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2006/documentManagement/types"/>
    <ds:schemaRef ds:uri="0e656187-b300-4fb0-8bf4-3a50f872073c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32B729D-E20B-408C-A22F-49C7634DFA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dhënien e licencës bankës Banka Jet sh.a në Republikën e Shqiperise</vt:lpstr>
    </vt:vector>
  </TitlesOfParts>
  <Company>Bank of Albania</Company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dhënien e licencës bankës Banka Jet sh.a në Republikën e Shqiperise</dc:title>
  <dc:creator>DJ</dc:creator>
  <cp:lastModifiedBy>Alma Lisaku</cp:lastModifiedBy>
  <cp:revision>9</cp:revision>
  <cp:lastPrinted>2026-03-25T08:29:00Z</cp:lastPrinted>
  <dcterms:created xsi:type="dcterms:W3CDTF">2026-03-27T11:51:00Z</dcterms:created>
  <dcterms:modified xsi:type="dcterms:W3CDTF">2026-03-27T12:11:00Z</dcterms:modified>
</cp:coreProperties>
</file>