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D5E" w:rsidRPr="00B45C2B" w:rsidRDefault="00CA4D5E" w:rsidP="00CA4D5E">
      <w:pPr>
        <w:pStyle w:val="Akti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B45C2B">
        <w:rPr>
          <w:lang w:val="it-IT"/>
        </w:rPr>
        <w:t>M</w:t>
      </w:r>
    </w:p>
    <w:p w:rsidR="00CA4D5E" w:rsidRPr="00B45C2B" w:rsidRDefault="00CA4D5E" w:rsidP="00CA4D5E">
      <w:pPr>
        <w:pStyle w:val="NumriData"/>
        <w:rPr>
          <w:lang w:val="it-IT"/>
        </w:rPr>
      </w:pPr>
      <w:r w:rsidRPr="00B45C2B">
        <w:rPr>
          <w:lang w:val="it-IT"/>
        </w:rPr>
        <w:t>Nr.3, datë 25.1.2005</w:t>
      </w:r>
    </w:p>
    <w:p w:rsidR="00CA4D5E" w:rsidRPr="00B45C2B" w:rsidRDefault="00CA4D5E" w:rsidP="00CA4D5E">
      <w:pPr>
        <w:pStyle w:val="Paragrafi"/>
        <w:ind w:firstLine="0"/>
        <w:rPr>
          <w:lang w:val="it-IT"/>
        </w:rPr>
      </w:pPr>
    </w:p>
    <w:p w:rsidR="00CA4D5E" w:rsidRPr="00B45C2B" w:rsidRDefault="00CA4D5E" w:rsidP="00CA4D5E">
      <w:pPr>
        <w:pStyle w:val="Titulli"/>
        <w:rPr>
          <w:lang w:val="it-IT"/>
        </w:rPr>
      </w:pPr>
      <w:r>
        <w:rPr>
          <w:lang w:val="it-IT"/>
        </w:rPr>
        <w:t>Për DHëNIEN E LICENC</w:t>
      </w:r>
      <w:r w:rsidRPr="00B45C2B">
        <w:rPr>
          <w:lang w:val="it-IT"/>
        </w:rPr>
        <w:t>ëS PëR AKTIVITETIN E IMPORTI</w:t>
      </w:r>
      <w:r>
        <w:rPr>
          <w:lang w:val="it-IT"/>
        </w:rPr>
        <w:t>T Të ENERGJISë ELEKTRIKE SHOQËRISë GSA SHP</w:t>
      </w:r>
      <w:r w:rsidRPr="00B45C2B">
        <w:rPr>
          <w:lang w:val="it-IT"/>
        </w:rPr>
        <w:t>K</w:t>
      </w:r>
    </w:p>
    <w:p w:rsidR="00CA4D5E" w:rsidRPr="00B45C2B" w:rsidRDefault="00CA4D5E" w:rsidP="00CA4D5E">
      <w:pPr>
        <w:pStyle w:val="Paragrafi"/>
        <w:rPr>
          <w:lang w:val="it-IT"/>
        </w:rPr>
      </w:pPr>
    </w:p>
    <w:p w:rsidR="00CA4D5E" w:rsidRPr="00B45C2B" w:rsidRDefault="00CA4D5E" w:rsidP="00CA4D5E">
      <w:pPr>
        <w:pStyle w:val="Paragrafi"/>
        <w:rPr>
          <w:lang w:val="it-IT"/>
        </w:rPr>
      </w:pPr>
      <w:r w:rsidRPr="00B45C2B">
        <w:rPr>
          <w:lang w:val="it-IT"/>
        </w:rPr>
        <w:t>Në mbështetj</w:t>
      </w:r>
      <w:r>
        <w:rPr>
          <w:lang w:val="it-IT"/>
        </w:rPr>
        <w:t>e të neneve 13 pika 1 germa dh, 15 pika 1</w:t>
      </w:r>
      <w:r w:rsidRPr="00B45C2B">
        <w:rPr>
          <w:lang w:val="it-IT"/>
        </w:rPr>
        <w:t xml:space="preserve"> të</w:t>
      </w:r>
      <w:r>
        <w:rPr>
          <w:lang w:val="it-IT"/>
        </w:rPr>
        <w:t xml:space="preserve"> ligjit  nr.9072, datë 22.5.2003 “Për sektorin e energjisë elektrike” dhe nenit 5 pika 1 të vendimit të Bordit të Komisionerë</w:t>
      </w:r>
      <w:r w:rsidRPr="00B45C2B">
        <w:rPr>
          <w:lang w:val="it-IT"/>
        </w:rPr>
        <w:t>ve të ERE-s nr.27</w:t>
      </w:r>
      <w:r>
        <w:rPr>
          <w:lang w:val="it-IT"/>
        </w:rPr>
        <w:t>,</w:t>
      </w:r>
      <w:r w:rsidRPr="00B45C2B">
        <w:rPr>
          <w:lang w:val="it-IT"/>
        </w:rPr>
        <w:t xml:space="preserve"> datë </w:t>
      </w:r>
      <w:r>
        <w:rPr>
          <w:lang w:val="it-IT"/>
        </w:rPr>
        <w:t>30.5.2004 “Rregullorja për procedurat e licencimit”,  Bordi i Komisionerë</w:t>
      </w:r>
      <w:r w:rsidRPr="00B45C2B">
        <w:rPr>
          <w:lang w:val="it-IT"/>
        </w:rPr>
        <w:t>ve të Entit Rregullator të Sek</w:t>
      </w:r>
      <w:r>
        <w:rPr>
          <w:lang w:val="it-IT"/>
        </w:rPr>
        <w:t>torit të Energjisë Elektrike (E</w:t>
      </w:r>
      <w:r w:rsidRPr="00B45C2B">
        <w:rPr>
          <w:lang w:val="it-IT"/>
        </w:rPr>
        <w:t>R</w:t>
      </w:r>
      <w:r>
        <w:rPr>
          <w:lang w:val="it-IT"/>
        </w:rPr>
        <w:t>E),  në mbledhjen e tij të datë</w:t>
      </w:r>
      <w:r w:rsidRPr="00B45C2B">
        <w:rPr>
          <w:lang w:val="it-IT"/>
        </w:rPr>
        <w:t>s 25.1.2005</w:t>
      </w:r>
      <w:r>
        <w:rPr>
          <w:lang w:val="it-IT"/>
        </w:rPr>
        <w:t>,</w:t>
      </w:r>
      <w:r w:rsidRPr="00B45C2B">
        <w:rPr>
          <w:lang w:val="it-IT"/>
        </w:rPr>
        <w:t xml:space="preserve"> mbasi shqyrtoi kërkesën e paraqitur nga shoqëria Grupi i Sistemeve Automatike</w:t>
      </w:r>
      <w:r>
        <w:rPr>
          <w:lang w:val="it-IT"/>
        </w:rPr>
        <w:t xml:space="preserve"> (GSA sh.p.k.)  për marrje të licencës  pë</w:t>
      </w:r>
      <w:r w:rsidRPr="00B45C2B">
        <w:rPr>
          <w:lang w:val="it-IT"/>
        </w:rPr>
        <w:t xml:space="preserve">r aktivitetin e importit  të energjisë elektrike , </w:t>
      </w:r>
    </w:p>
    <w:p w:rsidR="00CA4D5E" w:rsidRPr="00B45C2B" w:rsidRDefault="00CA4D5E" w:rsidP="00CA4D5E">
      <w:pPr>
        <w:pStyle w:val="Paragrafi"/>
        <w:rPr>
          <w:lang w:val="it-IT"/>
        </w:rPr>
      </w:pPr>
    </w:p>
    <w:p w:rsidR="00CA4D5E" w:rsidRPr="00B45C2B" w:rsidRDefault="00CA4D5E" w:rsidP="00CA4D5E">
      <w:pPr>
        <w:pStyle w:val="VENDOSI"/>
        <w:rPr>
          <w:lang w:val="it-IT"/>
        </w:rPr>
      </w:pPr>
      <w:r w:rsidRPr="00B45C2B">
        <w:rPr>
          <w:lang w:val="it-IT"/>
        </w:rPr>
        <w:t>Vendosi</w:t>
      </w:r>
      <w:r>
        <w:rPr>
          <w:lang w:val="it-IT"/>
        </w:rPr>
        <w:t>:</w:t>
      </w:r>
      <w:r w:rsidRPr="00B45C2B">
        <w:rPr>
          <w:lang w:val="it-IT"/>
        </w:rPr>
        <w:t xml:space="preserve">   </w:t>
      </w:r>
    </w:p>
    <w:p w:rsidR="00CA4D5E" w:rsidRPr="00B45C2B" w:rsidRDefault="00CA4D5E" w:rsidP="00CA4D5E">
      <w:pPr>
        <w:pStyle w:val="Paragrafi"/>
        <w:ind w:firstLine="0"/>
        <w:rPr>
          <w:lang w:val="it-IT"/>
        </w:rPr>
      </w:pPr>
    </w:p>
    <w:p w:rsidR="00CA4D5E" w:rsidRPr="00B45C2B" w:rsidRDefault="00CA4D5E" w:rsidP="00CA4D5E">
      <w:pPr>
        <w:pStyle w:val="Paragrafi"/>
        <w:rPr>
          <w:lang w:val="it-IT"/>
        </w:rPr>
      </w:pPr>
      <w:r w:rsidRPr="00B45C2B">
        <w:rPr>
          <w:lang w:val="it-IT"/>
        </w:rPr>
        <w:t xml:space="preserve">1. </w:t>
      </w:r>
      <w:r>
        <w:rPr>
          <w:lang w:val="it-IT"/>
        </w:rPr>
        <w:t>Dhënien e licenc</w:t>
      </w:r>
      <w:r w:rsidRPr="00B45C2B">
        <w:rPr>
          <w:lang w:val="it-IT"/>
        </w:rPr>
        <w:t>ës shoqërisë Grupi i Sistemeve Automatike, për aktivitetin e importit të energjisë elektrike  me afat 1 vit.</w:t>
      </w:r>
    </w:p>
    <w:p w:rsidR="00CA4D5E" w:rsidRPr="00B45C2B" w:rsidRDefault="00CA4D5E" w:rsidP="00CA4D5E">
      <w:pPr>
        <w:pStyle w:val="Paragrafi"/>
        <w:rPr>
          <w:lang w:val="it-IT"/>
        </w:rPr>
      </w:pPr>
      <w:r w:rsidRPr="00B45C2B">
        <w:rPr>
          <w:lang w:val="it-IT"/>
        </w:rPr>
        <w:t>2. Ky vendim hyn në fuqi menjëherë dhe botohet në Fletoren Zyrtare.</w:t>
      </w:r>
    </w:p>
    <w:p w:rsidR="00CA4D5E" w:rsidRPr="00B45C2B" w:rsidRDefault="00CA4D5E" w:rsidP="00CA4D5E">
      <w:pPr>
        <w:pStyle w:val="Autoriteti"/>
        <w:rPr>
          <w:lang w:val="it-IT"/>
        </w:rPr>
      </w:pPr>
    </w:p>
    <w:p w:rsidR="00CA4D5E" w:rsidRPr="00851BBA" w:rsidRDefault="00CA4D5E" w:rsidP="00CA4D5E">
      <w:pPr>
        <w:pStyle w:val="Autoriteti"/>
      </w:pPr>
      <w:r w:rsidRPr="00851BBA">
        <w:t>KRYETARI I ERE-S</w:t>
      </w:r>
    </w:p>
    <w:p w:rsidR="00CA4D5E" w:rsidRPr="00851BBA" w:rsidRDefault="00CA4D5E" w:rsidP="00CA4D5E">
      <w:pPr>
        <w:pStyle w:val="AutoritetiEmer"/>
      </w:pPr>
      <w:r w:rsidRPr="00851BBA">
        <w:t>Pjetër Dema</w:t>
      </w:r>
    </w:p>
    <w:p w:rsidR="00CA4D5E" w:rsidRDefault="00CA4D5E" w:rsidP="00CA4D5E">
      <w:pPr>
        <w:pStyle w:val="Paragrafi"/>
      </w:pPr>
    </w:p>
    <w:p w:rsidR="00CA4D5E" w:rsidRDefault="00CA4D5E" w:rsidP="00CA4D5E">
      <w:pPr>
        <w:pStyle w:val="Paragrafi"/>
      </w:pPr>
    </w:p>
    <w:p w:rsidR="00CA4D5E" w:rsidRDefault="00CA4D5E" w:rsidP="00CA4D5E">
      <w:pPr>
        <w:pStyle w:val="Paragrafi"/>
      </w:pPr>
    </w:p>
    <w:p w:rsidR="00CA4D5E" w:rsidRPr="00A503A6" w:rsidRDefault="00CA4D5E" w:rsidP="00CA4D5E">
      <w:pPr>
        <w:pStyle w:val="Paragrafi"/>
      </w:pPr>
    </w:p>
    <w:p w:rsidR="00CA4D5E" w:rsidRPr="00AA3124" w:rsidRDefault="00CA4D5E" w:rsidP="00CA4D5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CA4D5E">
      <w:headerReference w:type="even" r:id="rId6"/>
      <w:headerReference w:type="default" r:id="rId7"/>
      <w:footerReference w:type="even" r:id="rId8"/>
      <w:footerReference w:type="default" r:id="rId9"/>
      <w:pgSz w:w="11906" w:h="16838" w:code="9"/>
      <w:pgMar w:top="1418" w:right="1418" w:bottom="1418" w:left="1418" w:header="1304" w:footer="1134" w:gutter="0"/>
      <w:pgNumType w:start="26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24B56">
      <w:r>
        <w:separator/>
      </w:r>
    </w:p>
  </w:endnote>
  <w:endnote w:type="continuationSeparator" w:id="0">
    <w:p w:rsidR="00000000" w:rsidRDefault="00E24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D5E" w:rsidRDefault="00CA4D5E" w:rsidP="00CA4D5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A4D5E" w:rsidRDefault="00CA4D5E" w:rsidP="00CA4D5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D5E" w:rsidRPr="005B6DB5" w:rsidRDefault="00CA4D5E" w:rsidP="00CA4D5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B6DB5">
      <w:rPr>
        <w:rStyle w:val="PageNumber"/>
        <w:rFonts w:ascii="CG Times" w:hAnsi="CG Times"/>
        <w:sz w:val="22"/>
        <w:szCs w:val="22"/>
      </w:rPr>
      <w:fldChar w:fldCharType="begin"/>
    </w:r>
    <w:r w:rsidRPr="005B6DB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B6DB5">
      <w:rPr>
        <w:rStyle w:val="PageNumber"/>
        <w:rFonts w:ascii="CG Times" w:hAnsi="CG Times"/>
        <w:sz w:val="22"/>
        <w:szCs w:val="22"/>
      </w:rPr>
      <w:fldChar w:fldCharType="separate"/>
    </w:r>
    <w:r w:rsidR="00E24B56">
      <w:rPr>
        <w:rStyle w:val="PageNumber"/>
        <w:rFonts w:ascii="CG Times" w:hAnsi="CG Times"/>
        <w:noProof/>
        <w:sz w:val="22"/>
        <w:szCs w:val="22"/>
      </w:rPr>
      <w:t>263</w:t>
    </w:r>
    <w:r w:rsidRPr="005B6DB5">
      <w:rPr>
        <w:rStyle w:val="PageNumber"/>
        <w:rFonts w:ascii="CG Times" w:hAnsi="CG Times"/>
        <w:sz w:val="22"/>
        <w:szCs w:val="22"/>
      </w:rPr>
      <w:fldChar w:fldCharType="end"/>
    </w:r>
  </w:p>
  <w:p w:rsidR="00CA4D5E" w:rsidRDefault="00CA4D5E" w:rsidP="00CA4D5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24B56">
      <w:r>
        <w:separator/>
      </w:r>
    </w:p>
  </w:footnote>
  <w:footnote w:type="continuationSeparator" w:id="0">
    <w:p w:rsidR="00000000" w:rsidRDefault="00E24B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D5E" w:rsidRDefault="00CA4D5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A4D5E" w:rsidRDefault="00CA4D5E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D5E" w:rsidRDefault="00CA4D5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4D5E"/>
    <w:rsid w:val="00D1319A"/>
    <w:rsid w:val="00D92AC6"/>
    <w:rsid w:val="00D97A55"/>
    <w:rsid w:val="00DC64E5"/>
    <w:rsid w:val="00E06AA7"/>
    <w:rsid w:val="00E24B56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59ECAC-6CFC-4701-8DF8-6B719B99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D5E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Header">
    <w:name w:val="header"/>
    <w:basedOn w:val="Normal"/>
    <w:rsid w:val="00CA4D5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A4D5E"/>
  </w:style>
  <w:style w:type="paragraph" w:styleId="Footer">
    <w:name w:val="footer"/>
    <w:basedOn w:val="Normal"/>
    <w:rsid w:val="00CA4D5E"/>
    <w:pPr>
      <w:tabs>
        <w:tab w:val="center" w:pos="4153"/>
        <w:tab w:val="right" w:pos="8306"/>
      </w:tabs>
    </w:pPr>
  </w:style>
  <w:style w:type="character" w:customStyle="1" w:styleId="NumriDataChar">
    <w:name w:val="Numri_Data Char"/>
    <w:basedOn w:val="DefaultParagraphFont"/>
    <w:link w:val="NumriData"/>
    <w:rsid w:val="00CA4D5E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