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EF3" w:rsidRPr="00C2269B" w:rsidRDefault="00E15EF3" w:rsidP="00E15EF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E15EF3" w:rsidRPr="00C2269B" w:rsidRDefault="00E15EF3" w:rsidP="00E15EF3">
      <w:pPr>
        <w:pStyle w:val="NumriData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Nr.38, datë 13.6.2006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</w:p>
    <w:p w:rsidR="00E15EF3" w:rsidRPr="00C2269B" w:rsidRDefault="00E15EF3" w:rsidP="00E15EF3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DHËNIEN E LICENCËS PËR AKTIVITETIN E IMPORTIT  TË ENERGJISË ELEKTRIKE SHOQËRISË “WONDER POWER” SHA</w:t>
      </w:r>
    </w:p>
    <w:p w:rsidR="00E15EF3" w:rsidRPr="00C2269B" w:rsidRDefault="00E15EF3" w:rsidP="00E15EF3">
      <w:pPr>
        <w:pStyle w:val="Paragrafi"/>
        <w:rPr>
          <w:lang w:val="en-GB"/>
        </w:rPr>
      </w:pP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Në mbështetje të nenit 13 pika 1 germa dh të  ligjit nr.9072, datë 22.05.2003 “Për sektorin e energjisë elektrike”, ndryshuar me ligjin nr.9512, datë 10.04.2006 “Për disa ndryshime dhe shtesa në ligjin nr.9072, datë 22.05.2003 “Për sektorin e energjisë elektrike”, si dhe nenet 4 pika 1 germa g, nenit 5 pika 1 dhe neni</w:t>
      </w:r>
      <w:r>
        <w:rPr>
          <w:sz w:val="21"/>
          <w:szCs w:val="21"/>
        </w:rPr>
        <w:t>t</w:t>
      </w:r>
      <w:r w:rsidRPr="00C2269B">
        <w:rPr>
          <w:sz w:val="21"/>
          <w:szCs w:val="21"/>
        </w:rPr>
        <w:t xml:space="preserve"> 16 pika 3  të  “Rregullores për procedurat e licencimit” dhe duke konstatuar mosplotësimin tërësisht të dokumentacionit nga shoqëria lidhur me marrëveshjen paraprake për lejimin e tranzitimit të energjisë elektrike, dhe sa parashikon neni 15 i ligjit nr.9072, datë 22.05.2003 “Për sektorin e energjisë elektrike”,  Bordi i Komisionerëve të Entit Rregullator të Sektorit të Energjisë Elektrike (ERE), në mbledhjen e tij të datë</w:t>
      </w:r>
      <w:r>
        <w:rPr>
          <w:sz w:val="21"/>
          <w:szCs w:val="21"/>
        </w:rPr>
        <w:t>s</w:t>
      </w:r>
      <w:r w:rsidRPr="00C2269B">
        <w:rPr>
          <w:sz w:val="21"/>
          <w:szCs w:val="21"/>
        </w:rPr>
        <w:t xml:space="preserve"> 13.06.2006, pasi shqyrtoi kërkesën e paraqitur nga “Wonder Power” sh.a. për marrje të licencës  të importit  të energjisë elektrike, konstatoi se nga tërësia e kërkesave të parashikuara në aktet e mësipërme, “Wonder Power” sh.a. </w:t>
      </w:r>
      <w:r>
        <w:rPr>
          <w:sz w:val="21"/>
          <w:szCs w:val="21"/>
        </w:rPr>
        <w:t xml:space="preserve">ka plotësuar kryesisht kërkesat, </w:t>
      </w:r>
      <w:r w:rsidRPr="00C2269B">
        <w:rPr>
          <w:sz w:val="21"/>
          <w:szCs w:val="21"/>
        </w:rPr>
        <w:t>por nuk ka plotësuar kushtin si më poshtë: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Në zbatim të Rregullores për procedurat e licencimit, neni 11 pika 5 dhe paragrafi 2,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Lidhjen e marrëveshjes paraprake për lejimin e tranzitimit nga sistemet e transmetimit të shteteve nga ku importohet energjia.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Për sa më sipër Bordi i Komisionerëve të ERE-s,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</w:p>
    <w:p w:rsidR="00E15EF3" w:rsidRPr="00C2269B" w:rsidRDefault="00E15EF3" w:rsidP="00E15EF3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Vendosi: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</w:p>
    <w:p w:rsidR="00E15EF3" w:rsidRPr="00C2269B" w:rsidRDefault="00E15EF3" w:rsidP="00E15EF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1. Dhënien e licencës s</w:t>
      </w:r>
      <w:r w:rsidRPr="00C2269B">
        <w:rPr>
          <w:sz w:val="21"/>
          <w:szCs w:val="21"/>
        </w:rPr>
        <w:t xml:space="preserve">ë importit, shoqërisë “Wonder Power” sh.a., me afat 1 vit. </w:t>
      </w:r>
    </w:p>
    <w:p w:rsidR="00E15EF3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Kjo licencë jepet me kusht që brenda 3 muajve nga marrja e vendimit, “Wonder Power” sh.a. të paraqesë në ERE marrëveshjen për lejimin e tranzitimit nga sistemet e transmetimit të shteteve nga ku importohet energjia.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3. Në përfundim të afatit të përcaktuar në pikën 2 të këtij vendimi, kjo licencë e humbet fuqinë juridike nëse nuk plotësohet kushti i vendosur për lidhjen e marrëveshjes së  tranzitimit nga sistemet e transmetimit të shteteve nga ku importohet energjia.</w:t>
      </w:r>
    </w:p>
    <w:p w:rsidR="00E15EF3" w:rsidRPr="00C2269B" w:rsidRDefault="00E15EF3" w:rsidP="00E15EF3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Ky vendim hyn në fuqi menjëherë dhe botohet  në Fletoren Zyrtare.</w:t>
      </w:r>
    </w:p>
    <w:p w:rsidR="00E15EF3" w:rsidRPr="00C2269B" w:rsidRDefault="00E15EF3" w:rsidP="00E15EF3">
      <w:pPr>
        <w:pStyle w:val="Paragrafi"/>
        <w:ind w:firstLine="0"/>
        <w:rPr>
          <w:sz w:val="21"/>
          <w:szCs w:val="21"/>
        </w:rPr>
      </w:pPr>
    </w:p>
    <w:p w:rsidR="00E15EF3" w:rsidRPr="00C2269B" w:rsidRDefault="00E15EF3" w:rsidP="00E15EF3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KRYETARI I ERE-S</w:t>
      </w:r>
    </w:p>
    <w:p w:rsidR="00E15EF3" w:rsidRPr="00C2269B" w:rsidRDefault="00E15EF3" w:rsidP="00E15EF3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Pjet</w:t>
      </w:r>
      <w:r w:rsidRPr="00C2269B">
        <w:rPr>
          <w:rFonts w:ascii="Sylfaen" w:hAnsi="Sylfaen" w:cs="Sylfaen"/>
          <w:sz w:val="21"/>
          <w:szCs w:val="21"/>
        </w:rPr>
        <w:t>ë</w:t>
      </w:r>
      <w:r w:rsidRPr="00C2269B">
        <w:rPr>
          <w:sz w:val="21"/>
          <w:szCs w:val="21"/>
        </w:rPr>
        <w:t>r Dema</w:t>
      </w:r>
    </w:p>
    <w:p w:rsidR="00A0784B" w:rsidRPr="00E15EF3" w:rsidRDefault="00A0784B" w:rsidP="003941D1">
      <w:pPr>
        <w:pStyle w:val="Paragrafi"/>
        <w:rPr>
          <w:lang w:val="en-GB"/>
        </w:rPr>
      </w:pPr>
    </w:p>
    <w:sectPr w:rsidR="00A0784B" w:rsidRPr="00E15EF3" w:rsidSect="00E15EF3">
      <w:pgSz w:w="11906" w:h="16838" w:code="9"/>
      <w:pgMar w:top="1418" w:right="1418" w:bottom="1418" w:left="1418" w:header="1304" w:footer="1134" w:gutter="0"/>
      <w:pgNumType w:start="178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3E57">
      <w:r>
        <w:separator/>
      </w:r>
    </w:p>
  </w:endnote>
  <w:endnote w:type="continuationSeparator" w:id="0">
    <w:p w:rsidR="00000000" w:rsidRDefault="00993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3E57">
      <w:r>
        <w:separator/>
      </w:r>
    </w:p>
  </w:footnote>
  <w:footnote w:type="continuationSeparator" w:id="0">
    <w:p w:rsidR="00000000" w:rsidRDefault="00993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3E5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5EF3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D0C92A-4842-4CC8-AF47-9EC08D6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15EF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15EF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15E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