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1A85" w:rsidRPr="00BE36EC" w:rsidRDefault="00531A85" w:rsidP="00531A85">
      <w:pPr>
        <w:pStyle w:val="Akti"/>
        <w:keepNext w:val="0"/>
      </w:pPr>
      <w:bookmarkStart w:id="0" w:name="_GoBack"/>
      <w:bookmarkEnd w:id="0"/>
      <w:r w:rsidRPr="00BE36EC">
        <w:t>VENDIM</w:t>
      </w:r>
    </w:p>
    <w:p w:rsidR="00531A85" w:rsidRPr="00BE36EC" w:rsidRDefault="00531A85" w:rsidP="00531A85">
      <w:pPr>
        <w:pStyle w:val="NumriData"/>
        <w:keepNext w:val="0"/>
      </w:pPr>
      <w:r w:rsidRPr="00BE36EC">
        <w:t>Nr.65, datë 10.12.2007</w:t>
      </w:r>
    </w:p>
    <w:p w:rsidR="00531A85" w:rsidRPr="00BE36EC" w:rsidRDefault="00531A85" w:rsidP="00531A85">
      <w:pPr>
        <w:pStyle w:val="Paragrafi"/>
        <w:rPr>
          <w:szCs w:val="22"/>
          <w:lang w:val="sq-AL"/>
        </w:rPr>
      </w:pPr>
    </w:p>
    <w:p w:rsidR="00531A85" w:rsidRPr="00BE36EC" w:rsidRDefault="00531A85" w:rsidP="00531A85">
      <w:pPr>
        <w:pStyle w:val="Titulli"/>
        <w:keepNext w:val="0"/>
      </w:pPr>
      <w:r w:rsidRPr="00BE36EC">
        <w:t xml:space="preserve">PËR PËRCAKTIMIN E ÇMIMEVE TË SHITJES ME PAKICË TË ENERGJISË ELEKTRIKE NGA KESH SHA PËR KONSUMATORËT FUNDORË </w:t>
      </w:r>
    </w:p>
    <w:p w:rsidR="00531A85" w:rsidRPr="00BE36EC" w:rsidRDefault="00531A85" w:rsidP="00531A85">
      <w:pPr>
        <w:pStyle w:val="Paragrafi"/>
        <w:rPr>
          <w:szCs w:val="22"/>
          <w:lang w:val="sq-AL"/>
        </w:rPr>
      </w:pPr>
    </w:p>
    <w:p w:rsidR="00531A85" w:rsidRPr="00531A85" w:rsidRDefault="00531A85" w:rsidP="00531A85">
      <w:pPr>
        <w:pStyle w:val="BazLigjPropozues"/>
        <w:rPr>
          <w:lang w:val="sq-AL"/>
        </w:rPr>
      </w:pPr>
      <w:r w:rsidRPr="00531A85">
        <w:rPr>
          <w:lang w:val="sq-AL"/>
        </w:rPr>
        <w:t>Në mbështetje të neneve 8 pika 2, germa “b”, 9, 26, pika 1, 27 dhe 28 të ligjit nr.9072, datë 22.5.2003 “Për sektorin e energjisë elektrike”, vendimeve të Bordit të Komisionerëve nr.28, datë 24.6.2005, nr.29, datë 24.6.2005, nr.30, datë 24.6.2005, përkatësisht “Metodologjitë e llogaritjes së tarifave për kompaninë publike të gjenerimit, të llogaritjes së tarifave të shpërndarjes së energjisë elektrike dhe të llogaritjes së tarifave të shitjes te klientët tariforë”, si dhe vendimit të Bordit të Komisionerëve nr.44, datë 24.7.2007 “Për miratimin e rregullave të praktikës dhe procedurave të ERE-s” neni 38,  Bordi i Komisionerëve të Entit Rregullator të Sektorit të Energjisë Elektrike “ERE”, në mbledhjen e tij të datës 10.12.2007</w:t>
      </w:r>
    </w:p>
    <w:p w:rsidR="00531A85" w:rsidRPr="00BE36EC" w:rsidRDefault="00531A85" w:rsidP="00531A85">
      <w:pPr>
        <w:pStyle w:val="Paragrafi"/>
        <w:rPr>
          <w:szCs w:val="22"/>
          <w:lang w:val="sq-AL"/>
        </w:rPr>
      </w:pPr>
    </w:p>
    <w:p w:rsidR="00531A85" w:rsidRPr="00324680" w:rsidRDefault="00531A85" w:rsidP="00531A85">
      <w:pPr>
        <w:pStyle w:val="VENDOSI"/>
        <w:keepNext w:val="0"/>
        <w:rPr>
          <w:lang w:val="sq-AL"/>
        </w:rPr>
      </w:pPr>
      <w:r w:rsidRPr="00324680">
        <w:rPr>
          <w:lang w:val="sq-AL"/>
        </w:rPr>
        <w:t xml:space="preserve">VENDOSI: </w:t>
      </w:r>
    </w:p>
    <w:p w:rsidR="00531A85" w:rsidRPr="00BE36EC" w:rsidRDefault="00531A85" w:rsidP="00531A85">
      <w:pPr>
        <w:pStyle w:val="Paragrafi"/>
        <w:rPr>
          <w:szCs w:val="22"/>
          <w:lang w:val="sq-AL"/>
        </w:rPr>
      </w:pPr>
    </w:p>
    <w:p w:rsidR="00531A85" w:rsidRPr="00BE36EC" w:rsidRDefault="00531A85" w:rsidP="00531A85">
      <w:pPr>
        <w:pStyle w:val="Paragrafi"/>
        <w:rPr>
          <w:szCs w:val="22"/>
          <w:lang w:val="sq-AL"/>
        </w:rPr>
      </w:pPr>
      <w:r>
        <w:rPr>
          <w:szCs w:val="22"/>
          <w:lang w:val="sq-AL"/>
        </w:rPr>
        <w:t xml:space="preserve">1. </w:t>
      </w:r>
      <w:r w:rsidRPr="00BE36EC">
        <w:rPr>
          <w:szCs w:val="22"/>
          <w:lang w:val="sq-AL"/>
        </w:rPr>
        <w:t>Lënien në fuqi deri në datën 29 shkurt 2008 të çmimeve të shitjes me pakicë të energjisë elektrike nga KESH sh.a.</w:t>
      </w:r>
      <w:r>
        <w:rPr>
          <w:szCs w:val="22"/>
          <w:lang w:val="sq-AL"/>
        </w:rPr>
        <w:t xml:space="preserve">, </w:t>
      </w:r>
      <w:r w:rsidRPr="00BE36EC">
        <w:rPr>
          <w:szCs w:val="22"/>
          <w:lang w:val="sq-AL"/>
        </w:rPr>
        <w:t>për konsumatorët fundorë, në përputhje me vendimin e Bordit të Komisionerëve të ERE-s nr.84, datë 14.12.2006</w:t>
      </w:r>
      <w:r>
        <w:rPr>
          <w:szCs w:val="22"/>
          <w:lang w:val="sq-AL"/>
        </w:rPr>
        <w:t xml:space="preserve"> </w:t>
      </w:r>
      <w:r w:rsidRPr="00BE36EC">
        <w:rPr>
          <w:szCs w:val="22"/>
          <w:lang w:val="sq-AL"/>
        </w:rPr>
        <w:t>(Tabela bashkëlidhur  këtij vendimi).</w:t>
      </w:r>
    </w:p>
    <w:p w:rsidR="00531A85" w:rsidRPr="00BE36EC" w:rsidRDefault="00531A85" w:rsidP="00531A85">
      <w:pPr>
        <w:pStyle w:val="Paragrafi"/>
        <w:rPr>
          <w:szCs w:val="22"/>
          <w:lang w:val="sq-AL"/>
        </w:rPr>
      </w:pPr>
      <w:r w:rsidRPr="00BE36EC">
        <w:rPr>
          <w:szCs w:val="22"/>
          <w:lang w:val="sq-AL"/>
        </w:rPr>
        <w:t>Ky vendim hyn në fuqi pas botimit në Fletoren Zyrtare.</w:t>
      </w:r>
    </w:p>
    <w:p w:rsidR="00531A85" w:rsidRPr="00BE36EC" w:rsidRDefault="00531A85" w:rsidP="00531A85">
      <w:pPr>
        <w:pStyle w:val="Paragrafi"/>
        <w:rPr>
          <w:szCs w:val="22"/>
          <w:lang w:val="sq-AL"/>
        </w:rPr>
      </w:pPr>
    </w:p>
    <w:p w:rsidR="00531A85" w:rsidRPr="00BE36EC" w:rsidRDefault="00531A85" w:rsidP="00531A85">
      <w:pPr>
        <w:pStyle w:val="Paragrafi"/>
        <w:jc w:val="right"/>
        <w:rPr>
          <w:szCs w:val="22"/>
          <w:lang w:val="sq-AL"/>
        </w:rPr>
      </w:pPr>
      <w:r w:rsidRPr="00BE36EC">
        <w:rPr>
          <w:szCs w:val="22"/>
          <w:lang w:val="sq-AL"/>
        </w:rPr>
        <w:t>KRYETARI I ERE-S</w:t>
      </w:r>
    </w:p>
    <w:p w:rsidR="00531A85" w:rsidRPr="005C403A" w:rsidRDefault="00531A85" w:rsidP="00531A85">
      <w:pPr>
        <w:pStyle w:val="Paragrafi"/>
        <w:jc w:val="right"/>
        <w:rPr>
          <w:b/>
          <w:szCs w:val="22"/>
          <w:lang w:val="sq-AL"/>
        </w:rPr>
      </w:pPr>
      <w:r w:rsidRPr="005C403A">
        <w:rPr>
          <w:b/>
          <w:szCs w:val="22"/>
          <w:lang w:val="sq-AL"/>
        </w:rPr>
        <w:t>Bujar Nepravishta</w:t>
      </w:r>
    </w:p>
    <w:p w:rsidR="00531A85" w:rsidRDefault="00531A85" w:rsidP="00531A85">
      <w:pPr>
        <w:pStyle w:val="Paragrafi"/>
        <w:rPr>
          <w:szCs w:val="22"/>
          <w:lang w:val="sq-AL"/>
        </w:rPr>
      </w:pPr>
    </w:p>
    <w:p w:rsidR="00531A85" w:rsidRDefault="00531A85" w:rsidP="00531A85">
      <w:pPr>
        <w:pStyle w:val="Paragrafi"/>
        <w:jc w:val="center"/>
        <w:rPr>
          <w:szCs w:val="22"/>
          <w:lang w:val="sq-AL" w:eastAsia="ja-JP"/>
        </w:rPr>
      </w:pPr>
    </w:p>
    <w:p w:rsidR="00531A85" w:rsidRDefault="00531A85" w:rsidP="00531A85">
      <w:pPr>
        <w:pStyle w:val="Paragrafi"/>
        <w:jc w:val="center"/>
        <w:rPr>
          <w:szCs w:val="22"/>
          <w:lang w:val="sq-AL" w:eastAsia="ja-JP"/>
        </w:rPr>
      </w:pPr>
      <w:r w:rsidRPr="00DA4DCB">
        <w:rPr>
          <w:szCs w:val="22"/>
          <w:lang w:val="sq-AL" w:eastAsia="ja-JP"/>
        </w:rPr>
        <w:t>ÇMIMET E SHITJES SË ENERGJISË ELEKTRIKE</w:t>
      </w:r>
    </w:p>
    <w:p w:rsidR="00531A85" w:rsidRDefault="00531A85" w:rsidP="00531A85">
      <w:pPr>
        <w:pStyle w:val="Paragrafi"/>
        <w:jc w:val="center"/>
        <w:rPr>
          <w:szCs w:val="22"/>
          <w:lang w:val="sq-AL" w:eastAsia="ja-JP"/>
        </w:rPr>
      </w:pPr>
      <w:r w:rsidRPr="00DA4DCB">
        <w:rPr>
          <w:szCs w:val="22"/>
          <w:lang w:val="sq-AL" w:eastAsia="ja-JP"/>
        </w:rPr>
        <w:t>TË APROVUARA NGA ERE</w:t>
      </w:r>
    </w:p>
    <w:p w:rsidR="00531A85" w:rsidRDefault="00531A85" w:rsidP="00531A85">
      <w:pPr>
        <w:pStyle w:val="Paragrafi"/>
        <w:jc w:val="center"/>
        <w:rPr>
          <w:szCs w:val="22"/>
          <w:lang w:val="sq-AL" w:eastAsia="ja-JP"/>
        </w:rPr>
      </w:pP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0"/>
        <w:gridCol w:w="1980"/>
      </w:tblGrid>
      <w:tr w:rsidR="00531A85">
        <w:tc>
          <w:tcPr>
            <w:tcW w:w="5400" w:type="dxa"/>
          </w:tcPr>
          <w:p w:rsidR="00531A85" w:rsidRDefault="00531A85" w:rsidP="00531A85">
            <w:pPr>
              <w:pStyle w:val="Tabele"/>
            </w:pPr>
            <w:r>
              <w:t xml:space="preserve">Kategoritë e konsumatorëve </w:t>
            </w:r>
          </w:p>
        </w:tc>
        <w:tc>
          <w:tcPr>
            <w:tcW w:w="1980" w:type="dxa"/>
          </w:tcPr>
          <w:p w:rsidR="00531A85" w:rsidRDefault="00531A85" w:rsidP="00531A85">
            <w:pPr>
              <w:pStyle w:val="Tabele"/>
            </w:pPr>
            <w:r>
              <w:t>Çmimi (lekë/kwh)</w:t>
            </w:r>
          </w:p>
        </w:tc>
      </w:tr>
      <w:tr w:rsidR="00531A85">
        <w:tc>
          <w:tcPr>
            <w:tcW w:w="5400" w:type="dxa"/>
          </w:tcPr>
          <w:p w:rsidR="00531A85" w:rsidRDefault="00531A85" w:rsidP="00531A85">
            <w:pPr>
              <w:pStyle w:val="Tabele"/>
            </w:pPr>
            <w:r>
              <w:t>Konsumatorë të furnizuar në TL (400/220/110 kV) me asete të zotëruara nga vetë konsumatori</w:t>
            </w:r>
          </w:p>
        </w:tc>
        <w:tc>
          <w:tcPr>
            <w:tcW w:w="1980" w:type="dxa"/>
          </w:tcPr>
          <w:p w:rsidR="00531A85" w:rsidRDefault="00531A85" w:rsidP="00531A85">
            <w:pPr>
              <w:pStyle w:val="Tabele"/>
            </w:pPr>
          </w:p>
          <w:p w:rsidR="00531A85" w:rsidRDefault="00531A85" w:rsidP="00531A85">
            <w:pPr>
              <w:pStyle w:val="Tabele"/>
            </w:pPr>
            <w:r>
              <w:t>4.50</w:t>
            </w:r>
          </w:p>
        </w:tc>
      </w:tr>
      <w:tr w:rsidR="00531A85">
        <w:tc>
          <w:tcPr>
            <w:tcW w:w="5400" w:type="dxa"/>
          </w:tcPr>
          <w:p w:rsidR="00531A85" w:rsidRDefault="00531A85" w:rsidP="00531A85">
            <w:pPr>
              <w:pStyle w:val="Tabele"/>
            </w:pPr>
            <w:r>
              <w:t>Konsumatorë të furnizuar në TM (35, 20, 10, 6 kV)</w:t>
            </w:r>
          </w:p>
        </w:tc>
        <w:tc>
          <w:tcPr>
            <w:tcW w:w="1980" w:type="dxa"/>
          </w:tcPr>
          <w:p w:rsidR="00531A85" w:rsidRDefault="00531A85" w:rsidP="00531A85">
            <w:pPr>
              <w:pStyle w:val="Tabele"/>
            </w:pPr>
          </w:p>
        </w:tc>
      </w:tr>
      <w:tr w:rsidR="00531A85">
        <w:tc>
          <w:tcPr>
            <w:tcW w:w="5400" w:type="dxa"/>
          </w:tcPr>
          <w:p w:rsidR="00531A85" w:rsidRDefault="00531A85" w:rsidP="00531A85">
            <w:pPr>
              <w:pStyle w:val="Tabele"/>
            </w:pPr>
            <w:r>
              <w:t xml:space="preserve">Buxhetore </w:t>
            </w:r>
          </w:p>
        </w:tc>
        <w:tc>
          <w:tcPr>
            <w:tcW w:w="1980" w:type="dxa"/>
          </w:tcPr>
          <w:p w:rsidR="00531A85" w:rsidRDefault="00531A85" w:rsidP="00531A85">
            <w:pPr>
              <w:pStyle w:val="Tabele"/>
            </w:pPr>
            <w:r>
              <w:t>9.40</w:t>
            </w:r>
          </w:p>
        </w:tc>
      </w:tr>
      <w:tr w:rsidR="00531A85">
        <w:tc>
          <w:tcPr>
            <w:tcW w:w="5400" w:type="dxa"/>
          </w:tcPr>
          <w:p w:rsidR="00531A85" w:rsidRDefault="00531A85" w:rsidP="00531A85">
            <w:pPr>
              <w:pStyle w:val="Tabele"/>
            </w:pPr>
            <w:r>
              <w:t>Ujësjellësa buxhetorë</w:t>
            </w:r>
          </w:p>
        </w:tc>
        <w:tc>
          <w:tcPr>
            <w:tcW w:w="1980" w:type="dxa"/>
          </w:tcPr>
          <w:p w:rsidR="00531A85" w:rsidRDefault="00531A85" w:rsidP="00531A85">
            <w:pPr>
              <w:pStyle w:val="Tabele"/>
            </w:pPr>
            <w:r>
              <w:t>7.00</w:t>
            </w:r>
          </w:p>
        </w:tc>
      </w:tr>
      <w:tr w:rsidR="00531A85">
        <w:tc>
          <w:tcPr>
            <w:tcW w:w="5400" w:type="dxa"/>
          </w:tcPr>
          <w:p w:rsidR="00531A85" w:rsidRDefault="00531A85" w:rsidP="00531A85">
            <w:pPr>
              <w:pStyle w:val="Tabele"/>
            </w:pPr>
            <w:r>
              <w:t>Ujësjellësa jobuxhetorë</w:t>
            </w:r>
          </w:p>
        </w:tc>
        <w:tc>
          <w:tcPr>
            <w:tcW w:w="1980" w:type="dxa"/>
          </w:tcPr>
          <w:p w:rsidR="00531A85" w:rsidRDefault="00531A85" w:rsidP="00531A85">
            <w:pPr>
              <w:pStyle w:val="Tabele"/>
            </w:pPr>
            <w:r>
              <w:t>7.00</w:t>
            </w:r>
          </w:p>
        </w:tc>
      </w:tr>
      <w:tr w:rsidR="00531A85">
        <w:tc>
          <w:tcPr>
            <w:tcW w:w="5400" w:type="dxa"/>
          </w:tcPr>
          <w:p w:rsidR="00531A85" w:rsidRDefault="00531A85" w:rsidP="00531A85">
            <w:pPr>
              <w:pStyle w:val="Tabele"/>
            </w:pPr>
            <w:r>
              <w:t>Ujësjellësa privatë</w:t>
            </w:r>
          </w:p>
        </w:tc>
        <w:tc>
          <w:tcPr>
            <w:tcW w:w="1980" w:type="dxa"/>
          </w:tcPr>
          <w:p w:rsidR="00531A85" w:rsidRDefault="00531A85" w:rsidP="00531A85">
            <w:pPr>
              <w:pStyle w:val="Tabele"/>
            </w:pPr>
            <w:r>
              <w:t>7.00</w:t>
            </w:r>
          </w:p>
        </w:tc>
      </w:tr>
      <w:tr w:rsidR="00531A85">
        <w:tc>
          <w:tcPr>
            <w:tcW w:w="5400" w:type="dxa"/>
          </w:tcPr>
          <w:p w:rsidR="00531A85" w:rsidRDefault="00531A85" w:rsidP="00531A85">
            <w:pPr>
              <w:pStyle w:val="Tabele"/>
            </w:pPr>
            <w:r>
              <w:t>Industri private</w:t>
            </w:r>
          </w:p>
        </w:tc>
        <w:tc>
          <w:tcPr>
            <w:tcW w:w="1980" w:type="dxa"/>
          </w:tcPr>
          <w:p w:rsidR="00531A85" w:rsidRDefault="00531A85" w:rsidP="00531A85">
            <w:pPr>
              <w:pStyle w:val="Tabele"/>
            </w:pPr>
            <w:r>
              <w:t>7.00</w:t>
            </w:r>
          </w:p>
        </w:tc>
      </w:tr>
      <w:tr w:rsidR="00531A85">
        <w:tc>
          <w:tcPr>
            <w:tcW w:w="5400" w:type="dxa"/>
          </w:tcPr>
          <w:p w:rsidR="00531A85" w:rsidRDefault="00531A85" w:rsidP="00531A85">
            <w:pPr>
              <w:pStyle w:val="Tabele"/>
            </w:pPr>
            <w:r>
              <w:t>Industri jobuxhetore</w:t>
            </w:r>
          </w:p>
        </w:tc>
        <w:tc>
          <w:tcPr>
            <w:tcW w:w="1980" w:type="dxa"/>
          </w:tcPr>
          <w:p w:rsidR="00531A85" w:rsidRDefault="00531A85" w:rsidP="00531A85">
            <w:pPr>
              <w:pStyle w:val="Tabele"/>
            </w:pPr>
            <w:r>
              <w:t>7.00</w:t>
            </w:r>
          </w:p>
        </w:tc>
      </w:tr>
      <w:tr w:rsidR="00531A85">
        <w:tc>
          <w:tcPr>
            <w:tcW w:w="5400" w:type="dxa"/>
          </w:tcPr>
          <w:p w:rsidR="00531A85" w:rsidRDefault="00531A85" w:rsidP="00531A85">
            <w:pPr>
              <w:pStyle w:val="Tabele"/>
            </w:pPr>
            <w:r>
              <w:t>Jobuxhetorë të tjerë matur në TM</w:t>
            </w:r>
          </w:p>
        </w:tc>
        <w:tc>
          <w:tcPr>
            <w:tcW w:w="1980" w:type="dxa"/>
          </w:tcPr>
          <w:p w:rsidR="00531A85" w:rsidRDefault="00531A85" w:rsidP="00531A85">
            <w:pPr>
              <w:pStyle w:val="Tabele"/>
            </w:pPr>
            <w:r>
              <w:t>7.00</w:t>
            </w:r>
          </w:p>
        </w:tc>
      </w:tr>
      <w:tr w:rsidR="00531A85">
        <w:tc>
          <w:tcPr>
            <w:tcW w:w="5400" w:type="dxa"/>
          </w:tcPr>
          <w:p w:rsidR="00531A85" w:rsidRDefault="00531A85" w:rsidP="00531A85">
            <w:pPr>
              <w:pStyle w:val="Tabele"/>
            </w:pPr>
            <w:r>
              <w:t>Jobuxhetorë të tjerë matur në TU</w:t>
            </w:r>
          </w:p>
        </w:tc>
        <w:tc>
          <w:tcPr>
            <w:tcW w:w="1980" w:type="dxa"/>
          </w:tcPr>
          <w:p w:rsidR="00531A85" w:rsidRDefault="00531A85" w:rsidP="00531A85">
            <w:pPr>
              <w:pStyle w:val="Tabele"/>
            </w:pPr>
            <w:r>
              <w:t>7.00</w:t>
            </w:r>
          </w:p>
        </w:tc>
      </w:tr>
      <w:tr w:rsidR="00531A85">
        <w:tc>
          <w:tcPr>
            <w:tcW w:w="5400" w:type="dxa"/>
          </w:tcPr>
          <w:p w:rsidR="00531A85" w:rsidRDefault="00531A85" w:rsidP="00531A85">
            <w:pPr>
              <w:pStyle w:val="Tabele"/>
            </w:pPr>
            <w:r>
              <w:t>Privatë të tjerë matur në TM</w:t>
            </w:r>
          </w:p>
        </w:tc>
        <w:tc>
          <w:tcPr>
            <w:tcW w:w="1980" w:type="dxa"/>
          </w:tcPr>
          <w:p w:rsidR="00531A85" w:rsidRDefault="00531A85" w:rsidP="00531A85">
            <w:pPr>
              <w:pStyle w:val="Tabele"/>
            </w:pPr>
            <w:r>
              <w:t>7.00</w:t>
            </w:r>
          </w:p>
        </w:tc>
      </w:tr>
      <w:tr w:rsidR="00531A85">
        <w:tc>
          <w:tcPr>
            <w:tcW w:w="5400" w:type="dxa"/>
          </w:tcPr>
          <w:p w:rsidR="00531A85" w:rsidRDefault="00531A85" w:rsidP="00531A85">
            <w:pPr>
              <w:pStyle w:val="Tabele"/>
            </w:pPr>
            <w:r>
              <w:t>Privatë të tjerë matur në TU</w:t>
            </w:r>
          </w:p>
        </w:tc>
        <w:tc>
          <w:tcPr>
            <w:tcW w:w="1980" w:type="dxa"/>
          </w:tcPr>
          <w:p w:rsidR="00531A85" w:rsidRDefault="00531A85" w:rsidP="00531A85">
            <w:pPr>
              <w:pStyle w:val="Tabele"/>
            </w:pPr>
            <w:r>
              <w:t>7.00</w:t>
            </w:r>
          </w:p>
        </w:tc>
      </w:tr>
      <w:tr w:rsidR="00531A85">
        <w:tc>
          <w:tcPr>
            <w:tcW w:w="5400" w:type="dxa"/>
          </w:tcPr>
          <w:p w:rsidR="00531A85" w:rsidRDefault="00531A85" w:rsidP="00531A85">
            <w:pPr>
              <w:pStyle w:val="Tabele"/>
            </w:pPr>
            <w:r>
              <w:t>Prodhues mielli dhe buke</w:t>
            </w:r>
          </w:p>
        </w:tc>
        <w:tc>
          <w:tcPr>
            <w:tcW w:w="1980" w:type="dxa"/>
          </w:tcPr>
          <w:p w:rsidR="00531A85" w:rsidRDefault="00531A85" w:rsidP="00531A85">
            <w:pPr>
              <w:pStyle w:val="Tabele"/>
            </w:pPr>
            <w:r>
              <w:t>7.00</w:t>
            </w:r>
          </w:p>
        </w:tc>
      </w:tr>
      <w:tr w:rsidR="00531A85">
        <w:tc>
          <w:tcPr>
            <w:tcW w:w="5400" w:type="dxa"/>
          </w:tcPr>
          <w:p w:rsidR="00531A85" w:rsidRDefault="00531A85" w:rsidP="00531A85">
            <w:pPr>
              <w:pStyle w:val="Tabele"/>
            </w:pPr>
            <w:r>
              <w:t>Stacione pompimi</w:t>
            </w:r>
          </w:p>
        </w:tc>
        <w:tc>
          <w:tcPr>
            <w:tcW w:w="1980" w:type="dxa"/>
          </w:tcPr>
          <w:p w:rsidR="00531A85" w:rsidRDefault="00531A85" w:rsidP="00531A85">
            <w:pPr>
              <w:pStyle w:val="Tabele"/>
            </w:pPr>
            <w:r>
              <w:t>7.00</w:t>
            </w:r>
          </w:p>
        </w:tc>
      </w:tr>
      <w:tr w:rsidR="00531A85">
        <w:tc>
          <w:tcPr>
            <w:tcW w:w="5400" w:type="dxa"/>
          </w:tcPr>
          <w:p w:rsidR="00531A85" w:rsidRDefault="00531A85" w:rsidP="00531A85">
            <w:pPr>
              <w:pStyle w:val="Tabele"/>
            </w:pPr>
            <w:r>
              <w:t>Institucione fetare</w:t>
            </w:r>
          </w:p>
        </w:tc>
        <w:tc>
          <w:tcPr>
            <w:tcW w:w="1980" w:type="dxa"/>
          </w:tcPr>
          <w:p w:rsidR="00531A85" w:rsidRDefault="00531A85" w:rsidP="00531A85">
            <w:pPr>
              <w:pStyle w:val="Tabele"/>
            </w:pPr>
            <w:r>
              <w:t>7.00</w:t>
            </w:r>
          </w:p>
        </w:tc>
      </w:tr>
      <w:tr w:rsidR="00531A85">
        <w:tc>
          <w:tcPr>
            <w:tcW w:w="5400" w:type="dxa"/>
          </w:tcPr>
          <w:p w:rsidR="00531A85" w:rsidRDefault="00531A85" w:rsidP="00531A85">
            <w:pPr>
              <w:pStyle w:val="Tabele"/>
            </w:pPr>
            <w:r>
              <w:t>Media</w:t>
            </w:r>
          </w:p>
        </w:tc>
        <w:tc>
          <w:tcPr>
            <w:tcW w:w="1980" w:type="dxa"/>
          </w:tcPr>
          <w:p w:rsidR="00531A85" w:rsidRDefault="00531A85" w:rsidP="00531A85">
            <w:pPr>
              <w:pStyle w:val="Tabele"/>
            </w:pPr>
            <w:r>
              <w:t>7.00</w:t>
            </w:r>
          </w:p>
        </w:tc>
      </w:tr>
      <w:tr w:rsidR="00531A85">
        <w:tc>
          <w:tcPr>
            <w:tcW w:w="5400" w:type="dxa"/>
          </w:tcPr>
          <w:p w:rsidR="00531A85" w:rsidRDefault="00531A85" w:rsidP="00531A85">
            <w:pPr>
              <w:pStyle w:val="Tabele"/>
            </w:pPr>
            <w:r>
              <w:t>Konsumatorë të furnizuar në TU (0.4 kV)</w:t>
            </w:r>
          </w:p>
        </w:tc>
        <w:tc>
          <w:tcPr>
            <w:tcW w:w="1980" w:type="dxa"/>
          </w:tcPr>
          <w:p w:rsidR="00531A85" w:rsidRDefault="00531A85" w:rsidP="00531A85">
            <w:pPr>
              <w:pStyle w:val="Tabele"/>
            </w:pPr>
          </w:p>
        </w:tc>
      </w:tr>
      <w:tr w:rsidR="00531A85">
        <w:tc>
          <w:tcPr>
            <w:tcW w:w="5400" w:type="dxa"/>
          </w:tcPr>
          <w:p w:rsidR="00531A85" w:rsidRDefault="00531A85" w:rsidP="00531A85">
            <w:pPr>
              <w:pStyle w:val="Tabele"/>
            </w:pPr>
            <w:r>
              <w:t xml:space="preserve">Buxhetorë </w:t>
            </w:r>
          </w:p>
        </w:tc>
        <w:tc>
          <w:tcPr>
            <w:tcW w:w="1980" w:type="dxa"/>
          </w:tcPr>
          <w:p w:rsidR="00531A85" w:rsidRDefault="00531A85" w:rsidP="00531A85">
            <w:pPr>
              <w:pStyle w:val="Tabele"/>
            </w:pPr>
            <w:r>
              <w:t>10.0</w:t>
            </w:r>
          </w:p>
        </w:tc>
      </w:tr>
      <w:tr w:rsidR="00531A85">
        <w:tc>
          <w:tcPr>
            <w:tcW w:w="5400" w:type="dxa"/>
          </w:tcPr>
          <w:p w:rsidR="00531A85" w:rsidRDefault="00531A85" w:rsidP="00531A85">
            <w:pPr>
              <w:pStyle w:val="Tabele"/>
            </w:pPr>
            <w:r>
              <w:t>Ujësjellësa buxhetorë</w:t>
            </w:r>
          </w:p>
        </w:tc>
        <w:tc>
          <w:tcPr>
            <w:tcW w:w="1980" w:type="dxa"/>
          </w:tcPr>
          <w:p w:rsidR="00531A85" w:rsidRDefault="00531A85" w:rsidP="00531A85">
            <w:pPr>
              <w:pStyle w:val="Tabele"/>
            </w:pPr>
            <w:r>
              <w:t>7.50</w:t>
            </w:r>
          </w:p>
        </w:tc>
      </w:tr>
      <w:tr w:rsidR="00531A85">
        <w:tc>
          <w:tcPr>
            <w:tcW w:w="5400" w:type="dxa"/>
          </w:tcPr>
          <w:p w:rsidR="00531A85" w:rsidRDefault="00531A85" w:rsidP="00531A85">
            <w:pPr>
              <w:pStyle w:val="Tabele"/>
            </w:pPr>
            <w:r>
              <w:t>Ujësjellësa jobuxhetorë</w:t>
            </w:r>
          </w:p>
        </w:tc>
        <w:tc>
          <w:tcPr>
            <w:tcW w:w="1980" w:type="dxa"/>
          </w:tcPr>
          <w:p w:rsidR="00531A85" w:rsidRDefault="00531A85" w:rsidP="00531A85">
            <w:pPr>
              <w:pStyle w:val="Tabele"/>
            </w:pPr>
            <w:r>
              <w:t>7.50</w:t>
            </w:r>
          </w:p>
        </w:tc>
      </w:tr>
      <w:tr w:rsidR="00531A85">
        <w:tc>
          <w:tcPr>
            <w:tcW w:w="5400" w:type="dxa"/>
          </w:tcPr>
          <w:p w:rsidR="00531A85" w:rsidRDefault="00531A85" w:rsidP="00531A85">
            <w:pPr>
              <w:pStyle w:val="Tabele"/>
            </w:pPr>
            <w:r>
              <w:t>Ujësjellësa privatë</w:t>
            </w:r>
          </w:p>
        </w:tc>
        <w:tc>
          <w:tcPr>
            <w:tcW w:w="1980" w:type="dxa"/>
          </w:tcPr>
          <w:p w:rsidR="00531A85" w:rsidRDefault="00531A85" w:rsidP="00531A85">
            <w:pPr>
              <w:pStyle w:val="Tabele"/>
            </w:pPr>
            <w:r>
              <w:t>7.50</w:t>
            </w:r>
          </w:p>
        </w:tc>
      </w:tr>
      <w:tr w:rsidR="00531A85">
        <w:tc>
          <w:tcPr>
            <w:tcW w:w="5400" w:type="dxa"/>
          </w:tcPr>
          <w:p w:rsidR="00531A85" w:rsidRDefault="00531A85" w:rsidP="00531A85">
            <w:pPr>
              <w:pStyle w:val="Tabele"/>
            </w:pPr>
            <w:r>
              <w:t>Industri jobuxhetore</w:t>
            </w:r>
          </w:p>
        </w:tc>
        <w:tc>
          <w:tcPr>
            <w:tcW w:w="1980" w:type="dxa"/>
          </w:tcPr>
          <w:p w:rsidR="00531A85" w:rsidRDefault="00531A85" w:rsidP="00531A85">
            <w:pPr>
              <w:pStyle w:val="Tabele"/>
            </w:pPr>
            <w:r>
              <w:t>8.00</w:t>
            </w:r>
          </w:p>
        </w:tc>
      </w:tr>
      <w:tr w:rsidR="00531A85">
        <w:tc>
          <w:tcPr>
            <w:tcW w:w="5400" w:type="dxa"/>
          </w:tcPr>
          <w:p w:rsidR="00531A85" w:rsidRDefault="00531A85" w:rsidP="00531A85">
            <w:pPr>
              <w:pStyle w:val="Tabele"/>
            </w:pPr>
            <w:r>
              <w:t xml:space="preserve">Jobuxhetorë të tjerë </w:t>
            </w:r>
          </w:p>
        </w:tc>
        <w:tc>
          <w:tcPr>
            <w:tcW w:w="1980" w:type="dxa"/>
          </w:tcPr>
          <w:p w:rsidR="00531A85" w:rsidRDefault="00531A85" w:rsidP="00531A85">
            <w:pPr>
              <w:pStyle w:val="Tabele"/>
            </w:pPr>
            <w:r>
              <w:t>8.00</w:t>
            </w:r>
          </w:p>
        </w:tc>
      </w:tr>
      <w:tr w:rsidR="00531A85">
        <w:tc>
          <w:tcPr>
            <w:tcW w:w="5400" w:type="dxa"/>
          </w:tcPr>
          <w:p w:rsidR="00531A85" w:rsidRDefault="00531A85" w:rsidP="00531A85">
            <w:pPr>
              <w:pStyle w:val="Tabele"/>
            </w:pPr>
            <w:r>
              <w:lastRenderedPageBreak/>
              <w:t>Privatë</w:t>
            </w:r>
          </w:p>
        </w:tc>
        <w:tc>
          <w:tcPr>
            <w:tcW w:w="1980" w:type="dxa"/>
          </w:tcPr>
          <w:p w:rsidR="00531A85" w:rsidRDefault="00531A85" w:rsidP="00531A85">
            <w:pPr>
              <w:pStyle w:val="Tabele"/>
            </w:pPr>
            <w:r>
              <w:t>8.00</w:t>
            </w:r>
          </w:p>
        </w:tc>
      </w:tr>
      <w:tr w:rsidR="00531A85">
        <w:tc>
          <w:tcPr>
            <w:tcW w:w="5400" w:type="dxa"/>
          </w:tcPr>
          <w:p w:rsidR="00531A85" w:rsidRDefault="00531A85" w:rsidP="00531A85">
            <w:pPr>
              <w:pStyle w:val="Tabele"/>
            </w:pPr>
            <w:r>
              <w:t>Prodhues mielli dhe buke</w:t>
            </w:r>
          </w:p>
        </w:tc>
        <w:tc>
          <w:tcPr>
            <w:tcW w:w="1980" w:type="dxa"/>
          </w:tcPr>
          <w:p w:rsidR="00531A85" w:rsidRDefault="00531A85" w:rsidP="00531A85">
            <w:pPr>
              <w:pStyle w:val="Tabele"/>
            </w:pPr>
            <w:r>
              <w:t>7.50</w:t>
            </w:r>
          </w:p>
        </w:tc>
      </w:tr>
      <w:tr w:rsidR="00531A85">
        <w:tc>
          <w:tcPr>
            <w:tcW w:w="5400" w:type="dxa"/>
          </w:tcPr>
          <w:p w:rsidR="00531A85" w:rsidRDefault="00531A85" w:rsidP="00531A85">
            <w:pPr>
              <w:pStyle w:val="Tabele"/>
            </w:pPr>
            <w:r>
              <w:t>Stacione pompimi</w:t>
            </w:r>
          </w:p>
        </w:tc>
        <w:tc>
          <w:tcPr>
            <w:tcW w:w="1980" w:type="dxa"/>
          </w:tcPr>
          <w:p w:rsidR="00531A85" w:rsidRDefault="00531A85" w:rsidP="00531A85">
            <w:pPr>
              <w:pStyle w:val="Tabele"/>
            </w:pPr>
            <w:r>
              <w:t>7.50</w:t>
            </w:r>
          </w:p>
        </w:tc>
      </w:tr>
      <w:tr w:rsidR="00531A85">
        <w:tc>
          <w:tcPr>
            <w:tcW w:w="5400" w:type="dxa"/>
          </w:tcPr>
          <w:p w:rsidR="00531A85" w:rsidRDefault="00531A85" w:rsidP="00531A85">
            <w:pPr>
              <w:pStyle w:val="Tabele"/>
            </w:pPr>
            <w:r>
              <w:t>Institucione fetare</w:t>
            </w:r>
          </w:p>
        </w:tc>
        <w:tc>
          <w:tcPr>
            <w:tcW w:w="1980" w:type="dxa"/>
          </w:tcPr>
          <w:p w:rsidR="00531A85" w:rsidRDefault="00531A85" w:rsidP="00531A85">
            <w:pPr>
              <w:pStyle w:val="Tabele"/>
            </w:pPr>
            <w:r>
              <w:t>8.00</w:t>
            </w:r>
          </w:p>
        </w:tc>
      </w:tr>
      <w:tr w:rsidR="00531A85">
        <w:tc>
          <w:tcPr>
            <w:tcW w:w="5400" w:type="dxa"/>
          </w:tcPr>
          <w:p w:rsidR="00531A85" w:rsidRDefault="00531A85" w:rsidP="00531A85">
            <w:pPr>
              <w:pStyle w:val="Tabele"/>
            </w:pPr>
            <w:r>
              <w:t>Media</w:t>
            </w:r>
          </w:p>
        </w:tc>
        <w:tc>
          <w:tcPr>
            <w:tcW w:w="1980" w:type="dxa"/>
          </w:tcPr>
          <w:p w:rsidR="00531A85" w:rsidRDefault="00531A85" w:rsidP="00531A85">
            <w:pPr>
              <w:pStyle w:val="Tabele"/>
            </w:pPr>
            <w:r>
              <w:t>8.00</w:t>
            </w:r>
          </w:p>
        </w:tc>
      </w:tr>
      <w:tr w:rsidR="00531A85">
        <w:tc>
          <w:tcPr>
            <w:tcW w:w="5400" w:type="dxa"/>
          </w:tcPr>
          <w:p w:rsidR="00531A85" w:rsidRDefault="00531A85" w:rsidP="00531A85">
            <w:pPr>
              <w:pStyle w:val="Tabele"/>
            </w:pPr>
            <w:r>
              <w:t>Konsumatorë familjarë</w:t>
            </w:r>
          </w:p>
        </w:tc>
        <w:tc>
          <w:tcPr>
            <w:tcW w:w="1980" w:type="dxa"/>
          </w:tcPr>
          <w:p w:rsidR="00531A85" w:rsidRDefault="00531A85" w:rsidP="00531A85">
            <w:pPr>
              <w:pStyle w:val="Tabele"/>
            </w:pPr>
            <w:r>
              <w:t>7.00</w:t>
            </w:r>
          </w:p>
        </w:tc>
      </w:tr>
    </w:tbl>
    <w:p w:rsidR="00531A85" w:rsidRPr="00BE36EC" w:rsidRDefault="00531A85" w:rsidP="00531A85">
      <w:pPr>
        <w:pStyle w:val="Paragrafi"/>
        <w:rPr>
          <w:szCs w:val="22"/>
          <w:lang w:val="sq-AL"/>
        </w:rPr>
      </w:pPr>
    </w:p>
    <w:p w:rsidR="00531A85" w:rsidRPr="00BE36EC" w:rsidRDefault="00531A85" w:rsidP="00531A85">
      <w:pPr>
        <w:pStyle w:val="Paragrafi"/>
        <w:rPr>
          <w:szCs w:val="22"/>
          <w:lang w:val="sq-AL"/>
        </w:rPr>
      </w:pPr>
      <w:r>
        <w:rPr>
          <w:szCs w:val="22"/>
          <w:lang w:val="sq-AL"/>
        </w:rPr>
        <w:t>Shënim: Energjia e përdorur për ambientet e përbashkëta (ndriçim shkalle, pompë, ashensorë etj.) do të faturohet me 7 lekë/kWh.</w:t>
      </w:r>
    </w:p>
    <w:p w:rsidR="000178C2" w:rsidRPr="00C84B66" w:rsidRDefault="000178C2" w:rsidP="00531A85">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31A85"/>
    <w:rsid w:val="000178C2"/>
    <w:rsid w:val="00531A85"/>
    <w:rsid w:val="006E70AB"/>
    <w:rsid w:val="00C84B66"/>
    <w:rsid w:val="00FC1C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5895E0F-EFA4-4E5C-BADA-14F2DDF69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1A85"/>
    <w:pPr>
      <w:widowControl w:val="0"/>
    </w:pPr>
    <w:rPr>
      <w:rFonts w:ascii="CG Times" w:hAnsi="CG Times"/>
      <w:sz w:val="22"/>
      <w:szCs w:val="22"/>
      <w:lang w:val="sq-AL"/>
    </w:rPr>
  </w:style>
  <w:style w:type="paragraph" w:styleId="Heading1">
    <w:name w:val="heading 1"/>
    <w:basedOn w:val="Normal"/>
    <w:next w:val="Normal"/>
    <w:qFormat/>
    <w:rsid w:val="00FC1CEB"/>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FC1CEB"/>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FC1CEB"/>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FC1CEB"/>
    <w:rPr>
      <w:rFonts w:ascii="CG Times" w:hAnsi="CG Times"/>
      <w:sz w:val="22"/>
      <w:lang w:val="en-GB"/>
    </w:rPr>
  </w:style>
  <w:style w:type="paragraph" w:customStyle="1" w:styleId="AneksiNr">
    <w:name w:val="Aneksi_Nr"/>
    <w:next w:val="Normal"/>
    <w:rsid w:val="00FC1CEB"/>
    <w:pPr>
      <w:keepNext/>
      <w:widowControl w:val="0"/>
      <w:jc w:val="center"/>
    </w:pPr>
    <w:rPr>
      <w:rFonts w:ascii="CG Times" w:hAnsi="CG Times"/>
      <w:caps/>
      <w:sz w:val="22"/>
      <w:szCs w:val="22"/>
      <w:lang w:val="en-GB"/>
    </w:rPr>
  </w:style>
  <w:style w:type="paragraph" w:customStyle="1" w:styleId="AneksiTitull">
    <w:name w:val="Aneksi_Titull"/>
    <w:next w:val="Normal"/>
    <w:rsid w:val="00FC1CEB"/>
    <w:pPr>
      <w:jc w:val="center"/>
    </w:pPr>
    <w:rPr>
      <w:rFonts w:ascii="CG Times" w:hAnsi="CG Times"/>
      <w:sz w:val="24"/>
      <w:szCs w:val="24"/>
      <w:lang w:val="en-GB"/>
    </w:rPr>
  </w:style>
  <w:style w:type="paragraph" w:customStyle="1" w:styleId="Autoriteti">
    <w:name w:val="Autoriteti"/>
    <w:next w:val="Normal"/>
    <w:rsid w:val="00FC1CEB"/>
    <w:pPr>
      <w:keepNext/>
      <w:widowControl w:val="0"/>
      <w:jc w:val="right"/>
    </w:pPr>
    <w:rPr>
      <w:rFonts w:ascii="CG Times" w:hAnsi="CG Times"/>
      <w:caps/>
      <w:sz w:val="22"/>
      <w:szCs w:val="22"/>
      <w:lang w:val="en-GB"/>
    </w:rPr>
  </w:style>
  <w:style w:type="paragraph" w:customStyle="1" w:styleId="AutoritetiEmer">
    <w:name w:val="Autoriteti_Emer"/>
    <w:next w:val="Normal"/>
    <w:rsid w:val="00FC1CEB"/>
    <w:pPr>
      <w:widowControl w:val="0"/>
      <w:jc w:val="right"/>
    </w:pPr>
    <w:rPr>
      <w:rFonts w:ascii="CG Times" w:hAnsi="CG Times"/>
      <w:b/>
      <w:sz w:val="22"/>
      <w:szCs w:val="22"/>
      <w:lang w:val="en-GB"/>
    </w:rPr>
  </w:style>
  <w:style w:type="character" w:customStyle="1" w:styleId="AutoritetiEmerCharChar">
    <w:name w:val="Autoriteti_Emer Char Char"/>
    <w:basedOn w:val="DefaultParagraphFont"/>
    <w:rsid w:val="00FC1CEB"/>
    <w:rPr>
      <w:rFonts w:ascii="CG Times" w:eastAsia="MS Mincho" w:hAnsi="CG Times"/>
      <w:b/>
      <w:sz w:val="22"/>
      <w:szCs w:val="22"/>
      <w:lang w:val="en-GB" w:eastAsia="en-US" w:bidi="ar-SA"/>
    </w:rPr>
  </w:style>
  <w:style w:type="paragraph" w:customStyle="1" w:styleId="BazLigjPropozues">
    <w:name w:val="Baz_Ligj_Propozues"/>
    <w:rsid w:val="00FC1CEB"/>
    <w:pPr>
      <w:keepNext/>
      <w:widowControl w:val="0"/>
      <w:ind w:firstLine="720"/>
      <w:jc w:val="both"/>
    </w:pPr>
    <w:rPr>
      <w:rFonts w:ascii="CG Times" w:hAnsi="CG Times"/>
      <w:color w:val="000000"/>
      <w:sz w:val="22"/>
      <w:szCs w:val="22"/>
      <w:lang w:val="en-GB"/>
    </w:rPr>
  </w:style>
  <w:style w:type="paragraph" w:customStyle="1" w:styleId="bcpara">
    <w:name w:val="bc para"/>
    <w:basedOn w:val="Normal"/>
    <w:rsid w:val="00FC1CEB"/>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FC1CE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FC1CEB"/>
    <w:pPr>
      <w:spacing w:after="720"/>
      <w:ind w:left="1134"/>
      <w:jc w:val="both"/>
    </w:pPr>
    <w:rPr>
      <w:rFonts w:ascii="Arial" w:hAnsi="Arial"/>
      <w:sz w:val="20"/>
      <w:szCs w:val="20"/>
      <w:lang w:val="en-GB"/>
    </w:rPr>
  </w:style>
  <w:style w:type="paragraph" w:customStyle="1" w:styleId="bcverylastparaa">
    <w:name w:val="bc very last para (a)"/>
    <w:basedOn w:val="Normal"/>
    <w:rsid w:val="00FC1CEB"/>
    <w:pPr>
      <w:spacing w:after="720"/>
      <w:ind w:left="1843" w:hanging="709"/>
      <w:jc w:val="both"/>
    </w:pPr>
    <w:rPr>
      <w:rFonts w:ascii="Arial" w:hAnsi="Arial"/>
      <w:noProof/>
      <w:sz w:val="20"/>
      <w:szCs w:val="20"/>
      <w:lang w:val="en-GB"/>
    </w:rPr>
  </w:style>
  <w:style w:type="paragraph" w:customStyle="1" w:styleId="Bllok">
    <w:name w:val="Bllok"/>
    <w:next w:val="Normal"/>
    <w:rsid w:val="00FC1CEB"/>
    <w:pPr>
      <w:jc w:val="center"/>
    </w:pPr>
    <w:rPr>
      <w:rFonts w:ascii="CG Times" w:hAnsi="CG Times"/>
      <w:caps/>
      <w:sz w:val="22"/>
      <w:szCs w:val="22"/>
      <w:lang w:val="en-GB"/>
    </w:rPr>
  </w:style>
  <w:style w:type="paragraph" w:customStyle="1" w:styleId="extraclauses">
    <w:name w:val="extra_clauses"/>
    <w:basedOn w:val="Normal"/>
    <w:rsid w:val="00FC1CE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FC1CEB"/>
    <w:pPr>
      <w:widowControl w:val="0"/>
      <w:outlineLvl w:val="2"/>
    </w:pPr>
    <w:rPr>
      <w:rFonts w:ascii="CG Times" w:hAnsi="CG Times"/>
      <w:sz w:val="22"/>
    </w:rPr>
  </w:style>
  <w:style w:type="paragraph" w:customStyle="1" w:styleId="footnote">
    <w:name w:val="footnote"/>
    <w:basedOn w:val="Normal"/>
    <w:rsid w:val="00FC1CEB"/>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FC1CEB"/>
    <w:pPr>
      <w:keepNext/>
      <w:widowControl w:val="0"/>
      <w:jc w:val="center"/>
    </w:pPr>
    <w:rPr>
      <w:rFonts w:ascii="CG Times" w:hAnsi="CG Times"/>
      <w:caps/>
      <w:sz w:val="22"/>
      <w:szCs w:val="22"/>
      <w:lang w:val="en-GB"/>
    </w:rPr>
  </w:style>
  <w:style w:type="paragraph" w:customStyle="1" w:styleId="Kapakufund">
    <w:name w:val="Kapaku_fund"/>
    <w:next w:val="Normal"/>
    <w:rsid w:val="00FC1CEB"/>
    <w:pPr>
      <w:pageBreakBefore/>
    </w:pPr>
    <w:rPr>
      <w:rFonts w:ascii="CG Times" w:hAnsi="CG Times"/>
      <w:b/>
      <w:sz w:val="22"/>
      <w:szCs w:val="22"/>
    </w:rPr>
  </w:style>
  <w:style w:type="paragraph" w:customStyle="1" w:styleId="KapitulliNr">
    <w:name w:val="Kapitulli_Nr"/>
    <w:rsid w:val="00FC1CEB"/>
    <w:pPr>
      <w:keepNext/>
      <w:widowControl w:val="0"/>
      <w:jc w:val="center"/>
    </w:pPr>
    <w:rPr>
      <w:rFonts w:ascii="CG Times" w:hAnsi="CG Times"/>
      <w:caps/>
      <w:sz w:val="22"/>
      <w:szCs w:val="22"/>
      <w:lang w:val="en-GB"/>
    </w:rPr>
  </w:style>
  <w:style w:type="paragraph" w:customStyle="1" w:styleId="KapitulliTitull">
    <w:name w:val="Kapitulli_Titull"/>
    <w:rsid w:val="00FC1CEB"/>
    <w:pPr>
      <w:keepNext/>
      <w:widowControl w:val="0"/>
      <w:jc w:val="center"/>
    </w:pPr>
    <w:rPr>
      <w:rFonts w:ascii="CG Times" w:hAnsi="CG Times"/>
      <w:caps/>
      <w:sz w:val="22"/>
      <w:szCs w:val="22"/>
      <w:lang w:val="en-GB"/>
    </w:rPr>
  </w:style>
  <w:style w:type="paragraph" w:customStyle="1" w:styleId="KreuNr">
    <w:name w:val="Kreu_Nr"/>
    <w:rsid w:val="00FC1CEB"/>
    <w:pPr>
      <w:keepNext/>
      <w:widowControl w:val="0"/>
      <w:jc w:val="center"/>
    </w:pPr>
    <w:rPr>
      <w:rFonts w:ascii="CG Times" w:hAnsi="CG Times"/>
      <w:caps/>
      <w:sz w:val="22"/>
      <w:szCs w:val="22"/>
    </w:rPr>
  </w:style>
  <w:style w:type="paragraph" w:customStyle="1" w:styleId="KreuTitull">
    <w:name w:val="Kreu_Titull"/>
    <w:next w:val="KapitulliTitull"/>
    <w:rsid w:val="00FC1CEB"/>
    <w:pPr>
      <w:keepNext/>
      <w:widowControl w:val="0"/>
      <w:jc w:val="center"/>
    </w:pPr>
    <w:rPr>
      <w:rFonts w:ascii="CG Times" w:hAnsi="CG Times"/>
      <w:caps/>
      <w:sz w:val="22"/>
      <w:szCs w:val="22"/>
    </w:rPr>
  </w:style>
  <w:style w:type="paragraph" w:customStyle="1" w:styleId="Ndryshimet">
    <w:name w:val="Ndryshimet"/>
    <w:next w:val="Normal"/>
    <w:rsid w:val="00FC1CEB"/>
    <w:pPr>
      <w:keepNext/>
      <w:widowControl w:val="0"/>
      <w:jc w:val="center"/>
    </w:pPr>
    <w:rPr>
      <w:rFonts w:ascii="CG Times" w:hAnsi="CG Times"/>
      <w:i/>
      <w:sz w:val="22"/>
    </w:rPr>
  </w:style>
  <w:style w:type="paragraph" w:customStyle="1" w:styleId="NeniNr">
    <w:name w:val="Neni_Nr"/>
    <w:next w:val="Normal"/>
    <w:rsid w:val="00FC1CEB"/>
    <w:pPr>
      <w:keepNext/>
      <w:widowControl w:val="0"/>
      <w:jc w:val="center"/>
    </w:pPr>
    <w:rPr>
      <w:rFonts w:ascii="CG Times" w:hAnsi="CG Times"/>
      <w:sz w:val="22"/>
      <w:lang w:val="en-GB"/>
    </w:rPr>
  </w:style>
  <w:style w:type="paragraph" w:customStyle="1" w:styleId="NeniTitull">
    <w:name w:val="Neni_Titull"/>
    <w:next w:val="Normal"/>
    <w:rsid w:val="00FC1CEB"/>
    <w:pPr>
      <w:keepNext/>
      <w:widowControl w:val="0"/>
      <w:jc w:val="center"/>
      <w:outlineLvl w:val="2"/>
    </w:pPr>
    <w:rPr>
      <w:rFonts w:ascii="CG Times" w:hAnsi="CG Times"/>
      <w:b/>
      <w:sz w:val="22"/>
      <w:lang w:val="en-GB"/>
    </w:rPr>
  </w:style>
  <w:style w:type="paragraph" w:customStyle="1" w:styleId="NenkreuNr">
    <w:name w:val="Nenkreu_Nr"/>
    <w:rsid w:val="00FC1CEB"/>
    <w:pPr>
      <w:keepNext/>
      <w:widowControl w:val="0"/>
      <w:jc w:val="center"/>
    </w:pPr>
    <w:rPr>
      <w:rFonts w:ascii="CG Times" w:hAnsi="CG Times"/>
      <w:caps/>
      <w:sz w:val="22"/>
      <w:szCs w:val="22"/>
      <w:lang w:val="en-GB"/>
    </w:rPr>
  </w:style>
  <w:style w:type="paragraph" w:customStyle="1" w:styleId="NenkreuTitull">
    <w:name w:val="Nenkreu_Titull"/>
    <w:rsid w:val="00FC1CEB"/>
    <w:pPr>
      <w:jc w:val="center"/>
    </w:pPr>
    <w:rPr>
      <w:rFonts w:ascii="CG Times" w:hAnsi="CG Times"/>
      <w:caps/>
      <w:sz w:val="22"/>
      <w:szCs w:val="22"/>
      <w:lang w:val="en-GB"/>
    </w:rPr>
  </w:style>
  <w:style w:type="paragraph" w:customStyle="1" w:styleId="Nenpika">
    <w:name w:val="Nenpika"/>
    <w:next w:val="Normal"/>
    <w:autoRedefine/>
    <w:rsid w:val="00FC1CEB"/>
    <w:pPr>
      <w:ind w:firstLine="720"/>
    </w:pPr>
    <w:rPr>
      <w:rFonts w:ascii="CG Times" w:hAnsi="CG Times"/>
      <w:sz w:val="22"/>
    </w:rPr>
  </w:style>
  <w:style w:type="paragraph" w:customStyle="1" w:styleId="NormaleBookmanOldStyle">
    <w:name w:val="Normale + Bookman Old Style"/>
    <w:aliases w:val="Giustificato,Dopo:  6 pt"/>
    <w:basedOn w:val="Normal"/>
    <w:rsid w:val="00FC1CEB"/>
    <w:pPr>
      <w:spacing w:after="120"/>
      <w:jc w:val="both"/>
    </w:pPr>
    <w:rPr>
      <w:rFonts w:ascii="Bookman Old Style" w:hAnsi="Bookman Old Style"/>
      <w:szCs w:val="20"/>
    </w:rPr>
  </w:style>
  <w:style w:type="paragraph" w:customStyle="1" w:styleId="numberedindent">
    <w:name w:val="numberedindent"/>
    <w:rsid w:val="00FC1CEB"/>
    <w:pPr>
      <w:tabs>
        <w:tab w:val="num" w:pos="1800"/>
      </w:tabs>
      <w:spacing w:after="120"/>
      <w:jc w:val="both"/>
    </w:pPr>
    <w:rPr>
      <w:rFonts w:ascii="Arial" w:hAnsi="Arial"/>
      <w:lang w:val="en-GB"/>
    </w:rPr>
  </w:style>
  <w:style w:type="paragraph" w:customStyle="1" w:styleId="NumriData">
    <w:name w:val="Numri_Data"/>
    <w:next w:val="Normal"/>
    <w:rsid w:val="00FC1CEB"/>
    <w:pPr>
      <w:keepNext/>
      <w:widowControl w:val="0"/>
      <w:jc w:val="center"/>
      <w:outlineLvl w:val="0"/>
    </w:pPr>
    <w:rPr>
      <w:rFonts w:ascii="CG Times" w:hAnsi="CG Times"/>
      <w:b/>
      <w:sz w:val="22"/>
      <w:lang w:val="en-GB"/>
    </w:rPr>
  </w:style>
  <w:style w:type="paragraph" w:customStyle="1" w:styleId="Paragrafi">
    <w:name w:val="Paragrafi"/>
    <w:link w:val="ParagrafiChar"/>
    <w:rsid w:val="00FC1CEB"/>
    <w:pPr>
      <w:widowControl w:val="0"/>
      <w:ind w:firstLine="720"/>
      <w:jc w:val="both"/>
    </w:pPr>
    <w:rPr>
      <w:rFonts w:ascii="CG Times" w:hAnsi="CG Times"/>
      <w:sz w:val="22"/>
    </w:rPr>
  </w:style>
  <w:style w:type="paragraph" w:customStyle="1" w:styleId="Pika">
    <w:name w:val="Pika"/>
    <w:next w:val="Normal"/>
    <w:autoRedefine/>
    <w:rsid w:val="00FC1CEB"/>
    <w:pPr>
      <w:ind w:firstLine="720"/>
    </w:pPr>
    <w:rPr>
      <w:rFonts w:ascii="CG Times" w:hAnsi="CG Times"/>
      <w:sz w:val="22"/>
    </w:rPr>
  </w:style>
  <w:style w:type="paragraph" w:customStyle="1" w:styleId="PikeKreu">
    <w:name w:val="Pike_Kreu"/>
    <w:basedOn w:val="Heading1"/>
    <w:rsid w:val="00FC1CEB"/>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FC1CEB"/>
    <w:pPr>
      <w:keepNext/>
      <w:widowControl w:val="0"/>
      <w:jc w:val="center"/>
    </w:pPr>
    <w:rPr>
      <w:rFonts w:ascii="CG Times" w:hAnsi="CG Times"/>
      <w:caps/>
      <w:sz w:val="22"/>
      <w:szCs w:val="22"/>
      <w:lang w:val="en-GB"/>
    </w:rPr>
  </w:style>
  <w:style w:type="paragraph" w:customStyle="1" w:styleId="PjesaTitull">
    <w:name w:val="Pjesa_Titull"/>
    <w:rsid w:val="00FC1CEB"/>
    <w:pPr>
      <w:keepNext/>
      <w:widowControl w:val="0"/>
      <w:jc w:val="center"/>
    </w:pPr>
    <w:rPr>
      <w:rFonts w:ascii="CG Times" w:hAnsi="CG Times"/>
      <w:caps/>
      <w:sz w:val="22"/>
      <w:szCs w:val="22"/>
      <w:lang w:val="en-GB"/>
    </w:rPr>
  </w:style>
  <w:style w:type="paragraph" w:customStyle="1" w:styleId="Shpallja">
    <w:name w:val="Shpallja"/>
    <w:rsid w:val="00FC1CEB"/>
    <w:pPr>
      <w:widowControl w:val="0"/>
      <w:jc w:val="both"/>
    </w:pPr>
    <w:rPr>
      <w:rFonts w:ascii="CG Times" w:hAnsi="CG Times"/>
      <w:b/>
      <w:color w:val="000000"/>
      <w:sz w:val="22"/>
      <w:szCs w:val="22"/>
      <w:lang w:val="sq-AL"/>
    </w:rPr>
  </w:style>
  <w:style w:type="paragraph" w:customStyle="1" w:styleId="Tabele">
    <w:name w:val="Tabele"/>
    <w:rsid w:val="00FC1CEB"/>
    <w:rPr>
      <w:rFonts w:ascii="CG Times" w:hAnsi="CG Times"/>
      <w:sz w:val="22"/>
      <w:lang w:val="en-GB"/>
    </w:rPr>
  </w:style>
  <w:style w:type="paragraph" w:customStyle="1" w:styleId="text">
    <w:name w:val="text"/>
    <w:basedOn w:val="Normal"/>
    <w:rsid w:val="00FC1CEB"/>
    <w:pPr>
      <w:ind w:left="709"/>
      <w:jc w:val="both"/>
    </w:pPr>
    <w:rPr>
      <w:rFonts w:ascii="Arial" w:hAnsi="Arial"/>
      <w:sz w:val="20"/>
      <w:szCs w:val="20"/>
      <w:lang w:val="fr-FR"/>
    </w:rPr>
  </w:style>
  <w:style w:type="paragraph" w:customStyle="1" w:styleId="Titulli">
    <w:name w:val="Titulli"/>
    <w:next w:val="Normal"/>
    <w:link w:val="TitulliChar"/>
    <w:rsid w:val="00FC1CEB"/>
    <w:pPr>
      <w:keepNext/>
      <w:widowControl w:val="0"/>
      <w:jc w:val="center"/>
      <w:outlineLvl w:val="1"/>
    </w:pPr>
    <w:rPr>
      <w:rFonts w:ascii="CG Times" w:hAnsi="CG Times"/>
      <w:b/>
      <w:caps/>
      <w:sz w:val="22"/>
      <w:szCs w:val="22"/>
      <w:lang w:val="en-GB"/>
    </w:rPr>
  </w:style>
  <w:style w:type="character" w:customStyle="1" w:styleId="TitulliCharChar">
    <w:name w:val="Titulli Char Char"/>
    <w:basedOn w:val="DefaultParagraphFont"/>
    <w:rsid w:val="00FC1CEB"/>
    <w:rPr>
      <w:rFonts w:ascii="CG Times" w:eastAsia="MS Mincho" w:hAnsi="CG Times"/>
      <w:b/>
      <w:caps/>
      <w:sz w:val="22"/>
      <w:szCs w:val="22"/>
      <w:lang w:val="en-GB" w:eastAsia="en-US" w:bidi="ar-SA"/>
    </w:rPr>
  </w:style>
  <w:style w:type="paragraph" w:customStyle="1" w:styleId="TitulliNr">
    <w:name w:val="Titulli_Nr"/>
    <w:rsid w:val="00FC1CEB"/>
    <w:pPr>
      <w:keepNext/>
      <w:widowControl w:val="0"/>
      <w:jc w:val="center"/>
    </w:pPr>
    <w:rPr>
      <w:rFonts w:ascii="CG Times" w:hAnsi="CG Times"/>
      <w:caps/>
      <w:sz w:val="22"/>
      <w:szCs w:val="22"/>
      <w:lang w:val="en-GB"/>
    </w:rPr>
  </w:style>
  <w:style w:type="paragraph" w:customStyle="1" w:styleId="TitulliTitull">
    <w:name w:val="Titulli_Titull"/>
    <w:rsid w:val="00FC1CEB"/>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FC1CEB"/>
    <w:pPr>
      <w:keepNext/>
      <w:widowControl w:val="0"/>
      <w:jc w:val="center"/>
    </w:pPr>
    <w:rPr>
      <w:rFonts w:ascii="CG Times" w:hAnsi="CG Times"/>
      <w:caps/>
      <w:sz w:val="22"/>
      <w:szCs w:val="22"/>
      <w:lang w:val="en-GB"/>
    </w:rPr>
  </w:style>
  <w:style w:type="character" w:customStyle="1" w:styleId="ParagrafiChar">
    <w:name w:val="Paragrafi Char"/>
    <w:basedOn w:val="DefaultParagraphFont"/>
    <w:link w:val="Paragrafi"/>
    <w:rsid w:val="00531A85"/>
    <w:rPr>
      <w:rFonts w:ascii="CG Times" w:hAnsi="CG Times"/>
      <w:sz w:val="22"/>
      <w:lang w:val="en-US" w:eastAsia="en-US" w:bidi="ar-SA"/>
    </w:rPr>
  </w:style>
  <w:style w:type="character" w:customStyle="1" w:styleId="TitulliChar">
    <w:name w:val="Titulli Char"/>
    <w:basedOn w:val="DefaultParagraphFont"/>
    <w:link w:val="Titulli"/>
    <w:rsid w:val="00531A85"/>
    <w:rPr>
      <w:rFonts w:ascii="CG Times" w:hAnsi="CG Times"/>
      <w:b/>
      <w:caps/>
      <w:sz w:val="22"/>
      <w:szCs w:val="22"/>
      <w:lang w:val="en-GB" w:eastAsia="en-US" w:bidi="ar-SA"/>
    </w:rPr>
  </w:style>
  <w:style w:type="character" w:customStyle="1" w:styleId="VENDOSIChar">
    <w:name w:val="VENDOSI Char"/>
    <w:basedOn w:val="DefaultParagraphFont"/>
    <w:link w:val="VENDOSI"/>
    <w:rsid w:val="00531A85"/>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351</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QBZ Admin</cp:lastModifiedBy>
  <cp:revision>2</cp:revision>
  <dcterms:created xsi:type="dcterms:W3CDTF">2019-04-03T13:34:00Z</dcterms:created>
  <dcterms:modified xsi:type="dcterms:W3CDTF">2019-04-03T13:34:00Z</dcterms:modified>
</cp:coreProperties>
</file>