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A0E" w:rsidRPr="00BB381B" w:rsidRDefault="00F62A0E" w:rsidP="00F62A0E">
      <w:pPr>
        <w:pStyle w:val="Akti"/>
        <w:keepNext w:val="0"/>
      </w:pPr>
      <w:bookmarkStart w:id="0" w:name="_GoBack"/>
      <w:bookmarkEnd w:id="0"/>
      <w:r w:rsidRPr="00BB381B">
        <w:t>Vendim</w:t>
      </w:r>
    </w:p>
    <w:p w:rsidR="00F62A0E" w:rsidRPr="00BB381B" w:rsidRDefault="00F62A0E" w:rsidP="00F62A0E">
      <w:pPr>
        <w:pStyle w:val="NumriData"/>
        <w:keepNext w:val="0"/>
      </w:pPr>
      <w:r w:rsidRPr="00BB381B">
        <w:t>Nr.12, datë 28.1.2008</w:t>
      </w:r>
    </w:p>
    <w:p w:rsidR="00F62A0E" w:rsidRPr="00BB381B" w:rsidRDefault="00F62A0E" w:rsidP="00F62A0E">
      <w:pPr>
        <w:pStyle w:val="Paragrafi"/>
      </w:pPr>
    </w:p>
    <w:p w:rsidR="00F62A0E" w:rsidRPr="00BB381B" w:rsidRDefault="00F62A0E" w:rsidP="00F62A0E">
      <w:pPr>
        <w:pStyle w:val="Titulli"/>
        <w:keepNext w:val="0"/>
      </w:pPr>
      <w:r w:rsidRPr="00BB381B">
        <w:t>Për miratimin e kohëzgjatjes për faturimin aforfe për abonentët familjarë pa matës të energjisë elektrike</w:t>
      </w:r>
    </w:p>
    <w:p w:rsidR="00F62A0E" w:rsidRPr="00BB381B" w:rsidRDefault="00F62A0E" w:rsidP="00F62A0E">
      <w:pPr>
        <w:pStyle w:val="Paragrafi"/>
      </w:pPr>
    </w:p>
    <w:p w:rsidR="00F62A0E" w:rsidRPr="00BB381B" w:rsidRDefault="00F62A0E" w:rsidP="00F62A0E">
      <w:pPr>
        <w:pStyle w:val="Paragrafi"/>
      </w:pPr>
      <w:r w:rsidRPr="00BB381B">
        <w:t>Në mbështetje të</w:t>
      </w:r>
      <w:r>
        <w:t xml:space="preserve"> nenit 9, nenit 51 dhe nenit 52</w:t>
      </w:r>
      <w:r w:rsidRPr="00BB381B">
        <w:t xml:space="preserve"> të ligjit nr.9072, datë 22.5.2003 “</w:t>
      </w:r>
      <w:r>
        <w:t>Për sektorin</w:t>
      </w:r>
      <w:r w:rsidRPr="00345908">
        <w:rPr>
          <w:sz w:val="12"/>
        </w:rPr>
        <w:t xml:space="preserve"> </w:t>
      </w:r>
      <w:r>
        <w:t>e</w:t>
      </w:r>
      <w:r w:rsidRPr="00345908">
        <w:rPr>
          <w:sz w:val="18"/>
        </w:rPr>
        <w:t xml:space="preserve"> </w:t>
      </w:r>
      <w:r>
        <w:t>energjisë</w:t>
      </w:r>
      <w:r w:rsidRPr="00345908">
        <w:rPr>
          <w:sz w:val="12"/>
        </w:rPr>
        <w:t xml:space="preserve"> </w:t>
      </w:r>
      <w:r>
        <w:t>elektri</w:t>
      </w:r>
      <w:r w:rsidRPr="00BB381B">
        <w:t>ke”, të</w:t>
      </w:r>
      <w:r w:rsidRPr="00345908">
        <w:rPr>
          <w:sz w:val="12"/>
        </w:rPr>
        <w:t xml:space="preserve"> </w:t>
      </w:r>
      <w:r w:rsidRPr="00BB381B">
        <w:t>ndryshuar,</w:t>
      </w:r>
      <w:r w:rsidRPr="00345908">
        <w:rPr>
          <w:sz w:val="12"/>
        </w:rPr>
        <w:t xml:space="preserve"> </w:t>
      </w:r>
      <w:r w:rsidRPr="00BB381B">
        <w:t>dhe “Rregullave</w:t>
      </w:r>
      <w:r w:rsidRPr="00345908">
        <w:rPr>
          <w:sz w:val="14"/>
        </w:rPr>
        <w:t xml:space="preserve"> </w:t>
      </w:r>
      <w:r w:rsidRPr="00BB381B">
        <w:t>të praktikës</w:t>
      </w:r>
      <w:r w:rsidRPr="00345908">
        <w:rPr>
          <w:sz w:val="16"/>
          <w:szCs w:val="16"/>
        </w:rPr>
        <w:t xml:space="preserve"> </w:t>
      </w:r>
      <w:r w:rsidRPr="00BB381B">
        <w:t>dhe</w:t>
      </w:r>
      <w:r w:rsidRPr="00345908">
        <w:rPr>
          <w:sz w:val="12"/>
        </w:rPr>
        <w:t xml:space="preserve"> </w:t>
      </w:r>
      <w:r w:rsidRPr="00BB381B">
        <w:t>procedurave të</w:t>
      </w:r>
      <w:r w:rsidRPr="00345908">
        <w:rPr>
          <w:sz w:val="14"/>
        </w:rPr>
        <w:t xml:space="preserve"> </w:t>
      </w:r>
      <w:r w:rsidRPr="00BB381B">
        <w:t>ERE-s”, të miratuar me vendimin e Bordit të Komisionerëve nr.44, datë 24.7.2007, Bordi i Komisionerëve të ERE-s, në mbledhjen e tij të datës 28.1.2008, pasi shqyrtoi kërkesën e shoqërisë OSSH sh.a. për kohëzgjatjen e faturimit aforfe të energjisë elektrike në abonentët familjarë pa aparat matjeje të energjisë elektrike,</w:t>
      </w:r>
    </w:p>
    <w:p w:rsidR="00F62A0E" w:rsidRPr="00BB381B" w:rsidRDefault="00F62A0E" w:rsidP="00F62A0E">
      <w:pPr>
        <w:pStyle w:val="Paragrafi"/>
      </w:pPr>
    </w:p>
    <w:p w:rsidR="00F62A0E" w:rsidRPr="00BB381B" w:rsidRDefault="00F62A0E" w:rsidP="00F62A0E">
      <w:pPr>
        <w:pStyle w:val="VENDOSI"/>
        <w:keepNext w:val="0"/>
      </w:pPr>
      <w:r w:rsidRPr="00BB381B">
        <w:t>Vendosi:</w:t>
      </w:r>
    </w:p>
    <w:p w:rsidR="00F62A0E" w:rsidRPr="00BB381B" w:rsidRDefault="00F62A0E" w:rsidP="00F62A0E">
      <w:pPr>
        <w:pStyle w:val="Paragrafi"/>
      </w:pPr>
    </w:p>
    <w:p w:rsidR="00F62A0E" w:rsidRPr="00BB381B" w:rsidRDefault="00F62A0E" w:rsidP="00F62A0E">
      <w:pPr>
        <w:pStyle w:val="Paragrafi"/>
      </w:pPr>
      <w:r w:rsidRPr="00BB381B">
        <w:t>1. Kohëzgjatja për faturim aforfe për abonentët familjarë të energjisë elektrike pa matës të jetë deri në 31.12.2008.</w:t>
      </w:r>
    </w:p>
    <w:p w:rsidR="00F62A0E" w:rsidRPr="00BB381B" w:rsidRDefault="00F62A0E" w:rsidP="00F62A0E">
      <w:pPr>
        <w:pStyle w:val="Paragrafi"/>
      </w:pPr>
      <w:r w:rsidRPr="00BB381B">
        <w:t>2. Sasia e enegjisë elektrike e faturimit aforfe për klientët familjarë pa matës të energjisë elektrike (ndarë sipas rretheve) deri më 31.12.2008, do të jetë sipas tabelës bashkëngjitur këtij vendimi.</w:t>
      </w:r>
    </w:p>
    <w:p w:rsidR="00F62A0E" w:rsidRPr="00BB381B" w:rsidRDefault="00F62A0E" w:rsidP="00F62A0E">
      <w:pPr>
        <w:pStyle w:val="Paragrafi"/>
      </w:pPr>
      <w:r w:rsidRPr="00BB381B">
        <w:t>3. Ngarkohet OSSH sh.a. për zbatimin e këtij vendimi.</w:t>
      </w:r>
    </w:p>
    <w:p w:rsidR="00F62A0E" w:rsidRPr="00BB381B" w:rsidRDefault="00F62A0E" w:rsidP="00F62A0E">
      <w:pPr>
        <w:pStyle w:val="Paragrafi"/>
      </w:pPr>
      <w:r w:rsidRPr="00BB381B">
        <w:t>4. Ky vendim hyn në fuqi menjëherë.</w:t>
      </w:r>
    </w:p>
    <w:p w:rsidR="00F62A0E" w:rsidRPr="00BB381B" w:rsidRDefault="00F62A0E" w:rsidP="00F62A0E">
      <w:pPr>
        <w:pStyle w:val="Paragrafi"/>
      </w:pPr>
      <w:r w:rsidRPr="00BB381B">
        <w:t>5. Ky vend</w:t>
      </w:r>
      <w:r>
        <w:t>i</w:t>
      </w:r>
      <w:r w:rsidRPr="00BB381B">
        <w:t>m botohet në Fletoren Zyrtare.</w:t>
      </w:r>
    </w:p>
    <w:p w:rsidR="00F62A0E" w:rsidRPr="00BB381B" w:rsidRDefault="00F62A0E" w:rsidP="00F62A0E">
      <w:pPr>
        <w:pStyle w:val="Paragrafi"/>
      </w:pPr>
    </w:p>
    <w:p w:rsidR="00F62A0E" w:rsidRPr="00BB381B" w:rsidRDefault="00F62A0E" w:rsidP="00F62A0E">
      <w:pPr>
        <w:pStyle w:val="Autoriteti"/>
        <w:keepNext w:val="0"/>
      </w:pPr>
      <w:r w:rsidRPr="00BB381B">
        <w:t>Kryetari i ERE-s</w:t>
      </w:r>
    </w:p>
    <w:p w:rsidR="00F62A0E" w:rsidRDefault="00F62A0E" w:rsidP="00F62A0E">
      <w:pPr>
        <w:pStyle w:val="AutoritetiEmer"/>
      </w:pPr>
      <w:r w:rsidRPr="00BB381B">
        <w:t>Bujar Nepravishta</w:t>
      </w:r>
    </w:p>
    <w:p w:rsidR="00F62A0E" w:rsidRDefault="00F62A0E" w:rsidP="00F62A0E">
      <w:pPr>
        <w:pStyle w:val="Paragrafi"/>
      </w:pPr>
    </w:p>
    <w:p w:rsidR="00F62A0E" w:rsidRDefault="00F62A0E" w:rsidP="00F62A0E">
      <w:pPr>
        <w:pStyle w:val="Paragrafi"/>
      </w:pPr>
    </w:p>
    <w:p w:rsidR="00F62A0E" w:rsidRPr="00F62A0E" w:rsidRDefault="00F62A0E" w:rsidP="00DB26BD">
      <w:pPr>
        <w:pStyle w:val="TitulliTitull"/>
      </w:pPr>
      <w:r w:rsidRPr="00F62A0E">
        <w:t xml:space="preserve">SASIA E ENERGJISË SË FATURUAR AFORFE PËR PERIUDHËN </w:t>
      </w:r>
      <w:r w:rsidRPr="00F62A0E">
        <w:tab/>
      </w:r>
    </w:p>
    <w:p w:rsidR="00F62A0E" w:rsidRPr="003357D3" w:rsidRDefault="00F62A0E" w:rsidP="00DB26BD">
      <w:pPr>
        <w:pStyle w:val="TitulliTitull"/>
      </w:pPr>
      <w:r w:rsidRPr="001068AD">
        <w:t>1 JANAR DERI 31 DHJETOR 2008</w:t>
      </w:r>
    </w:p>
    <w:tbl>
      <w:tblPr>
        <w:tblStyle w:val="TableGrid"/>
        <w:tblpPr w:leftFromText="180" w:rightFromText="180" w:horzAnchor="margin" w:tblpY="540"/>
        <w:tblW w:w="9160" w:type="dxa"/>
        <w:tblLayout w:type="fixed"/>
        <w:tblLook w:val="01E0" w:firstRow="1" w:lastRow="1" w:firstColumn="1" w:lastColumn="1" w:noHBand="0" w:noVBand="0"/>
      </w:tblPr>
      <w:tblGrid>
        <w:gridCol w:w="643"/>
        <w:gridCol w:w="1389"/>
        <w:gridCol w:w="900"/>
        <w:gridCol w:w="1496"/>
        <w:gridCol w:w="358"/>
        <w:gridCol w:w="542"/>
        <w:gridCol w:w="1370"/>
        <w:gridCol w:w="1068"/>
        <w:gridCol w:w="1394"/>
      </w:tblGrid>
      <w:tr w:rsidR="00F62A0E" w:rsidRPr="001068AD"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23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 w:rsidRPr="001068AD">
              <w:t>Niveli i aforfes</w:t>
            </w:r>
            <w:r>
              <w:t xml:space="preserve">ë në verë në </w:t>
            </w:r>
            <w:r w:rsidRPr="001068AD">
              <w:t>kw/or</w:t>
            </w:r>
            <w:r>
              <w:t>ë</w:t>
            </w:r>
            <w:r w:rsidRPr="001068AD">
              <w:t>/muaj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24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A0E" w:rsidRPr="00DB26BD" w:rsidRDefault="00F62A0E" w:rsidP="00DB26BD">
            <w:pPr>
              <w:pStyle w:val="Tabele"/>
            </w:pPr>
            <w:r w:rsidRPr="00DB26BD">
              <w:t>Niveli i aforfesë në dimër në kw/orë/muaj</w:t>
            </w:r>
          </w:p>
        </w:tc>
      </w:tr>
      <w:tr w:rsidR="00F62A0E" w:rsidRPr="001068AD">
        <w:trPr>
          <w:trHeight w:val="170"/>
        </w:trPr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23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24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</w:tr>
      <w:tr w:rsidR="00F62A0E" w:rsidRPr="001068AD">
        <w:tc>
          <w:tcPr>
            <w:tcW w:w="643" w:type="dxa"/>
            <w:tcBorders>
              <w:top w:val="single" w:sz="4" w:space="0" w:color="auto"/>
            </w:tcBorders>
          </w:tcPr>
          <w:p w:rsidR="00F62A0E" w:rsidRDefault="00F62A0E" w:rsidP="00DB26BD">
            <w:pPr>
              <w:pStyle w:val="Tabele"/>
            </w:pPr>
            <w:r>
              <w:t>Nr.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Emërtimi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Qytet</w:t>
            </w:r>
          </w:p>
        </w:tc>
        <w:tc>
          <w:tcPr>
            <w:tcW w:w="1496" w:type="dxa"/>
            <w:tcBorders>
              <w:top w:val="single" w:sz="4" w:space="0" w:color="auto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Fshat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Nr.</w:t>
            </w:r>
          </w:p>
        </w:tc>
        <w:tc>
          <w:tcPr>
            <w:tcW w:w="1370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Emërtimi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Qytet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Fshat</w:t>
            </w:r>
          </w:p>
        </w:tc>
      </w:tr>
      <w:tr w:rsidR="00F62A0E" w:rsidRPr="001068AD">
        <w:tc>
          <w:tcPr>
            <w:tcW w:w="643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 xml:space="preserve">1. 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Tiranë qytet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  <w:tc>
          <w:tcPr>
            <w:tcW w:w="1496" w:type="dxa"/>
            <w:tcBorders>
              <w:top w:val="single" w:sz="4" w:space="0" w:color="auto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top w:val="nil"/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1.</w:t>
            </w:r>
          </w:p>
        </w:tc>
        <w:tc>
          <w:tcPr>
            <w:tcW w:w="1370" w:type="dxa"/>
            <w:tcBorders>
              <w:top w:val="nil"/>
            </w:tcBorders>
          </w:tcPr>
          <w:p w:rsidR="00F62A0E" w:rsidRPr="001068AD" w:rsidRDefault="00F62A0E" w:rsidP="00DB26BD">
            <w:pPr>
              <w:pStyle w:val="Tabele"/>
            </w:pPr>
            <w:r>
              <w:t>Tiranë qytet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600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Tiranë fshat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290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Tiranë fshat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 xml:space="preserve">Durrës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290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 xml:space="preserve">Durrës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500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4.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Kavajë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230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4.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Kavajë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5.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 xml:space="preserve">Krujë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290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5.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 xml:space="preserve">Krujë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350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6.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Shijak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290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6.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Shijak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7.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 xml:space="preserve">Fier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340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7.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 xml:space="preserve">Fier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500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350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8.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Patos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8.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Patos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9.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 xml:space="preserve">Ballsh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9.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 xml:space="preserve">Ballsh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10.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Vlorë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350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10.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Vlorë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500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11.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 xml:space="preserve">Bilisht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11.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 xml:space="preserve">Bilisht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12.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 xml:space="preserve">Kolonjë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12.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 xml:space="preserve">Kolonjë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13.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Korçë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340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13.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Korçë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500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14.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Pogradec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14.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Pogradec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15.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Gramsh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15.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Gramsh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16.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Librazhd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16.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Librazhd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17.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Peqin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17.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Peqin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18.</w:t>
            </w:r>
          </w:p>
        </w:tc>
        <w:tc>
          <w:tcPr>
            <w:tcW w:w="1389" w:type="dxa"/>
          </w:tcPr>
          <w:p w:rsidR="00F62A0E" w:rsidRPr="001068AD" w:rsidRDefault="00F62A0E" w:rsidP="00DB26BD">
            <w:pPr>
              <w:pStyle w:val="Tabele"/>
            </w:pPr>
            <w:r>
              <w:t>Elbasan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18.</w:t>
            </w:r>
          </w:p>
        </w:tc>
        <w:tc>
          <w:tcPr>
            <w:tcW w:w="1370" w:type="dxa"/>
          </w:tcPr>
          <w:p w:rsidR="00F62A0E" w:rsidRPr="001068AD" w:rsidRDefault="00F62A0E" w:rsidP="00DB26BD">
            <w:pPr>
              <w:pStyle w:val="Tabele"/>
            </w:pPr>
            <w:r>
              <w:t>Elbasan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19.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Berat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19.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Berat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500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350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20.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 xml:space="preserve">Kuçovë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20.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 xml:space="preserve">Kuçovë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21.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Lushnjë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290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21.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Lushnjë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350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22.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Skrapar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Skrapar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23.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Has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290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23.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Has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24.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Kukës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24.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Kukës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25.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Lezhë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280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25.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Lezhë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350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26.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Koplik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390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280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26.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Koplik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27.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Pukë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27.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Pukë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28.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Tropojë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28.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Tropojë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29.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 xml:space="preserve">Shkodër 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400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250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29.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 xml:space="preserve">Shkodër 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500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30.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Bulqizë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30.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Bulqizë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250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31.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Dibër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31.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Dibër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250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32.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Laç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290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250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32.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Laç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450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33.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Mat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33.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Mat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34.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Mirditë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34.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Mirditë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35.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Gjirokastër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220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35.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Gjirokastër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300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36.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Përmet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36.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Përmet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37.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Sarandë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37.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Sarandë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38.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Tepelenë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38.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Tepelenë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  <w:tr w:rsidR="00F62A0E" w:rsidRPr="001068AD">
        <w:tc>
          <w:tcPr>
            <w:tcW w:w="643" w:type="dxa"/>
          </w:tcPr>
          <w:p w:rsidR="00F62A0E" w:rsidRPr="001068AD" w:rsidRDefault="00F62A0E" w:rsidP="00DB26BD">
            <w:pPr>
              <w:pStyle w:val="Tabele"/>
            </w:pPr>
            <w:r>
              <w:t>39.</w:t>
            </w:r>
          </w:p>
        </w:tc>
        <w:tc>
          <w:tcPr>
            <w:tcW w:w="1389" w:type="dxa"/>
          </w:tcPr>
          <w:p w:rsidR="00F62A0E" w:rsidRDefault="00F62A0E" w:rsidP="00DB26BD">
            <w:pPr>
              <w:pStyle w:val="Tabele"/>
            </w:pPr>
            <w:r>
              <w:t>Delvinë</w:t>
            </w:r>
          </w:p>
        </w:tc>
        <w:tc>
          <w:tcPr>
            <w:tcW w:w="900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496" w:type="dxa"/>
            <w:tcBorders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F62A0E" w:rsidRPr="001068AD" w:rsidRDefault="00F62A0E" w:rsidP="00DB26BD">
            <w:pPr>
              <w:pStyle w:val="Tabele"/>
            </w:pPr>
            <w:r>
              <w:t>39.</w:t>
            </w:r>
          </w:p>
        </w:tc>
        <w:tc>
          <w:tcPr>
            <w:tcW w:w="1370" w:type="dxa"/>
          </w:tcPr>
          <w:p w:rsidR="00F62A0E" w:rsidRDefault="00F62A0E" w:rsidP="00DB26BD">
            <w:pPr>
              <w:pStyle w:val="Tabele"/>
            </w:pPr>
            <w:r>
              <w:t>Delvinë</w:t>
            </w:r>
          </w:p>
        </w:tc>
        <w:tc>
          <w:tcPr>
            <w:tcW w:w="1068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  <w:tc>
          <w:tcPr>
            <w:tcW w:w="1394" w:type="dxa"/>
          </w:tcPr>
          <w:p w:rsidR="00F62A0E" w:rsidRPr="001068AD" w:rsidRDefault="00F62A0E" w:rsidP="00DB26BD">
            <w:pPr>
              <w:pStyle w:val="Tabele"/>
            </w:pPr>
            <w:r>
              <w:t>0</w:t>
            </w:r>
          </w:p>
        </w:tc>
      </w:tr>
    </w:tbl>
    <w:p w:rsidR="00F62A0E" w:rsidRDefault="00F62A0E" w:rsidP="00DB26BD">
      <w:pPr>
        <w:pStyle w:val="Tabele"/>
      </w:pPr>
    </w:p>
    <w:p w:rsidR="00DB26BD" w:rsidRDefault="00DB26BD" w:rsidP="00DB26BD">
      <w:pPr>
        <w:pStyle w:val="Tabele"/>
      </w:pPr>
    </w:p>
    <w:p w:rsidR="00DB26BD" w:rsidRDefault="00DB26BD" w:rsidP="00DB26BD">
      <w:pPr>
        <w:pStyle w:val="Tabele"/>
      </w:pPr>
    </w:p>
    <w:p w:rsidR="00DB26BD" w:rsidRPr="00BB381B" w:rsidRDefault="00DB26BD" w:rsidP="00DB26BD">
      <w:pPr>
        <w:pStyle w:val="Tabele"/>
      </w:pPr>
    </w:p>
    <w:p w:rsidR="00F62A0E" w:rsidRDefault="00F62A0E" w:rsidP="00DB26BD">
      <w:pPr>
        <w:pStyle w:val="Paragrafi"/>
      </w:pPr>
      <w:r>
        <w:t xml:space="preserve">Shënim: </w:t>
      </w:r>
      <w:r>
        <w:tab/>
        <w:t>Periudha e verës: 1 prill-30 shtator.</w:t>
      </w:r>
    </w:p>
    <w:p w:rsidR="00F62A0E" w:rsidRDefault="00F62A0E" w:rsidP="00DB26BD">
      <w:pPr>
        <w:pStyle w:val="Paragrafi"/>
      </w:pPr>
      <w:r>
        <w:tab/>
      </w:r>
      <w:r>
        <w:tab/>
        <w:t>Periudha e dimrit: 1 janar-31 mars dhe 1 tetor-31 dhjetor</w:t>
      </w:r>
    </w:p>
    <w:sectPr w:rsidR="00F62A0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2A0E"/>
    <w:rsid w:val="000178C2"/>
    <w:rsid w:val="000A780A"/>
    <w:rsid w:val="00211EE2"/>
    <w:rsid w:val="003218C2"/>
    <w:rsid w:val="003B3DD8"/>
    <w:rsid w:val="003C71FF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DB26BD"/>
    <w:rsid w:val="00F6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78B687-8214-4963-867D-D6EACBF8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A0E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ParagrafiChar">
    <w:name w:val="Paragrafi Char"/>
    <w:basedOn w:val="DefaultParagraphFont"/>
    <w:link w:val="Paragrafi"/>
    <w:rsid w:val="00F62A0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62A0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62A0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62A0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