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7F9" w:rsidRPr="00C162FF" w:rsidRDefault="00B607F9" w:rsidP="00B607F9">
      <w:pPr>
        <w:pStyle w:val="Akti"/>
      </w:pPr>
      <w:bookmarkStart w:id="0" w:name="_GoBack"/>
      <w:bookmarkEnd w:id="0"/>
      <w:r w:rsidRPr="00C162FF">
        <w:t>VENDIM</w:t>
      </w:r>
    </w:p>
    <w:p w:rsidR="00B607F9" w:rsidRPr="00C162FF" w:rsidRDefault="00B607F9" w:rsidP="00B607F9">
      <w:pPr>
        <w:pStyle w:val="NumriData"/>
        <w:rPr>
          <w:szCs w:val="22"/>
        </w:rPr>
      </w:pPr>
      <w:r w:rsidRPr="00C162FF">
        <w:rPr>
          <w:szCs w:val="22"/>
        </w:rPr>
        <w:t>Nr.55, datë 29.5.2008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</w:p>
    <w:p w:rsidR="00B607F9" w:rsidRPr="00C162FF" w:rsidRDefault="00B607F9" w:rsidP="00B607F9">
      <w:pPr>
        <w:pStyle w:val="Titulli"/>
      </w:pPr>
      <w:r w:rsidRPr="00C162FF">
        <w:t xml:space="preserve">PËR FILLIMIN E PROCEDURAVE PËR LICENCIMIN E SHOQËRISË “ALBANIAN GREEN ENERGY”  SHPK   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</w:p>
    <w:p w:rsidR="00B607F9" w:rsidRPr="00C162FF" w:rsidRDefault="00B607F9" w:rsidP="00B607F9">
      <w:pPr>
        <w:pStyle w:val="BazLigjPropozues"/>
        <w:rPr>
          <w:lang w:val="sq-AL"/>
        </w:rPr>
      </w:pPr>
      <w:r w:rsidRPr="00C162FF">
        <w:rPr>
          <w:lang w:val="sq-AL"/>
        </w:rPr>
        <w:t>Në mbështetje të neneve 9 dhe 13 pikat 1, germa “a”, dhe  8 të ligjit nr.9072, datë 22.5.2003 “Për sektorin e energjisë elektrike”, të ndryshuar, nenit 10 të “Rregullores për procedurat e licencimit”, të miratuar me vendimin e Bordit të Komisionerëve nr.21, datë 4.4.2007, dhe nenit 18 pika 3 të “Rregullave të praktikës dhe procedurave të ERE-s”, miratuar me vendimin nr.44, datë 24.7.2007, Bordi i Komisionerëve të Entit Rregullator të Sektorit të Energjisë Elektrike (ERE), në mbledhjen e tij të datës 29.5.2008, mbasi shqyrtoi aplikimin e paraqitur nga shoqëria “Albanian Green Energy”, për t’u licencuar në aktivitetin e ndërtimit, instalimit dhe shfrytëzimit të centraleve elektrike, si dhe prodhimin e energjisë elektrike, (Bllok motorë-gjeneratorë të ushqyer me biomasë të lëngshme, Shëngjin, Lezhë),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dhe konstatoi: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 xml:space="preserve">paraqitjen, konform përcaktimeve të rregullores së procedurave të licencimit, të dokumentacionit dhe deklaratave të kërkuara nga ERE kur dokumentacioni mungon,   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</w:p>
    <w:p w:rsidR="00B607F9" w:rsidRPr="00C162FF" w:rsidRDefault="00B607F9" w:rsidP="00B607F9">
      <w:pPr>
        <w:pStyle w:val="VENDOSI"/>
        <w:rPr>
          <w:lang w:val="sq-AL"/>
        </w:rPr>
      </w:pPr>
      <w:r w:rsidRPr="00C162FF">
        <w:rPr>
          <w:lang w:val="sq-AL"/>
        </w:rPr>
        <w:t>VENDOSI: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</w:p>
    <w:p w:rsidR="00B607F9" w:rsidRPr="00C162FF" w:rsidRDefault="00B607F9" w:rsidP="00B607F9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1. Të  fillojë procedurat për licencimin e shoqërisë “Albanian Green Energy” sh.p.k. në aktivitetin e ndërtimit, instalimit dhe shfrytëzimit të centraleve elektrike, si dhe prodhimin e energjisë elektrike. (Bllok motorë-gjeneratorë të ushqyer me biomasë të lëngshme, Shëngjin, Lezhë).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 xml:space="preserve">2. Ngarkohet Drejtoria e Licencimit dhe Monitorimit të Tregut të njoftojë aplikuesin për vendimin e Bordit të Komsionerëve të ERE-s. 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Ky vendim hyn në fuqi menjëherë.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Ky vendim botohet në Fletoren Zyrtare.</w:t>
      </w:r>
    </w:p>
    <w:p w:rsidR="00B607F9" w:rsidRPr="00C162FF" w:rsidRDefault="00B607F9" w:rsidP="00B607F9">
      <w:pPr>
        <w:pStyle w:val="Paragrafi"/>
        <w:rPr>
          <w:szCs w:val="22"/>
          <w:lang w:val="sq-AL"/>
        </w:rPr>
      </w:pPr>
    </w:p>
    <w:p w:rsidR="00B607F9" w:rsidRPr="00C162FF" w:rsidRDefault="00B607F9" w:rsidP="00B607F9">
      <w:pPr>
        <w:pStyle w:val="Autoriteti"/>
      </w:pPr>
      <w:r w:rsidRPr="00C162FF">
        <w:t>KRYETARI i ERE-S</w:t>
      </w:r>
    </w:p>
    <w:p w:rsidR="00B607F9" w:rsidRPr="00C162FF" w:rsidRDefault="00B607F9" w:rsidP="00B607F9">
      <w:pPr>
        <w:pStyle w:val="AutoritetiEmer"/>
      </w:pPr>
      <w:r w:rsidRPr="00C162FF">
        <w:t>Bujar Nepravishta</w:t>
      </w:r>
    </w:p>
    <w:sectPr w:rsidR="00B607F9" w:rsidRPr="00C162FF" w:rsidSect="00B607F9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60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17CF5">
      <w:r>
        <w:separator/>
      </w:r>
    </w:p>
  </w:endnote>
  <w:endnote w:type="continuationSeparator" w:id="0">
    <w:p w:rsidR="00000000" w:rsidRDefault="0031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7F9" w:rsidRDefault="00B607F9" w:rsidP="00B607F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607F9" w:rsidRDefault="00B607F9" w:rsidP="00B607F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7F9" w:rsidRPr="00577F01" w:rsidRDefault="00B607F9" w:rsidP="00B607F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77F01">
      <w:rPr>
        <w:rStyle w:val="PageNumber"/>
        <w:rFonts w:ascii="CG Times" w:hAnsi="CG Times"/>
        <w:sz w:val="22"/>
        <w:szCs w:val="22"/>
      </w:rPr>
      <w:fldChar w:fldCharType="begin"/>
    </w:r>
    <w:r w:rsidRPr="00577F01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77F01">
      <w:rPr>
        <w:rStyle w:val="PageNumber"/>
        <w:rFonts w:ascii="CG Times" w:hAnsi="CG Times"/>
        <w:sz w:val="22"/>
        <w:szCs w:val="22"/>
      </w:rPr>
      <w:fldChar w:fldCharType="separate"/>
    </w:r>
    <w:r w:rsidR="00317CF5">
      <w:rPr>
        <w:rStyle w:val="PageNumber"/>
        <w:rFonts w:ascii="CG Times" w:hAnsi="CG Times"/>
        <w:noProof/>
        <w:sz w:val="22"/>
        <w:szCs w:val="22"/>
      </w:rPr>
      <w:t>3607</w:t>
    </w:r>
    <w:r w:rsidRPr="00577F01">
      <w:rPr>
        <w:rStyle w:val="PageNumber"/>
        <w:rFonts w:ascii="CG Times" w:hAnsi="CG Times"/>
        <w:sz w:val="22"/>
        <w:szCs w:val="22"/>
      </w:rPr>
      <w:fldChar w:fldCharType="end"/>
    </w:r>
  </w:p>
  <w:p w:rsidR="00B607F9" w:rsidRDefault="00B607F9" w:rsidP="00B607F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17CF5">
      <w:r>
        <w:separator/>
      </w:r>
    </w:p>
  </w:footnote>
  <w:footnote w:type="continuationSeparator" w:id="0">
    <w:p w:rsidR="00000000" w:rsidRDefault="00317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07F9"/>
    <w:rsid w:val="00155FB1"/>
    <w:rsid w:val="00317CF5"/>
    <w:rsid w:val="00B607F9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FD648D-40B6-4B72-97C7-60565082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7F9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B607F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07F9"/>
    <w:rPr>
      <w:rFonts w:ascii="Tahoma" w:eastAsia="MS Mincho" w:hAnsi="Tahoma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607F9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