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B03" w:rsidRDefault="00202B03" w:rsidP="00202B03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Vendim</w:t>
      </w:r>
    </w:p>
    <w:p w:rsidR="00202B03" w:rsidRDefault="00202B03" w:rsidP="00202B03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Nr.137, datë 18.12.2008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</w:p>
    <w:p w:rsidR="00202B03" w:rsidRDefault="00202B03" w:rsidP="00202B03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Për dhënien e statusit të klientit të kualifikuar shoqërisë “Antea Cement” sha për objektin fabrika e Çimentos pranë burizanës Krujë</w:t>
      </w:r>
    </w:p>
    <w:p w:rsidR="00202B03" w:rsidRPr="001F0FC7" w:rsidRDefault="00202B03" w:rsidP="00202B03">
      <w:pPr>
        <w:pStyle w:val="Paragrafi"/>
        <w:rPr>
          <w:rFonts w:eastAsia="MS Mincho"/>
          <w:sz w:val="14"/>
          <w:lang w:val="en-GB" w:eastAsia="en-GB"/>
        </w:rPr>
      </w:pP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Në mbështetje të neneve 9 dhe 48 të ligjit nr.9072, datë 22.5.2003 “Për sektorin e energjisë elektrike”, të ndryshuar dhe nenit 5, pika 3 të “Rregullores për kriteret e dhënies dhe heqjes së statusit të klientit të kualifikuar”, miratuar me vendimin e Bordit të Komisionerëve të ERE-s nr.99, datë 27.12.2006, Bordi i Komisionerëve të Entit Rregullator të Energjisë (ERE), në mbledhjen e tij të datës 18.12.2008, pasi shqyrtoi aplikimin e paraqitur nga shoqëria “Antea Cement” sh.a., për marrjen e statusit të klientit të kualifikuar për objektin fabrika e çimentos pranë Burizanës, Krujë,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konstatoi se: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Me vendimin nr.131, datë 2.12.2008, Bordi i Komisionerëve miratoi fillimin e procedurave për dhënien e statusit të klientit të kualifikuar shoqërisë “Antea Cement” sh.a.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Aplikimi plotëson kërkesat e rregullores  për kriteret e dhënies dhe heqjes së statusit të klientit të kualifikuar dhe vendimit nr.77, datë 14.12.2007 të Bordit të Komisionerëve “Për miratimin e nivelit të konsumit vjetor për përfitimin e statusit të klientit të kualifikuar”,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për gjithë sa më sipër cituar, Bordi i Komisionerëve të ERE-s</w:t>
      </w:r>
    </w:p>
    <w:p w:rsidR="00202B03" w:rsidRPr="001F0FC7" w:rsidRDefault="00202B03" w:rsidP="00202B03">
      <w:pPr>
        <w:pStyle w:val="Paragrafi"/>
        <w:rPr>
          <w:rFonts w:eastAsia="MS Mincho"/>
          <w:sz w:val="16"/>
          <w:lang w:val="en-GB" w:eastAsia="en-GB"/>
        </w:rPr>
      </w:pPr>
    </w:p>
    <w:p w:rsidR="00202B03" w:rsidRDefault="00202B03" w:rsidP="00202B03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202B03" w:rsidRPr="001F0FC7" w:rsidRDefault="00202B03" w:rsidP="00202B03">
      <w:pPr>
        <w:pStyle w:val="Paragrafi"/>
        <w:rPr>
          <w:rFonts w:eastAsia="MS Mincho"/>
          <w:sz w:val="14"/>
          <w:lang w:val="en-GB" w:eastAsia="en-GB"/>
        </w:rPr>
      </w:pP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1. Dhënien e statusit të klientit të kualifikuar shoqërisë “Antea Cement” sh.a., për objektin fabrika e çimentos pranë Burizanës, Krujë.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2. Shoqëria “Antea Cement” sh.a., të njoftojë 90 ditë para bërjes efektive të statusit të klientit të kualifikuar ERE, OST sh.a. dhe KESH sh.a./furnizuesin publik me shumicë.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3. Drejtoria e Licencimit dhe Monitorimit të Tregut ta njoftojë aplikuesin për vendimin e Bordit të Komisionerëve të ERE-s.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hyn në fuqi menjëherë.</w:t>
      </w: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  <w:r>
        <w:rPr>
          <w:rFonts w:eastAsia="MS Mincho"/>
          <w:lang w:val="en-GB" w:eastAsia="en-GB"/>
        </w:rPr>
        <w:t>Ky vendim botohet në Fletoren Zyrtare.</w:t>
      </w:r>
    </w:p>
    <w:p w:rsidR="00202B03" w:rsidRPr="001F0FC7" w:rsidRDefault="00202B03" w:rsidP="00202B03">
      <w:pPr>
        <w:pStyle w:val="Paragrafi"/>
        <w:rPr>
          <w:rFonts w:eastAsia="MS Mincho"/>
          <w:sz w:val="14"/>
          <w:lang w:val="en-GB" w:eastAsia="en-GB"/>
        </w:rPr>
      </w:pPr>
    </w:p>
    <w:p w:rsidR="00202B03" w:rsidRDefault="00202B03" w:rsidP="00202B03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Kryetari i ERE-s</w:t>
      </w:r>
    </w:p>
    <w:p w:rsidR="00202B03" w:rsidRDefault="00202B03" w:rsidP="00202B03">
      <w:pPr>
        <w:pStyle w:val="AutoritetiEmer"/>
        <w:rPr>
          <w:rFonts w:eastAsia="MS Mincho"/>
          <w:lang w:eastAsia="en-GB"/>
        </w:rPr>
      </w:pPr>
      <w:r>
        <w:rPr>
          <w:rFonts w:eastAsia="MS Mincho"/>
          <w:lang w:eastAsia="en-GB"/>
        </w:rPr>
        <w:t>Bujar Nepravishta</w:t>
      </w:r>
    </w:p>
    <w:p w:rsidR="00202B03" w:rsidRDefault="00202B03" w:rsidP="00202B03">
      <w:pPr>
        <w:pStyle w:val="Paragrafi"/>
        <w:ind w:firstLine="0"/>
        <w:rPr>
          <w:rFonts w:eastAsia="MS Mincho"/>
          <w:lang w:val="en-GB" w:eastAsia="en-GB"/>
        </w:rPr>
      </w:pPr>
    </w:p>
    <w:p w:rsidR="00202B03" w:rsidRDefault="00202B03" w:rsidP="00202B03">
      <w:pPr>
        <w:pStyle w:val="Paragrafi"/>
        <w:rPr>
          <w:rFonts w:eastAsia="MS Mincho"/>
          <w:lang w:val="en-GB" w:eastAsia="en-GB"/>
        </w:rPr>
      </w:pPr>
    </w:p>
    <w:p w:rsidR="00202B03" w:rsidRDefault="00202B03" w:rsidP="00202B03">
      <w:pPr>
        <w:pStyle w:val="Akti"/>
        <w:keepNext w:val="0"/>
        <w:rPr>
          <w:rFonts w:eastAsia="MS Mincho"/>
          <w:lang w:eastAsia="en-GB"/>
        </w:rPr>
      </w:pPr>
    </w:p>
    <w:p w:rsidR="00202B03" w:rsidRDefault="00202B03" w:rsidP="00202B03">
      <w:pPr>
        <w:pStyle w:val="Akti"/>
        <w:keepNext w:val="0"/>
        <w:rPr>
          <w:rFonts w:eastAsia="MS Mincho"/>
          <w:lang w:eastAsia="en-GB"/>
        </w:rPr>
      </w:pPr>
    </w:p>
    <w:p w:rsidR="00202B03" w:rsidRDefault="00202B03" w:rsidP="00202B03">
      <w:pPr>
        <w:pStyle w:val="Akti"/>
        <w:keepNext w:val="0"/>
        <w:rPr>
          <w:rFonts w:eastAsia="MS Mincho"/>
          <w:lang w:eastAsia="en-GB"/>
        </w:rPr>
      </w:pPr>
    </w:p>
    <w:p w:rsidR="00202B03" w:rsidRDefault="00202B03" w:rsidP="00202B03">
      <w:pPr>
        <w:pStyle w:val="Akti"/>
        <w:keepNext w:val="0"/>
        <w:rPr>
          <w:rFonts w:eastAsia="MS Mincho"/>
          <w:lang w:eastAsia="en-GB"/>
        </w:rPr>
      </w:pPr>
    </w:p>
    <w:sectPr w:rsidR="00202B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2B03"/>
    <w:rsid w:val="00202B03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9864BA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E910AB-8103-4326-AD4E-DD992826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202B0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202B0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202B0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202B0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02B0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202B0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202B0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202B03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202B0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02B0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02B0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02B0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