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B4" w:rsidRDefault="00AB35B4" w:rsidP="00AB35B4">
      <w:pPr>
        <w:pStyle w:val="Akti"/>
      </w:pPr>
      <w:bookmarkStart w:id="0" w:name="_GoBack"/>
      <w:bookmarkEnd w:id="0"/>
      <w:r>
        <w:t xml:space="preserve">Vendim </w:t>
      </w:r>
    </w:p>
    <w:p w:rsidR="00AB35B4" w:rsidRDefault="00AB35B4" w:rsidP="00AB35B4">
      <w:pPr>
        <w:pStyle w:val="NumriData"/>
      </w:pPr>
      <w:r>
        <w:t>Nr.57, datë 3.8.2009</w:t>
      </w:r>
    </w:p>
    <w:p w:rsidR="00AB35B4" w:rsidRDefault="00AB35B4" w:rsidP="00AB35B4">
      <w:pPr>
        <w:pStyle w:val="Paragrafi0"/>
      </w:pPr>
    </w:p>
    <w:p w:rsidR="00AB35B4" w:rsidRDefault="00AB35B4" w:rsidP="00AB35B4">
      <w:pPr>
        <w:pStyle w:val="Titulli0"/>
      </w:pPr>
      <w:r>
        <w:t>Për fillimin e procedurave për shqyrtimin e aplikimit të TEC-Vlora Sh.a. për tarifën e shitjes së energjisë elektrike te furnizuesi publik me shumicë (FPSH)</w:t>
      </w:r>
    </w:p>
    <w:p w:rsidR="00AB35B4" w:rsidRDefault="00AB35B4" w:rsidP="00AB35B4">
      <w:pPr>
        <w:pStyle w:val="Paragrafi0"/>
      </w:pPr>
    </w:p>
    <w:p w:rsidR="00AB35B4" w:rsidRDefault="00AB35B4" w:rsidP="00AB35B4">
      <w:pPr>
        <w:pStyle w:val="BazLigjPropozues"/>
      </w:pPr>
      <w:r>
        <w:t>Në mbështetje të neneve 9, 26 dhe 28 të ligjit nr.9072, datë 22.5.2003 “Për sektorin e energjisë elektrike”, të ndryshuar, nenit 18 pika 3 dhe 20 të rregullave të praktikës dhe procedurave të ERE-s, miratuar me vendimin nr.21, datë 18.3.2009 të Bordit të Komisionerëve të ERE-s, vendimit nr.77, datë 26.6.2008 të Bordit të Komisionerëve “Për miratimin e metodologjisë së llogaritjes së tarifës për kompaninë publike të gjenerimit të energjisë elektrike”, Bordi i Komisionerëve të Entit Rregullator të Energjisë (ERE), në mbledhjen e tij të datës 3.8.2009, pasi shqyrtoi relacionin e paraqitur nga Drejtoria e Tarifave dhe Çmimeve për fillimin e procedurave për shqyrtimin e aplikimit të TEC-Vlora sh.a. për tarifën e shitjes së energjisë elektrike te furnizuesi publik me shumicë (FPSH),</w:t>
      </w:r>
    </w:p>
    <w:p w:rsidR="00AB35B4" w:rsidRDefault="00AB35B4" w:rsidP="00AB35B4">
      <w:pPr>
        <w:pStyle w:val="BazLigjPropozues"/>
      </w:pPr>
    </w:p>
    <w:p w:rsidR="00AB35B4" w:rsidRDefault="00AB35B4" w:rsidP="00AB35B4">
      <w:pPr>
        <w:pStyle w:val="VENDOSI0"/>
      </w:pPr>
      <w:r>
        <w:t>Vendosi:</w:t>
      </w:r>
    </w:p>
    <w:p w:rsidR="00AB35B4" w:rsidRDefault="00AB35B4" w:rsidP="00AB35B4">
      <w:pPr>
        <w:pStyle w:val="Paragrafi0"/>
      </w:pPr>
    </w:p>
    <w:p w:rsidR="00AB35B4" w:rsidRDefault="00AB35B4" w:rsidP="00AB35B4">
      <w:pPr>
        <w:pStyle w:val="Paragrafi0"/>
      </w:pPr>
      <w:r>
        <w:t>1. Të fillojë procedurat për shqyrtimin e aplikimit të TEC-Vlora sh.a. për tarifën e shitjes së energjisë elektrike te furnizuesi publik me shumicë (FPSH).</w:t>
      </w:r>
    </w:p>
    <w:p w:rsidR="00AB35B4" w:rsidRDefault="00AB35B4" w:rsidP="00AB35B4">
      <w:pPr>
        <w:pStyle w:val="Paragrafi0"/>
      </w:pPr>
      <w:r>
        <w:t>2. Ngarkohet Drejtoria e Tarifave dhe Çmimeve ta njoftojë aplikuesin për vendimin e Bordit të Komisionerëve të ERE-s.</w:t>
      </w:r>
    </w:p>
    <w:p w:rsidR="00AB35B4" w:rsidRDefault="00AB35B4" w:rsidP="00AB35B4">
      <w:pPr>
        <w:pStyle w:val="Paragrafi0"/>
      </w:pPr>
      <w:r>
        <w:t>Ky vendim hyn në fuqi menjëherë.</w:t>
      </w:r>
    </w:p>
    <w:p w:rsidR="00AB35B4" w:rsidRDefault="00AB35B4" w:rsidP="00AB35B4">
      <w:pPr>
        <w:pStyle w:val="Paragrafi0"/>
      </w:pPr>
      <w:r>
        <w:t>Ky vendim botohet në Fletoren Zyrtare.</w:t>
      </w:r>
    </w:p>
    <w:p w:rsidR="00AB35B4" w:rsidRDefault="00AB35B4" w:rsidP="00AB35B4">
      <w:pPr>
        <w:pStyle w:val="Paragrafi0"/>
      </w:pPr>
    </w:p>
    <w:p w:rsidR="00AB35B4" w:rsidRDefault="00AB35B4" w:rsidP="00AB35B4">
      <w:pPr>
        <w:pStyle w:val="Autoriteti"/>
      </w:pPr>
      <w:r>
        <w:t>Kryetari i ERE-s</w:t>
      </w:r>
    </w:p>
    <w:p w:rsidR="00AB35B4" w:rsidRDefault="00AB35B4" w:rsidP="00AB35B4">
      <w:pPr>
        <w:pStyle w:val="AutoritetiEmer"/>
      </w:pPr>
      <w:r>
        <w:t>Bujar Nepravishta</w:t>
      </w:r>
    </w:p>
    <w:sectPr w:rsidR="00AB35B4" w:rsidSect="00AB35B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9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247BD">
      <w:r>
        <w:separator/>
      </w:r>
    </w:p>
  </w:endnote>
  <w:endnote w:type="continuationSeparator" w:id="0">
    <w:p w:rsidR="00000000" w:rsidRDefault="0032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B4" w:rsidRDefault="00AB35B4" w:rsidP="00AB35B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35B4" w:rsidRDefault="00AB35B4" w:rsidP="00AB35B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B4" w:rsidRPr="001C5C43" w:rsidRDefault="00AB35B4" w:rsidP="00AB35B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C5C43">
      <w:rPr>
        <w:rStyle w:val="PageNumber"/>
        <w:rFonts w:ascii="CG Times" w:hAnsi="CG Times"/>
        <w:sz w:val="22"/>
        <w:szCs w:val="22"/>
      </w:rPr>
      <w:fldChar w:fldCharType="begin"/>
    </w:r>
    <w:r w:rsidRPr="001C5C4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C5C4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5949</w:t>
    </w:r>
    <w:r w:rsidRPr="001C5C43">
      <w:rPr>
        <w:rStyle w:val="PageNumber"/>
        <w:rFonts w:ascii="CG Times" w:hAnsi="CG Times"/>
        <w:sz w:val="22"/>
        <w:szCs w:val="22"/>
      </w:rPr>
      <w:fldChar w:fldCharType="end"/>
    </w:r>
  </w:p>
  <w:p w:rsidR="00AB35B4" w:rsidRDefault="00AB35B4" w:rsidP="00AB35B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247BD">
      <w:r>
        <w:separator/>
      </w:r>
    </w:p>
  </w:footnote>
  <w:footnote w:type="continuationSeparator" w:id="0">
    <w:p w:rsidR="00000000" w:rsidRDefault="00324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5B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7BD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5B4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46E636-9BD1-4D0D-8F76-7602E2E5C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5B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AB35B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3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