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DB" w:rsidRDefault="00022CDB" w:rsidP="00022CDB">
      <w:pPr>
        <w:pStyle w:val="Akti"/>
        <w:keepNext w:val="0"/>
      </w:pPr>
      <w:bookmarkStart w:id="0" w:name="_GoBack"/>
      <w:bookmarkEnd w:id="0"/>
      <w:r>
        <w:t>VENDIM</w:t>
      </w:r>
    </w:p>
    <w:p w:rsidR="00022CDB" w:rsidRPr="0032528F" w:rsidRDefault="00022CDB" w:rsidP="0032528F">
      <w:pPr>
        <w:pStyle w:val="NumriData"/>
      </w:pPr>
      <w:r w:rsidRPr="0032528F">
        <w:t>Nr.79, datë 23.10.2009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Titulli0"/>
        <w:keepNext w:val="0"/>
      </w:pPr>
      <w:r>
        <w:t>PËR MIRATIMIN E MODIFIKIMIT TË LICENCËS SË PRODHIMIT TË ENERGJISË ELEKTRIKE TË SHOQËRISË BALKAN GREEN ENERGY SHPK ME SERI PV03K, NR.3, LËSHUAR ME VENDIM TË BORDIT TË KOMISIONERËVE TË ERE-S NR.20, DATË 19.12.2003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  <w:r>
        <w:t>Në mbështetje të neneve 9 dhe 19 të ligjit nr.9072, datë 22.5.2003 “Për sektorin e energjisë elektrike”, të ndryshuar, si dhe nenit 15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23.10.2009, mbasi shqyrtoi aplikimin e shoqërisë “Balkan Green Energy” sh.p.k., për ndryshimin e licencës nr.3, seria PVO3K, për kryerjen e aktivitetit të prodhimit të energjisë elektrike, lëshuar me vendimin e Bordit të Komisionerëve nr.20, datë 19.12.2003 dhe informacionin e Drejtorisë së Licencimit dhe Monitorimit të Tregut dhe Drejtorisë Juridike dhe Mbrojtjes së Konsumatorit,</w:t>
      </w:r>
    </w:p>
    <w:p w:rsidR="00022CDB" w:rsidRDefault="00022CDB" w:rsidP="00022CDB">
      <w:pPr>
        <w:pStyle w:val="Paragrafi0"/>
      </w:pPr>
      <w:r>
        <w:t>Dhe konstatoi se:</w:t>
      </w:r>
    </w:p>
    <w:p w:rsidR="00022CDB" w:rsidRDefault="00022CDB" w:rsidP="00022CDB">
      <w:pPr>
        <w:pStyle w:val="Paragrafi0"/>
      </w:pPr>
      <w:r>
        <w:t>- Me vendimin nr.58, datë 7.8.2009 është miratuar fillimi i procedurave për modifikimin e licencës me numër nr.3, seri PV03K, lëshuar me vendimin e Bordit të Komisionerëve nr.20, datë 19.12.2003, të mbajtur nga shoqëria Balkan Green Energy sh.p.k.</w:t>
      </w:r>
    </w:p>
    <w:p w:rsidR="00022CDB" w:rsidRDefault="00022CDB" w:rsidP="00022CDB">
      <w:pPr>
        <w:pStyle w:val="Paragrafi0"/>
      </w:pPr>
      <w:r>
        <w:t>- Është paraqitur i plotë dokumentacioni siç kërkohet nga “Rregullorja për procedurat e licencimit, modifikimit, transferimit të plotë/të pjesshëm dhe rinovimit të licencave”, si dhe është plotësuar afati 2-mujor për këtë procedurë.</w:t>
      </w:r>
    </w:p>
    <w:p w:rsidR="00022CDB" w:rsidRDefault="00022CDB" w:rsidP="00022CDB">
      <w:pPr>
        <w:pStyle w:val="Paragrafi0"/>
      </w:pPr>
      <w:r>
        <w:t>Për gjithë sa më sipër cituar: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VENDOSI0"/>
        <w:keepNext w:val="0"/>
      </w:pPr>
      <w:r>
        <w:t>Vendosi: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  <w:r>
        <w:t>1. Të miratojë ndryshimin e licencës me numër nr.3, seri PV03K, lëshuar me vendimin e Bordit të Komisionerëve nr.20, datë 19.12.2003, të mbajtur nga shoqëria Balkan Green Energy sh.p.k., duke ndryshuar aneksin “A” si në tabelën bashkëlidhur këtij vendimi.</w:t>
      </w:r>
    </w:p>
    <w:p w:rsidR="00022CDB" w:rsidRDefault="00022CDB" w:rsidP="00022CDB">
      <w:pPr>
        <w:pStyle w:val="Paragrafi0"/>
      </w:pPr>
      <w:r>
        <w:t>2. Ngarkohet Drejtoria e Licencimit dhe Monitorimit të Tregut të njoftojë aplikuesin për vendimin e Bordit të Komisionerëve të ERE-s.</w:t>
      </w:r>
    </w:p>
    <w:p w:rsidR="00022CDB" w:rsidRDefault="00022CDB" w:rsidP="00022CDB">
      <w:pPr>
        <w:pStyle w:val="Paragrafi0"/>
      </w:pPr>
      <w:r>
        <w:t>Ky vendim hyn në fuqi menjëherë.</w:t>
      </w:r>
    </w:p>
    <w:p w:rsidR="00022CDB" w:rsidRDefault="00022CDB" w:rsidP="00022CDB">
      <w:pPr>
        <w:pStyle w:val="Paragrafi0"/>
      </w:pPr>
      <w:r>
        <w:t>Ky vendim botohet në Fletoren Zyrtare.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Autoriteti"/>
        <w:keepNext w:val="0"/>
      </w:pPr>
      <w:r>
        <w:t>Kryetari i ERE-s</w:t>
      </w:r>
    </w:p>
    <w:p w:rsidR="00022CDB" w:rsidRDefault="00022CDB" w:rsidP="00022CDB">
      <w:pPr>
        <w:pStyle w:val="AutoritetiEmer"/>
      </w:pPr>
      <w:r>
        <w:t>Bujar Nepravishta</w:t>
      </w: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p w:rsidR="00022CDB" w:rsidRDefault="00022CDB" w:rsidP="00022CDB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268"/>
        <w:gridCol w:w="1336"/>
        <w:gridCol w:w="2444"/>
      </w:tblGrid>
      <w:tr w:rsidR="00022CDB" w:rsidRPr="00464C3A" w:rsidTr="00022CDB">
        <w:trPr>
          <w:jc w:val="center"/>
        </w:trPr>
        <w:tc>
          <w:tcPr>
            <w:tcW w:w="2268" w:type="dxa"/>
            <w:vMerge w:val="restart"/>
            <w:vAlign w:val="center"/>
          </w:tcPr>
          <w:p w:rsidR="00022CDB" w:rsidRPr="00464C3A" w:rsidRDefault="00022CDB" w:rsidP="00022CDB">
            <w:pPr>
              <w:pStyle w:val="Tabele"/>
              <w:jc w:val="center"/>
              <w:rPr>
                <w:b/>
              </w:rPr>
            </w:pPr>
            <w:r w:rsidRPr="00464C3A">
              <w:rPr>
                <w:b/>
              </w:rPr>
              <w:t>Impianti</w:t>
            </w:r>
          </w:p>
        </w:tc>
        <w:tc>
          <w:tcPr>
            <w:tcW w:w="1336" w:type="dxa"/>
            <w:vMerge w:val="restart"/>
            <w:vAlign w:val="center"/>
          </w:tcPr>
          <w:p w:rsidR="00022CDB" w:rsidRPr="00464C3A" w:rsidRDefault="00022CDB" w:rsidP="00022CDB">
            <w:pPr>
              <w:pStyle w:val="Tabele"/>
              <w:jc w:val="center"/>
              <w:rPr>
                <w:b/>
              </w:rPr>
            </w:pPr>
            <w:r w:rsidRPr="00464C3A">
              <w:rPr>
                <w:b/>
              </w:rPr>
              <w:t>Nr.Njësive</w:t>
            </w:r>
          </w:p>
        </w:tc>
        <w:tc>
          <w:tcPr>
            <w:tcW w:w="2444" w:type="dxa"/>
            <w:vAlign w:val="center"/>
          </w:tcPr>
          <w:p w:rsidR="00022CDB" w:rsidRPr="00464C3A" w:rsidRDefault="00022CDB" w:rsidP="00022CDB">
            <w:pPr>
              <w:pStyle w:val="Tabele"/>
              <w:jc w:val="center"/>
              <w:rPr>
                <w:b/>
              </w:rPr>
            </w:pPr>
            <w:r w:rsidRPr="00464C3A">
              <w:rPr>
                <w:b/>
              </w:rPr>
              <w:t>Fuqia e instaluar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  <w:vMerge/>
            <w:vAlign w:val="center"/>
          </w:tcPr>
          <w:p w:rsidR="00022CDB" w:rsidRPr="00464C3A" w:rsidRDefault="00022CDB" w:rsidP="00022CDB">
            <w:pPr>
              <w:pStyle w:val="Tabele"/>
            </w:pPr>
          </w:p>
        </w:tc>
        <w:tc>
          <w:tcPr>
            <w:tcW w:w="1336" w:type="dxa"/>
            <w:vMerge/>
            <w:vAlign w:val="center"/>
          </w:tcPr>
          <w:p w:rsidR="00022CDB" w:rsidRPr="00464C3A" w:rsidRDefault="00022CDB" w:rsidP="00022CDB">
            <w:pPr>
              <w:pStyle w:val="Tabele"/>
            </w:pPr>
          </w:p>
        </w:tc>
        <w:tc>
          <w:tcPr>
            <w:tcW w:w="2444" w:type="dxa"/>
            <w:vAlign w:val="center"/>
          </w:tcPr>
          <w:p w:rsidR="00022CDB" w:rsidRPr="00464C3A" w:rsidRDefault="00022CDB" w:rsidP="00022CDB">
            <w:pPr>
              <w:pStyle w:val="Tabele"/>
              <w:jc w:val="center"/>
              <w:rPr>
                <w:b/>
              </w:rPr>
            </w:pPr>
            <w:r w:rsidRPr="00464C3A">
              <w:rPr>
                <w:b/>
              </w:rPr>
              <w:t>lekë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 xml:space="preserve">HEC </w:t>
            </w:r>
            <w:smartTag w:uri="urn:schemas-microsoft-com:office:smarttags" w:element="place">
              <w:smartTag w:uri="urn:schemas-microsoft-com:office:smarttags" w:element="City">
                <w:r w:rsidRPr="00464C3A">
                  <w:t>Arras</w:t>
                </w:r>
              </w:smartTag>
            </w:smartTag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4800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Funares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1920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Dukagjin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640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Nikolice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700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Bulqizë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Lurë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750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Orgjost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1200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Lekbibaj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1400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Velçan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1200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Zerqan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625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Borsh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250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Leshnicë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375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Shoshan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3000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Ujanik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630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Kerpice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350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Barmash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630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Voskopojë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400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Lunik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Piqeras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200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Homesh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395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Muhur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250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Rajan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620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Marjan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420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Lozhan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350</w:t>
            </w:r>
          </w:p>
        </w:tc>
      </w:tr>
      <w:tr w:rsidR="00022CDB" w:rsidRPr="00464C3A" w:rsidTr="00022CDB">
        <w:trPr>
          <w:jc w:val="center"/>
        </w:trPr>
        <w:tc>
          <w:tcPr>
            <w:tcW w:w="2268" w:type="dxa"/>
          </w:tcPr>
          <w:p w:rsidR="00022CDB" w:rsidRPr="00464C3A" w:rsidRDefault="00022CDB" w:rsidP="00022CDB">
            <w:pPr>
              <w:pStyle w:val="Tabele"/>
            </w:pPr>
            <w:r w:rsidRPr="00464C3A">
              <w:t>HEC Treskë 2</w:t>
            </w:r>
          </w:p>
        </w:tc>
        <w:tc>
          <w:tcPr>
            <w:tcW w:w="1336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1</w:t>
            </w:r>
          </w:p>
        </w:tc>
        <w:tc>
          <w:tcPr>
            <w:tcW w:w="2444" w:type="dxa"/>
          </w:tcPr>
          <w:p w:rsidR="00022CDB" w:rsidRPr="00464C3A" w:rsidRDefault="00022CDB" w:rsidP="00022CDB">
            <w:pPr>
              <w:pStyle w:val="Tabele"/>
              <w:jc w:val="center"/>
            </w:pPr>
            <w:r w:rsidRPr="00464C3A">
              <w:t>250</w:t>
            </w:r>
          </w:p>
        </w:tc>
      </w:tr>
    </w:tbl>
    <w:p w:rsidR="00022CDB" w:rsidRDefault="00022CDB" w:rsidP="00022CDB">
      <w:pPr>
        <w:pStyle w:val="Paragrafi0"/>
        <w:ind w:firstLine="0"/>
      </w:pPr>
    </w:p>
    <w:sectPr w:rsidR="00022C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2CDB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2CDB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28F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2FA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6FCF2C-FE33-495F-A9F6-A7218FD5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DB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022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022CD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22CD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