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C62" w:rsidRPr="005A5C62" w:rsidRDefault="005A5C62" w:rsidP="005A5C62">
      <w:pPr>
        <w:pStyle w:val="Akti"/>
        <w:keepNext w:val="0"/>
        <w:rPr>
          <w:lang w:val="it-IT"/>
        </w:rPr>
      </w:pPr>
      <w:bookmarkStart w:id="0" w:name="_GoBack"/>
      <w:bookmarkEnd w:id="0"/>
      <w:r w:rsidRPr="005A5C62">
        <w:rPr>
          <w:lang w:val="it-IT"/>
        </w:rPr>
        <w:t>VENDIM</w:t>
      </w:r>
    </w:p>
    <w:p w:rsidR="005A5C62" w:rsidRPr="005A5C62" w:rsidRDefault="005A5C62" w:rsidP="005A5C62">
      <w:pPr>
        <w:pStyle w:val="NumriData"/>
        <w:keepNext w:val="0"/>
        <w:rPr>
          <w:lang w:val="it-IT"/>
        </w:rPr>
      </w:pPr>
      <w:r w:rsidRPr="005A5C62">
        <w:rPr>
          <w:lang w:val="it-IT"/>
        </w:rPr>
        <w:t>Nr.93, datë 30.11.2010</w:t>
      </w: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</w:p>
    <w:p w:rsidR="005A5C62" w:rsidRPr="005A5C62" w:rsidRDefault="005A5C62" w:rsidP="005A5C62">
      <w:pPr>
        <w:pStyle w:val="Titulli"/>
        <w:keepNext w:val="0"/>
        <w:rPr>
          <w:rFonts w:eastAsia="Calibri"/>
          <w:lang w:val="it-IT"/>
        </w:rPr>
      </w:pPr>
      <w:r w:rsidRPr="005A5C62">
        <w:rPr>
          <w:rFonts w:eastAsia="Calibri"/>
          <w:lang w:val="it-IT"/>
        </w:rPr>
        <w:t>PËR MIRATIMIN E PROGRAMIT TË ULJES SË HUMBJEVE TOTALE PËR TRI PERIUDHAT E RREGULLIMIT</w:t>
      </w: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</w:p>
    <w:p w:rsidR="005A5C62" w:rsidRPr="00354D9B" w:rsidRDefault="005A5C62" w:rsidP="005A5C62">
      <w:pPr>
        <w:pStyle w:val="Paragrafi"/>
        <w:rPr>
          <w:rFonts w:eastAsia="Calibri"/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nenin 9 të ligjit nr.9072,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22.5.2003 “Për sektorin e energjisë elektrike”</w:t>
      </w:r>
      <w:r>
        <w:rPr>
          <w:sz w:val="21"/>
          <w:szCs w:val="21"/>
          <w:lang w:val="sq-AL"/>
        </w:rPr>
        <w:t>, të</w:t>
      </w:r>
      <w:r w:rsidRPr="00354D9B">
        <w:rPr>
          <w:sz w:val="21"/>
          <w:szCs w:val="21"/>
          <w:lang w:val="sq-AL"/>
        </w:rPr>
        <w:t xml:space="preserve"> ndryshuar, </w:t>
      </w:r>
      <w:r>
        <w:rPr>
          <w:sz w:val="21"/>
          <w:szCs w:val="21"/>
          <w:lang w:val="sq-AL"/>
        </w:rPr>
        <w:t xml:space="preserve">të </w:t>
      </w:r>
      <w:r w:rsidRPr="00354D9B">
        <w:rPr>
          <w:rFonts w:eastAsia="Calibri"/>
          <w:sz w:val="21"/>
          <w:szCs w:val="21"/>
          <w:lang w:val="sq-AL"/>
        </w:rPr>
        <w:t>pikës 4.5 të deklaratës rregullatore, t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 xml:space="preserve"> miratuar me vendimin e Bordit t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 xml:space="preserve"> Komisioner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>ve nr.12, dat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 xml:space="preserve"> 3.3.2009, Bordi i Komisionerëve të Entit Rregullator të Energjisë (ERE), në mbledhj</w:t>
      </w:r>
      <w:r>
        <w:rPr>
          <w:rFonts w:eastAsia="Calibri"/>
          <w:sz w:val="21"/>
          <w:szCs w:val="21"/>
          <w:lang w:val="sq-AL"/>
        </w:rPr>
        <w:t>en e tij të datës 30.11.2010, p</w:t>
      </w:r>
      <w:r w:rsidRPr="00354D9B">
        <w:rPr>
          <w:rFonts w:eastAsia="Calibri"/>
          <w:sz w:val="21"/>
          <w:szCs w:val="21"/>
          <w:lang w:val="sq-AL"/>
        </w:rPr>
        <w:t>asi analizoi propozimin e riskedulimit t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 xml:space="preserve"> programit t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 xml:space="preserve"> uljes s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 xml:space="preserve"> humbjeve totale t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 xml:space="preserve"> propozuar nga “CEZ shpërndarje” sh.a. dhe relacionin e përgatitur nga Drejtoria e Licencimit dhe Monitorimit t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 xml:space="preserve"> Tregut dhe Drejtoria Juridike dhe Mbrojtjes s</w:t>
      </w:r>
      <w:r w:rsidRPr="00354D9B">
        <w:rPr>
          <w:rFonts w:ascii="Times New Roman" w:eastAsia="Calibri" w:hAnsi="Times New Roman"/>
          <w:sz w:val="21"/>
          <w:szCs w:val="21"/>
          <w:lang w:val="sq-AL"/>
        </w:rPr>
        <w:t>ë</w:t>
      </w:r>
      <w:r w:rsidRPr="00354D9B">
        <w:rPr>
          <w:rFonts w:eastAsia="Calibri"/>
          <w:sz w:val="21"/>
          <w:szCs w:val="21"/>
          <w:lang w:val="sq-AL"/>
        </w:rPr>
        <w:t xml:space="preserve"> Konsumatorit</w:t>
      </w:r>
      <w:r>
        <w:rPr>
          <w:rFonts w:eastAsia="Calibri"/>
          <w:sz w:val="21"/>
          <w:szCs w:val="21"/>
          <w:lang w:val="sq-AL"/>
        </w:rPr>
        <w:t>,</w:t>
      </w:r>
      <w:r w:rsidRPr="00354D9B">
        <w:rPr>
          <w:rFonts w:eastAsia="Calibri"/>
          <w:sz w:val="21"/>
          <w:szCs w:val="21"/>
          <w:lang w:val="sq-AL"/>
        </w:rPr>
        <w:t xml:space="preserve"> </w:t>
      </w: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</w:p>
    <w:p w:rsidR="005A5C62" w:rsidRPr="00354D9B" w:rsidRDefault="005A5C62" w:rsidP="005A5C62">
      <w:pPr>
        <w:pStyle w:val="Paragrafi"/>
        <w:jc w:val="center"/>
        <w:rPr>
          <w:sz w:val="21"/>
          <w:szCs w:val="21"/>
          <w:lang w:val="sq-AL"/>
        </w:rPr>
      </w:pPr>
      <w:r w:rsidRPr="005A5C62">
        <w:rPr>
          <w:rStyle w:val="VENDOSIChar"/>
          <w:lang w:val="sq-AL"/>
        </w:rPr>
        <w:t>VENDOSI</w:t>
      </w:r>
      <w:r w:rsidRPr="00354D9B">
        <w:rPr>
          <w:sz w:val="21"/>
          <w:szCs w:val="21"/>
          <w:lang w:val="sq-AL"/>
        </w:rPr>
        <w:t>:</w:t>
      </w: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miratoj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programin e uljes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humbjeve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tria periudhat e rregullimit sipas skedulit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mëposhtëm:</w:t>
      </w: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354D9B">
        <w:rPr>
          <w:sz w:val="21"/>
          <w:szCs w:val="21"/>
          <w:lang w:val="sq-AL"/>
        </w:rPr>
        <w:t>6% ulje kumulative për periudhën e par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rregullimit 1 janar – 31 dhjetor 2010 dhe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periudhën e dyt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rregullimit 1 janar - 31 dhjetor 2011. </w:t>
      </w: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354D9B">
        <w:rPr>
          <w:sz w:val="21"/>
          <w:szCs w:val="21"/>
          <w:lang w:val="sq-AL"/>
        </w:rPr>
        <w:t>11% ulje për periudhën e tret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rregullimit 1 janar 2012 – 31 dhjetor 2014</w:t>
      </w:r>
      <w:r>
        <w:rPr>
          <w:sz w:val="21"/>
          <w:szCs w:val="21"/>
          <w:lang w:val="sq-AL"/>
        </w:rPr>
        <w:t>,</w:t>
      </w:r>
      <w:r w:rsidRPr="00354D9B">
        <w:rPr>
          <w:sz w:val="21"/>
          <w:szCs w:val="21"/>
          <w:lang w:val="sq-AL"/>
        </w:rPr>
        <w:t xml:space="preserve">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rputhje me planin e investimeve q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do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miratohet për kompaninë nga ERE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periudh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n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rkat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se.</w:t>
      </w: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>Ngarkohet “CEZ shpërndarje”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zbatimin e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tij vendimi.</w:t>
      </w: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menjëherë.</w:t>
      </w:r>
    </w:p>
    <w:p w:rsidR="005A5C62" w:rsidRPr="00354D9B" w:rsidRDefault="005A5C62" w:rsidP="005A5C62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në Fletoren Zyrtare.</w:t>
      </w:r>
    </w:p>
    <w:p w:rsidR="005A5C62" w:rsidRPr="00354D9B" w:rsidRDefault="005A5C62" w:rsidP="005A5C62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5A5C62" w:rsidRPr="00354D9B" w:rsidRDefault="005A5C62" w:rsidP="005A5C62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5A5C62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5C62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A5C62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339F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D06D7D-3915-4CA1-A014-991CBF34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5A5C6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A5C6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A5C6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A5C6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A5C6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