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D9C" w:rsidRPr="00354D9B" w:rsidRDefault="00563D9C" w:rsidP="00563D9C">
      <w:pPr>
        <w:pStyle w:val="Akti"/>
        <w:keepNext w:val="0"/>
      </w:pPr>
      <w:bookmarkStart w:id="0" w:name="_GoBack"/>
      <w:bookmarkEnd w:id="0"/>
      <w:r w:rsidRPr="00354D9B">
        <w:t>VENDIM</w:t>
      </w:r>
    </w:p>
    <w:p w:rsidR="00563D9C" w:rsidRPr="00354D9B" w:rsidRDefault="00563D9C" w:rsidP="00563D9C">
      <w:pPr>
        <w:pStyle w:val="NumriData"/>
        <w:keepNext w:val="0"/>
      </w:pPr>
      <w:r>
        <w:t xml:space="preserve">Nr.96, datë </w:t>
      </w:r>
      <w:r w:rsidRPr="00354D9B">
        <w:t>7.12.2010</w:t>
      </w:r>
    </w:p>
    <w:p w:rsidR="00563D9C" w:rsidRPr="00354D9B" w:rsidRDefault="00563D9C" w:rsidP="00563D9C">
      <w:pPr>
        <w:pStyle w:val="Paragrafi"/>
        <w:rPr>
          <w:sz w:val="21"/>
          <w:szCs w:val="21"/>
          <w:lang w:val="sq-AL"/>
        </w:rPr>
      </w:pPr>
    </w:p>
    <w:p w:rsidR="00563D9C" w:rsidRPr="00354D9B" w:rsidRDefault="00563D9C" w:rsidP="00563D9C">
      <w:pPr>
        <w:pStyle w:val="Titulli"/>
        <w:keepNext w:val="0"/>
      </w:pPr>
      <w:r w:rsidRPr="00354D9B">
        <w:t>PËR PËRCAKTIMIN E ÇMIMIT TË SHITJES SË ENERGJISË ELEKTRIKE TË PRODHUAR NGA TEC VLOR</w:t>
      </w:r>
      <w:r w:rsidRPr="00354D9B">
        <w:rPr>
          <w:rFonts w:ascii="Times New Roman" w:hAnsi="Times New Roman"/>
        </w:rPr>
        <w:t>Ë</w:t>
      </w:r>
      <w:r w:rsidRPr="00354D9B">
        <w:t xml:space="preserve"> SHA TE FURNIZUESI PUBLIK ME SHUMICË PËR PERIUDHËN 1 JANAR - 31 DHJETOR 2011</w:t>
      </w:r>
    </w:p>
    <w:p w:rsidR="00563D9C" w:rsidRPr="00354D9B" w:rsidRDefault="00563D9C" w:rsidP="00563D9C">
      <w:pPr>
        <w:pStyle w:val="Paragrafi"/>
        <w:rPr>
          <w:sz w:val="21"/>
          <w:szCs w:val="21"/>
          <w:lang w:val="sq-AL"/>
        </w:rPr>
      </w:pPr>
    </w:p>
    <w:p w:rsidR="00563D9C" w:rsidRPr="00354D9B" w:rsidRDefault="00563D9C" w:rsidP="00563D9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Në mbështetje të neneve 9, 26 pika 1, 27 dhe 28 të ligjit nr.9072, datë 22.5.2003 “Për sektorin e energjisë elektrike”, të ndryshuar, neneve 15, 20 dhe 21 të Rregullave të Praktikës dhe Procedurave të ERE-s, miratuar me vendimin e Bordit të Komisionerëve të ERE-s nr.21, datë 18.3.2009, </w:t>
      </w:r>
      <w:r>
        <w:rPr>
          <w:sz w:val="21"/>
          <w:szCs w:val="21"/>
          <w:lang w:val="sq-AL"/>
        </w:rPr>
        <w:t>të vendimit nr.77, datë 26.6.2008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Bordit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Komisioner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për kompaninë publike të gjenerimit të energjisë elektrike”, Bordi i Komisionerëve të Entit Rregullator të Energjisë (ERE), në mbledhjen e tij të datës 7.12.2010, pasi shqyrtoi aplikimin e </w:t>
      </w:r>
      <w:r>
        <w:rPr>
          <w:sz w:val="21"/>
          <w:szCs w:val="21"/>
          <w:lang w:val="sq-AL"/>
        </w:rPr>
        <w:t>“</w:t>
      </w:r>
      <w:r w:rsidRPr="00354D9B">
        <w:rPr>
          <w:sz w:val="21"/>
          <w:szCs w:val="21"/>
          <w:lang w:val="sq-AL"/>
        </w:rPr>
        <w:t>Tec Vlora</w:t>
      </w:r>
      <w:r>
        <w:rPr>
          <w:sz w:val="21"/>
          <w:szCs w:val="21"/>
          <w:lang w:val="sq-AL"/>
        </w:rPr>
        <w:t>”</w:t>
      </w:r>
      <w:r w:rsidRPr="00354D9B">
        <w:rPr>
          <w:sz w:val="21"/>
          <w:szCs w:val="21"/>
          <w:lang w:val="sq-AL"/>
        </w:rPr>
        <w:t xml:space="preserve"> sh.a., si dhe relacionin e grupit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pun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s,</w:t>
      </w:r>
    </w:p>
    <w:p w:rsidR="00563D9C" w:rsidRDefault="00563D9C" w:rsidP="00563D9C">
      <w:pPr>
        <w:pStyle w:val="Paragrafi"/>
        <w:rPr>
          <w:sz w:val="21"/>
          <w:szCs w:val="21"/>
          <w:lang w:val="sq-AL"/>
        </w:rPr>
      </w:pPr>
    </w:p>
    <w:p w:rsidR="00563D9C" w:rsidRPr="00563D9C" w:rsidRDefault="00563D9C" w:rsidP="00563D9C">
      <w:pPr>
        <w:pStyle w:val="VENDOSI"/>
        <w:keepNext w:val="0"/>
        <w:rPr>
          <w:lang w:val="sq-AL"/>
        </w:rPr>
      </w:pPr>
      <w:r w:rsidRPr="00563D9C">
        <w:rPr>
          <w:lang w:val="sq-AL"/>
        </w:rPr>
        <w:t>VENDOSI:</w:t>
      </w:r>
    </w:p>
    <w:p w:rsidR="00563D9C" w:rsidRPr="00354D9B" w:rsidRDefault="00563D9C" w:rsidP="00563D9C">
      <w:pPr>
        <w:pStyle w:val="Paragrafi"/>
        <w:rPr>
          <w:sz w:val="21"/>
          <w:szCs w:val="21"/>
          <w:lang w:val="sq-AL"/>
        </w:rPr>
      </w:pPr>
    </w:p>
    <w:p w:rsidR="00563D9C" w:rsidRPr="00354D9B" w:rsidRDefault="00563D9C" w:rsidP="00563D9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Çmimi i shitjes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energjis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elektrike </w:t>
      </w:r>
      <w:r>
        <w:rPr>
          <w:sz w:val="21"/>
          <w:szCs w:val="21"/>
          <w:lang w:val="sq-AL"/>
        </w:rPr>
        <w:t>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prodhuar nga </w:t>
      </w:r>
      <w:r>
        <w:rPr>
          <w:sz w:val="21"/>
          <w:szCs w:val="21"/>
          <w:lang w:val="sq-AL"/>
        </w:rPr>
        <w:t>“</w:t>
      </w:r>
      <w:r w:rsidRPr="00354D9B">
        <w:rPr>
          <w:sz w:val="21"/>
          <w:szCs w:val="21"/>
          <w:lang w:val="sq-AL"/>
        </w:rPr>
        <w:t>Tec Vlora</w:t>
      </w:r>
      <w:r>
        <w:rPr>
          <w:sz w:val="21"/>
          <w:szCs w:val="21"/>
          <w:lang w:val="sq-AL"/>
        </w:rPr>
        <w:t>”</w:t>
      </w:r>
      <w:r w:rsidRPr="00354D9B">
        <w:rPr>
          <w:sz w:val="21"/>
          <w:szCs w:val="21"/>
          <w:lang w:val="sq-AL"/>
        </w:rPr>
        <w:t xml:space="preserve"> sh.a. te furnizuesi publik me shumic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, për periudhën 1 janar – 31 dhjetor 2011 do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jet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kosto fikse vjetore 1,341,482 mijë lekë/vit dhe kosto variabël 16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/kWh.</w:t>
      </w:r>
    </w:p>
    <w:p w:rsidR="00563D9C" w:rsidRPr="00354D9B" w:rsidRDefault="00563D9C" w:rsidP="00563D9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 xml:space="preserve">Ngarkohet Drejtoria Juridike dhe e Mbrojtjes së Konsumatorit për njoftimin e </w:t>
      </w:r>
      <w:r>
        <w:rPr>
          <w:sz w:val="21"/>
          <w:szCs w:val="21"/>
          <w:lang w:val="sq-AL"/>
        </w:rPr>
        <w:t>“</w:t>
      </w:r>
      <w:r w:rsidRPr="00354D9B">
        <w:rPr>
          <w:sz w:val="21"/>
          <w:szCs w:val="21"/>
          <w:lang w:val="sq-AL"/>
        </w:rPr>
        <w:t>Tec Vlorë</w:t>
      </w:r>
      <w:r>
        <w:rPr>
          <w:sz w:val="21"/>
          <w:szCs w:val="21"/>
          <w:lang w:val="sq-AL"/>
        </w:rPr>
        <w:t>”</w:t>
      </w:r>
      <w:r w:rsidRPr="00354D9B">
        <w:rPr>
          <w:sz w:val="21"/>
          <w:szCs w:val="21"/>
          <w:lang w:val="sq-AL"/>
        </w:rPr>
        <w:t xml:space="preserve"> sh.a. dhe KESH sh.a.</w:t>
      </w:r>
    </w:p>
    <w:p w:rsidR="00563D9C" w:rsidRPr="00354D9B" w:rsidRDefault="00563D9C" w:rsidP="00563D9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menjëherë.</w:t>
      </w:r>
    </w:p>
    <w:p w:rsidR="00563D9C" w:rsidRPr="00354D9B" w:rsidRDefault="00563D9C" w:rsidP="00563D9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563D9C" w:rsidRPr="00354D9B" w:rsidRDefault="00563D9C" w:rsidP="00563D9C">
      <w:pPr>
        <w:pStyle w:val="Paragrafi"/>
      </w:pPr>
    </w:p>
    <w:p w:rsidR="00563D9C" w:rsidRPr="00354D9B" w:rsidRDefault="00563D9C" w:rsidP="00563D9C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563D9C" w:rsidRPr="00354D9B" w:rsidRDefault="00563D9C" w:rsidP="00563D9C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563D9C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3D9C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619B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D9C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D9190D-9768-4B82-B66F-772883F0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D9C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563D9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63D9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63D9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63D9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63D9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