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6AB" w:rsidRPr="00C86FAE" w:rsidRDefault="00FA26AB" w:rsidP="00FA26AB">
      <w:pPr>
        <w:pStyle w:val="Akti"/>
        <w:rPr>
          <w:sz w:val="21"/>
          <w:szCs w:val="21"/>
        </w:rPr>
      </w:pPr>
      <w:bookmarkStart w:id="0" w:name="_GoBack"/>
      <w:bookmarkEnd w:id="0"/>
      <w:r w:rsidRPr="00C86FAE">
        <w:rPr>
          <w:sz w:val="21"/>
          <w:szCs w:val="21"/>
        </w:rPr>
        <w:t>VENDIM</w:t>
      </w:r>
    </w:p>
    <w:p w:rsidR="00FA26AB" w:rsidRPr="00C86FAE" w:rsidRDefault="00FA26AB" w:rsidP="00FA26AB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Nr.13, datë 22.2.</w:t>
      </w:r>
      <w:r w:rsidRPr="00C86FAE">
        <w:rPr>
          <w:sz w:val="21"/>
          <w:szCs w:val="21"/>
        </w:rPr>
        <w:t>2011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</w:p>
    <w:p w:rsidR="00FA26AB" w:rsidRPr="00C86FAE" w:rsidRDefault="00FA26AB" w:rsidP="00FA26AB">
      <w:pPr>
        <w:pStyle w:val="Titulli"/>
        <w:rPr>
          <w:sz w:val="21"/>
          <w:szCs w:val="21"/>
        </w:rPr>
      </w:pPr>
      <w:r w:rsidRPr="00C86FAE">
        <w:rPr>
          <w:sz w:val="21"/>
          <w:szCs w:val="21"/>
        </w:rPr>
        <w:t>PËR MIRATIMIN E RREGULLAVE PËR ALOKIMIN E KAPACITETEVE TË INTERKON</w:t>
      </w:r>
      <w:r>
        <w:rPr>
          <w:sz w:val="21"/>
          <w:szCs w:val="21"/>
        </w:rPr>
        <w:t>j</w:t>
      </w:r>
      <w:r w:rsidRPr="00C86FAE">
        <w:rPr>
          <w:sz w:val="21"/>
          <w:szCs w:val="21"/>
        </w:rPr>
        <w:t>EKSIONIT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</w:p>
    <w:p w:rsidR="00FA26AB" w:rsidRPr="00C86FAE" w:rsidRDefault="00FA26AB" w:rsidP="00FA26AB">
      <w:pPr>
        <w:pStyle w:val="Paragrafi"/>
        <w:rPr>
          <w:rFonts w:eastAsia="Batang"/>
          <w:sz w:val="21"/>
          <w:szCs w:val="21"/>
        </w:rPr>
      </w:pPr>
      <w:r w:rsidRPr="00C86FAE">
        <w:rPr>
          <w:sz w:val="21"/>
          <w:szCs w:val="21"/>
        </w:rPr>
        <w:t>Në mbështetje të nenit 9 të</w:t>
      </w:r>
      <w:r>
        <w:rPr>
          <w:sz w:val="21"/>
          <w:szCs w:val="21"/>
        </w:rPr>
        <w:t xml:space="preserve"> ligjit nr.9072, datë 22.5.2003</w:t>
      </w:r>
      <w:r w:rsidRPr="00C86FAE">
        <w:rPr>
          <w:sz w:val="21"/>
          <w:szCs w:val="21"/>
        </w:rPr>
        <w:t xml:space="preserve"> “Për sektorin e energjisë elektrike</w:t>
      </w:r>
      <w:r>
        <w:rPr>
          <w:sz w:val="21"/>
          <w:szCs w:val="21"/>
        </w:rPr>
        <w:t xml:space="preserve">”,  pikës 7, germa b, të  modelit të </w:t>
      </w:r>
      <w:r w:rsidRPr="00C86FAE">
        <w:rPr>
          <w:sz w:val="21"/>
          <w:szCs w:val="21"/>
        </w:rPr>
        <w:t>tregut të energjisë elektrike të miratuar me vendimin e Këshillit të Ministrave nr.338, datë 19.3.2008, të ndryshuar, si dhe kapitullit X, t</w:t>
      </w:r>
      <w:r w:rsidRPr="00C86FAE">
        <w:rPr>
          <w:rFonts w:eastAsia="MingLiU"/>
          <w:sz w:val="21"/>
          <w:szCs w:val="21"/>
        </w:rPr>
        <w:t>ë</w:t>
      </w:r>
      <w:r>
        <w:rPr>
          <w:sz w:val="21"/>
          <w:szCs w:val="21"/>
        </w:rPr>
        <w:t xml:space="preserve"> rregullave </w:t>
      </w:r>
      <w:r w:rsidRPr="00C86FAE">
        <w:rPr>
          <w:sz w:val="21"/>
          <w:szCs w:val="21"/>
        </w:rPr>
        <w:t>të tregut shqiptar të energjisë elektrike të miratuara nga ERE me vendimin e Bordit të Komisionerëve nr.68, datë 23.6.2008, nenit 25 të Rregullave të Praktikës dhe Procedurave të ERE-s, miratuar me vendimin nr.21, datë 18.3.2009 të Bordit të Komisionerëve të ERE-s, Bordi i Komisionerëve të Entit Rregullator të Energjisë (ERE), në mbledhjen e tij të datës 22.2.2011, pasi shqyrtoi draftin e propozuar nga grupi i punës për miratim e rregullave për alokimin e kapaciteteve të interkon</w:t>
      </w:r>
      <w:r>
        <w:rPr>
          <w:sz w:val="21"/>
          <w:szCs w:val="21"/>
        </w:rPr>
        <w:t>jeksionit,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  <w:r w:rsidRPr="00C86FAE">
        <w:rPr>
          <w:sz w:val="21"/>
          <w:szCs w:val="21"/>
        </w:rPr>
        <w:t xml:space="preserve"> </w:t>
      </w:r>
    </w:p>
    <w:p w:rsidR="00FA26AB" w:rsidRPr="00C86FAE" w:rsidRDefault="00FA26AB" w:rsidP="00FA26AB">
      <w:pPr>
        <w:pStyle w:val="VENDOSI"/>
        <w:rPr>
          <w:sz w:val="21"/>
          <w:szCs w:val="21"/>
        </w:rPr>
      </w:pPr>
      <w:r w:rsidRPr="00C86FAE">
        <w:rPr>
          <w:sz w:val="21"/>
          <w:szCs w:val="21"/>
        </w:rPr>
        <w:t>Vendosi: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</w:p>
    <w:p w:rsidR="00FA26AB" w:rsidRPr="00C86FAE" w:rsidRDefault="00FA26AB" w:rsidP="00FA26AB">
      <w:pPr>
        <w:pStyle w:val="Paragrafi"/>
        <w:rPr>
          <w:sz w:val="21"/>
          <w:szCs w:val="21"/>
        </w:rPr>
      </w:pPr>
      <w:r w:rsidRPr="00C86FAE">
        <w:rPr>
          <w:sz w:val="21"/>
          <w:szCs w:val="21"/>
        </w:rPr>
        <w:t>1. Miratimin e rregullave për alokimin e kapaciteteve të interkon</w:t>
      </w:r>
      <w:r>
        <w:rPr>
          <w:sz w:val="21"/>
          <w:szCs w:val="21"/>
        </w:rPr>
        <w:t>j</w:t>
      </w:r>
      <w:r w:rsidRPr="00C86FAE">
        <w:rPr>
          <w:sz w:val="21"/>
          <w:szCs w:val="21"/>
        </w:rPr>
        <w:t>eksionit. (Rregull</w:t>
      </w:r>
      <w:r>
        <w:rPr>
          <w:sz w:val="21"/>
          <w:szCs w:val="21"/>
        </w:rPr>
        <w:t>orja bashkëlidhur këtij vendimi</w:t>
      </w:r>
      <w:r w:rsidRPr="00C86FAE">
        <w:rPr>
          <w:sz w:val="21"/>
          <w:szCs w:val="21"/>
        </w:rPr>
        <w:t>.</w:t>
      </w:r>
      <w:r>
        <w:rPr>
          <w:sz w:val="21"/>
          <w:szCs w:val="21"/>
        </w:rPr>
        <w:t>)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  <w:r w:rsidRPr="00C86FAE">
        <w:rPr>
          <w:sz w:val="21"/>
          <w:szCs w:val="21"/>
        </w:rPr>
        <w:t xml:space="preserve">Ky vendim hyn në fuqi menjëherë. 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  <w:r w:rsidRPr="00C86FAE">
        <w:rPr>
          <w:sz w:val="21"/>
          <w:szCs w:val="21"/>
        </w:rPr>
        <w:t>Ky vendim botohet në Fletoren Zyrtare.</w:t>
      </w:r>
    </w:p>
    <w:p w:rsidR="00FA26AB" w:rsidRPr="00C86FAE" w:rsidRDefault="00FA26AB" w:rsidP="00FA26AB">
      <w:pPr>
        <w:pStyle w:val="Paragrafi"/>
        <w:rPr>
          <w:sz w:val="21"/>
          <w:szCs w:val="21"/>
        </w:rPr>
      </w:pPr>
    </w:p>
    <w:p w:rsidR="00FA26AB" w:rsidRPr="00C86FAE" w:rsidRDefault="00FA26AB" w:rsidP="00FA26AB">
      <w:pPr>
        <w:pStyle w:val="Autoriteti"/>
        <w:rPr>
          <w:sz w:val="21"/>
          <w:szCs w:val="21"/>
        </w:rPr>
      </w:pPr>
      <w:r w:rsidRPr="00C86FAE">
        <w:rPr>
          <w:sz w:val="21"/>
          <w:szCs w:val="21"/>
        </w:rPr>
        <w:t>KRYETARI</w:t>
      </w:r>
    </w:p>
    <w:p w:rsidR="00FA26AB" w:rsidRPr="00C86FAE" w:rsidRDefault="00FA26AB" w:rsidP="00FA26AB">
      <w:pPr>
        <w:pStyle w:val="AutoritetiEmer"/>
        <w:rPr>
          <w:sz w:val="21"/>
          <w:szCs w:val="21"/>
        </w:rPr>
      </w:pPr>
      <w:r w:rsidRPr="00C86FAE">
        <w:rPr>
          <w:sz w:val="21"/>
          <w:szCs w:val="21"/>
        </w:rPr>
        <w:t>Bujar Nepravishta</w:t>
      </w:r>
    </w:p>
    <w:sectPr w:rsidR="00FA26AB" w:rsidRPr="00C86F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6A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3856"/>
    <w:rsid w:val="00EF672B"/>
    <w:rsid w:val="00F025AC"/>
    <w:rsid w:val="00F31BCD"/>
    <w:rsid w:val="00F4682B"/>
    <w:rsid w:val="00F7295B"/>
    <w:rsid w:val="00F74838"/>
    <w:rsid w:val="00F91D2E"/>
    <w:rsid w:val="00F9691A"/>
    <w:rsid w:val="00FA26AB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26217-C646-422C-942D-80D3757D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FA26A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A26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