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86C2E" w:rsidRPr="00970C68" w:rsidRDefault="00086C2E" w:rsidP="00086C2E">
      <w:pPr>
        <w:pStyle w:val="Akti"/>
        <w:rPr>
          <w:lang w:val="sq-AL"/>
        </w:rPr>
      </w:pPr>
      <w:bookmarkStart w:id="0" w:name="_GoBack"/>
      <w:bookmarkEnd w:id="0"/>
      <w:r w:rsidRPr="00970C68">
        <w:rPr>
          <w:lang w:val="sq-AL"/>
        </w:rPr>
        <w:t xml:space="preserve">VENDIM </w:t>
      </w:r>
    </w:p>
    <w:p w:rsidR="00086C2E" w:rsidRPr="00970C68" w:rsidRDefault="00086C2E" w:rsidP="00086C2E">
      <w:pPr>
        <w:pStyle w:val="NumriData"/>
        <w:rPr>
          <w:lang w:val="sq-AL"/>
        </w:rPr>
      </w:pPr>
      <w:r w:rsidRPr="00970C68">
        <w:rPr>
          <w:lang w:val="sq-AL"/>
        </w:rPr>
        <w:t>Nr.36, datë 15.4.2011</w:t>
      </w:r>
    </w:p>
    <w:p w:rsidR="00086C2E" w:rsidRPr="00970C68" w:rsidRDefault="00086C2E" w:rsidP="00086C2E">
      <w:pPr>
        <w:pStyle w:val="Paragrafi"/>
        <w:rPr>
          <w:rFonts w:cs="Times New Roman"/>
          <w:lang w:val="sq-AL"/>
        </w:rPr>
      </w:pPr>
    </w:p>
    <w:p w:rsidR="00086C2E" w:rsidRPr="00970C68" w:rsidRDefault="00086C2E" w:rsidP="00086C2E">
      <w:pPr>
        <w:pStyle w:val="Titulli"/>
        <w:rPr>
          <w:lang w:val="sq-AL"/>
        </w:rPr>
      </w:pPr>
      <w:r w:rsidRPr="00970C68">
        <w:rPr>
          <w:lang w:val="sq-AL"/>
        </w:rPr>
        <w:t>MBI ANKIMIMIN E “CEZ SHPËRNDARJE” SHA TË VENDIMIT TË BORDIT TË KOMISIONERËVE TË ERE-S NR.31, DATË 31.3.2011 “PËR MIRATIMIN E KONTRATËS SË FURNIZIMIT ME ENERGJI ELEKTRIKE NDËRMJET SHOQËRISË KESH SHA (FURNIZUESI PUBLIK ME SHUMICË) DHE SHOQËRISË “CEZ SHPERNDARJE” SHA (FURNIZUESI PUBLIK ME PAKICË) PËR PERIUDHËN 1.1.2011 – 31.12.2011”</w:t>
      </w:r>
    </w:p>
    <w:p w:rsidR="00086C2E" w:rsidRPr="00970C68" w:rsidRDefault="00086C2E" w:rsidP="00086C2E">
      <w:pPr>
        <w:pStyle w:val="Paragrafi"/>
        <w:rPr>
          <w:rFonts w:cs="Times New Roman"/>
          <w:sz w:val="28"/>
          <w:szCs w:val="28"/>
          <w:lang w:val="sq-AL"/>
        </w:rPr>
      </w:pPr>
    </w:p>
    <w:p w:rsidR="00086C2E" w:rsidRPr="00970C68" w:rsidRDefault="00086C2E" w:rsidP="00086C2E">
      <w:pPr>
        <w:pStyle w:val="Paragrafi"/>
        <w:rPr>
          <w:lang w:val="sq-AL"/>
        </w:rPr>
      </w:pPr>
      <w:r w:rsidRPr="00970C68">
        <w:rPr>
          <w:lang w:val="sq-AL"/>
        </w:rPr>
        <w:t xml:space="preserve">Në mbështetje të nenit 9 të ligjit nr.9072, datë 22.5.2003 “Për sektorin e energjisë elektrike”, të ndryshuar dhe nenit 16 të Rregullave të Praktikës dhe Procedurave të ERE-s, miratuar me vendimin nr.21, datë 18.3.2009, Bordi i Komisionerëve të Entit Rregullator të Energjisë (ERE), në mbledhjen e tij të datës 15.4.2011, pasi shqyrtoi ankimimin e shoqërisë “CEZ Shpërndarje” sh.a. në lidhje me kontratën e furnizimit me energji për vitin 2011 ndërmjet KESH sh.a. dhe CEZ Shpërndarje” sh.a.,  dhe relacionin e drejtorive teknike, </w:t>
      </w:r>
    </w:p>
    <w:p w:rsidR="00086C2E" w:rsidRPr="00970C68" w:rsidRDefault="00086C2E" w:rsidP="00086C2E">
      <w:pPr>
        <w:pStyle w:val="Paragrafi"/>
        <w:rPr>
          <w:lang w:val="sq-AL"/>
        </w:rPr>
      </w:pPr>
      <w:r w:rsidRPr="00970C68">
        <w:rPr>
          <w:lang w:val="sq-AL"/>
        </w:rPr>
        <w:t>Konstatoi se:</w:t>
      </w:r>
    </w:p>
    <w:p w:rsidR="00086C2E" w:rsidRPr="00970C68" w:rsidRDefault="00086C2E" w:rsidP="00086C2E">
      <w:pPr>
        <w:pStyle w:val="Paragrafi"/>
        <w:rPr>
          <w:lang w:val="sq-AL"/>
        </w:rPr>
      </w:pPr>
      <w:r w:rsidRPr="00970C68">
        <w:rPr>
          <w:lang w:val="sq-AL"/>
        </w:rPr>
        <w:t>“CEZ Shpërndarje” sh.a., me anë të këtij ankimimi, ka paraqitur në ERE të njëjtat argumente që janë diskutuar me palët për këtë çështje gjatë komunikimeve zyrtare në adresë të njëra-tjetrës, si dhe në ERE, sikurse edhe gjatë mbledhjeve të Bordit të Komisionerëve të datave 4.3.2011 dhe 31.3.2011,  në të cilën  përfaqësues të “CEZ shpërndarje” kanë qenë prezent. Ky ankimim nuk sjell asgjë të re dhe të panjohur nga Bordi i Komisionerëve të ERE-s.</w:t>
      </w:r>
    </w:p>
    <w:p w:rsidR="00086C2E" w:rsidRPr="00970C68" w:rsidRDefault="00086C2E" w:rsidP="00086C2E">
      <w:pPr>
        <w:pStyle w:val="Paragrafi"/>
        <w:rPr>
          <w:lang w:val="sq-AL"/>
        </w:rPr>
      </w:pPr>
      <w:r w:rsidRPr="00970C68">
        <w:rPr>
          <w:lang w:val="sq-AL"/>
        </w:rPr>
        <w:t xml:space="preserve">Për gjithë sa më sipër cituar, Bordi i Komisionerëve të ERE-s </w:t>
      </w:r>
    </w:p>
    <w:p w:rsidR="00086C2E" w:rsidRPr="00970C68" w:rsidRDefault="00086C2E" w:rsidP="00086C2E">
      <w:pPr>
        <w:pStyle w:val="Paragrafi"/>
        <w:rPr>
          <w:lang w:val="sq-AL"/>
        </w:rPr>
      </w:pPr>
    </w:p>
    <w:p w:rsidR="00086C2E" w:rsidRPr="00970C68" w:rsidRDefault="00086C2E" w:rsidP="00086C2E">
      <w:pPr>
        <w:pStyle w:val="VENDOSI"/>
        <w:rPr>
          <w:lang w:val="sq-AL"/>
        </w:rPr>
      </w:pPr>
      <w:r w:rsidRPr="00970C68">
        <w:rPr>
          <w:lang w:val="sq-AL"/>
        </w:rPr>
        <w:t>Vendosi:</w:t>
      </w:r>
    </w:p>
    <w:p w:rsidR="00086C2E" w:rsidRPr="00970C68" w:rsidRDefault="00086C2E" w:rsidP="00086C2E">
      <w:pPr>
        <w:pStyle w:val="Paragrafi"/>
        <w:rPr>
          <w:rFonts w:cs="Times New Roman"/>
          <w:lang w:val="sq-AL"/>
        </w:rPr>
      </w:pPr>
    </w:p>
    <w:p w:rsidR="00086C2E" w:rsidRPr="00970C68" w:rsidRDefault="00086C2E" w:rsidP="00086C2E">
      <w:pPr>
        <w:pStyle w:val="Paragrafi"/>
        <w:rPr>
          <w:lang w:val="sq-AL"/>
        </w:rPr>
      </w:pPr>
      <w:r w:rsidRPr="00970C68">
        <w:rPr>
          <w:lang w:val="sq-AL"/>
        </w:rPr>
        <w:t>1. Të mos</w:t>
      </w:r>
      <w:r>
        <w:rPr>
          <w:lang w:val="sq-AL"/>
        </w:rPr>
        <w:t xml:space="preserve"> </w:t>
      </w:r>
      <w:r w:rsidRPr="00970C68">
        <w:rPr>
          <w:lang w:val="sq-AL"/>
        </w:rPr>
        <w:t>pranojë ankimimin e shoqërisë “CEZ shpërndarje” sh.a. dhe lënien në fuqi të vendimit nr.31, datë 31.3.2011 “Për miratimin e kontratës së furnizimit me energji elektrike ndërmjet shoqërisë KESH sh.a. (furnizuesi publik me shumicë) dhe shoqërisë “CEZ shpërndarje” sh.a. (furnizuesi publik me pakicë) për periudhën 1.1.2011 – 31.12.2011”.</w:t>
      </w:r>
    </w:p>
    <w:p w:rsidR="00086C2E" w:rsidRPr="00970C68" w:rsidRDefault="00086C2E" w:rsidP="00086C2E">
      <w:pPr>
        <w:pStyle w:val="Paragrafi"/>
        <w:rPr>
          <w:lang w:val="sq-AL"/>
        </w:rPr>
      </w:pPr>
      <w:r w:rsidRPr="00970C68">
        <w:rPr>
          <w:lang w:val="sq-AL"/>
        </w:rPr>
        <w:t>2. Drejtoria Juridike dhe e Mbrojtjes së Konsumatorit të njo</w:t>
      </w:r>
      <w:r>
        <w:rPr>
          <w:lang w:val="sq-AL"/>
        </w:rPr>
        <w:t>ftojë shoqërinë ankimuese “CEZ s</w:t>
      </w:r>
      <w:r w:rsidRPr="00970C68">
        <w:rPr>
          <w:lang w:val="sq-AL"/>
        </w:rPr>
        <w:t>hpërndarje” sh.a., si dhe KESH sh.a. për vendimin e Bordit të Komisionerëve të ERE-s.</w:t>
      </w:r>
    </w:p>
    <w:p w:rsidR="00086C2E" w:rsidRPr="00970C68" w:rsidRDefault="00086C2E" w:rsidP="00086C2E">
      <w:pPr>
        <w:pStyle w:val="Paragrafi"/>
        <w:rPr>
          <w:lang w:val="sq-AL"/>
        </w:rPr>
      </w:pPr>
      <w:r w:rsidRPr="00970C68">
        <w:rPr>
          <w:lang w:val="sq-AL"/>
        </w:rPr>
        <w:t>Ky vendim hyn në fuqi menjëherë.</w:t>
      </w:r>
    </w:p>
    <w:p w:rsidR="00086C2E" w:rsidRPr="00970C68" w:rsidRDefault="00086C2E" w:rsidP="00086C2E">
      <w:pPr>
        <w:pStyle w:val="Paragrafi"/>
        <w:rPr>
          <w:lang w:val="sq-AL"/>
        </w:rPr>
      </w:pPr>
      <w:r w:rsidRPr="00970C68">
        <w:rPr>
          <w:lang w:val="sq-AL"/>
        </w:rPr>
        <w:t>Ky vendim botohet në Fletoren Zyrtare.</w:t>
      </w:r>
    </w:p>
    <w:p w:rsidR="00086C2E" w:rsidRPr="00970C68" w:rsidRDefault="00086C2E" w:rsidP="00086C2E">
      <w:pPr>
        <w:pStyle w:val="Paragrafi"/>
        <w:rPr>
          <w:lang w:val="sq-AL"/>
        </w:rPr>
      </w:pPr>
    </w:p>
    <w:p w:rsidR="00086C2E" w:rsidRPr="00970C68" w:rsidRDefault="00086C2E" w:rsidP="00086C2E">
      <w:pPr>
        <w:pStyle w:val="Autoriteti"/>
        <w:keepNext w:val="0"/>
        <w:rPr>
          <w:lang w:val="sq-AL"/>
        </w:rPr>
      </w:pPr>
      <w:r w:rsidRPr="00970C68">
        <w:rPr>
          <w:lang w:val="sq-AL"/>
        </w:rPr>
        <w:t xml:space="preserve">KRYETARE NË DETYRË </w:t>
      </w:r>
    </w:p>
    <w:p w:rsidR="00086C2E" w:rsidRPr="00970C68" w:rsidRDefault="00086C2E" w:rsidP="00086C2E">
      <w:pPr>
        <w:pStyle w:val="AutoritetiEmer"/>
        <w:rPr>
          <w:lang w:val="sq-AL"/>
        </w:rPr>
      </w:pPr>
      <w:r w:rsidRPr="00970C68">
        <w:rPr>
          <w:lang w:val="sq-AL"/>
        </w:rPr>
        <w:t xml:space="preserve"> Entela Shehaj</w:t>
      </w:r>
    </w:p>
    <w:sectPr w:rsidR="00086C2E" w:rsidRPr="00970C68">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086C2E"/>
    <w:rsid w:val="0000709E"/>
    <w:rsid w:val="000168D2"/>
    <w:rsid w:val="00034533"/>
    <w:rsid w:val="00074ECB"/>
    <w:rsid w:val="00086C2E"/>
    <w:rsid w:val="000E26BA"/>
    <w:rsid w:val="000E4149"/>
    <w:rsid w:val="0012658B"/>
    <w:rsid w:val="00134B4F"/>
    <w:rsid w:val="00142511"/>
    <w:rsid w:val="00185D06"/>
    <w:rsid w:val="001F6849"/>
    <w:rsid w:val="00215F4C"/>
    <w:rsid w:val="00227BE7"/>
    <w:rsid w:val="00234711"/>
    <w:rsid w:val="00241BA6"/>
    <w:rsid w:val="0026534D"/>
    <w:rsid w:val="00266926"/>
    <w:rsid w:val="00285E2F"/>
    <w:rsid w:val="002908B3"/>
    <w:rsid w:val="002A7911"/>
    <w:rsid w:val="002E20F9"/>
    <w:rsid w:val="00332540"/>
    <w:rsid w:val="003405C6"/>
    <w:rsid w:val="0034498D"/>
    <w:rsid w:val="003928A8"/>
    <w:rsid w:val="003B0C26"/>
    <w:rsid w:val="003B51C0"/>
    <w:rsid w:val="003E172F"/>
    <w:rsid w:val="003E4EDB"/>
    <w:rsid w:val="003E73B7"/>
    <w:rsid w:val="003F1DE3"/>
    <w:rsid w:val="004122D8"/>
    <w:rsid w:val="0041784A"/>
    <w:rsid w:val="00446661"/>
    <w:rsid w:val="004C170D"/>
    <w:rsid w:val="004D3981"/>
    <w:rsid w:val="004F3623"/>
    <w:rsid w:val="00517769"/>
    <w:rsid w:val="00535E88"/>
    <w:rsid w:val="00544CAA"/>
    <w:rsid w:val="0054530E"/>
    <w:rsid w:val="00550623"/>
    <w:rsid w:val="00570352"/>
    <w:rsid w:val="0058271B"/>
    <w:rsid w:val="00587F36"/>
    <w:rsid w:val="005A0F2D"/>
    <w:rsid w:val="005B1039"/>
    <w:rsid w:val="005E511C"/>
    <w:rsid w:val="005F7E26"/>
    <w:rsid w:val="00614E18"/>
    <w:rsid w:val="006568F6"/>
    <w:rsid w:val="006874BA"/>
    <w:rsid w:val="00693FF3"/>
    <w:rsid w:val="006A303A"/>
    <w:rsid w:val="0071376D"/>
    <w:rsid w:val="00752C50"/>
    <w:rsid w:val="007877D3"/>
    <w:rsid w:val="007B4080"/>
    <w:rsid w:val="007F180F"/>
    <w:rsid w:val="00817EE7"/>
    <w:rsid w:val="008634B8"/>
    <w:rsid w:val="0089132F"/>
    <w:rsid w:val="008A6769"/>
    <w:rsid w:val="008B4EF7"/>
    <w:rsid w:val="008E30D1"/>
    <w:rsid w:val="008E4B9F"/>
    <w:rsid w:val="008E6154"/>
    <w:rsid w:val="008F56A5"/>
    <w:rsid w:val="00907285"/>
    <w:rsid w:val="00934964"/>
    <w:rsid w:val="009438E2"/>
    <w:rsid w:val="009474C3"/>
    <w:rsid w:val="009A651E"/>
    <w:rsid w:val="009B02F1"/>
    <w:rsid w:val="00A02EB2"/>
    <w:rsid w:val="00A07987"/>
    <w:rsid w:val="00A56BD5"/>
    <w:rsid w:val="00A857EE"/>
    <w:rsid w:val="00A94FF9"/>
    <w:rsid w:val="00A95AD7"/>
    <w:rsid w:val="00AC27E2"/>
    <w:rsid w:val="00B1514A"/>
    <w:rsid w:val="00B179D9"/>
    <w:rsid w:val="00B4631C"/>
    <w:rsid w:val="00B55AB4"/>
    <w:rsid w:val="00B71725"/>
    <w:rsid w:val="00BA2385"/>
    <w:rsid w:val="00BD753C"/>
    <w:rsid w:val="00BF1117"/>
    <w:rsid w:val="00C13704"/>
    <w:rsid w:val="00CD41A2"/>
    <w:rsid w:val="00CD6648"/>
    <w:rsid w:val="00D13872"/>
    <w:rsid w:val="00D35D7B"/>
    <w:rsid w:val="00D63723"/>
    <w:rsid w:val="00D71170"/>
    <w:rsid w:val="00D72107"/>
    <w:rsid w:val="00DA7390"/>
    <w:rsid w:val="00DC37A3"/>
    <w:rsid w:val="00DD41D0"/>
    <w:rsid w:val="00DD54D4"/>
    <w:rsid w:val="00E20AA5"/>
    <w:rsid w:val="00E4648D"/>
    <w:rsid w:val="00E87941"/>
    <w:rsid w:val="00E87F11"/>
    <w:rsid w:val="00E93AA1"/>
    <w:rsid w:val="00EF672B"/>
    <w:rsid w:val="00F025AC"/>
    <w:rsid w:val="00F31BCD"/>
    <w:rsid w:val="00F4682B"/>
    <w:rsid w:val="00F7295B"/>
    <w:rsid w:val="00F74838"/>
    <w:rsid w:val="00F91D2E"/>
    <w:rsid w:val="00F9691A"/>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E9376E9E-AE1C-46F7-BF0C-77D2250AB1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303A"/>
    <w:rPr>
      <w:sz w:val="24"/>
      <w:szCs w:val="24"/>
    </w:rPr>
  </w:style>
  <w:style w:type="paragraph" w:styleId="Heading1">
    <w:name w:val="heading 1"/>
    <w:basedOn w:val="Normal"/>
    <w:next w:val="Normal"/>
    <w:qFormat/>
    <w:rsid w:val="006A303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6A303A"/>
    <w:pPr>
      <w:spacing w:before="200"/>
      <w:outlineLvl w:val="1"/>
    </w:pPr>
    <w:rPr>
      <w:rFonts w:ascii="Cambria" w:eastAsia="MS Mincho"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eastAsia="MS Mincho" w:hAnsi="Cambria" w:cs="Cambria"/>
      <w:b/>
      <w:bCs/>
    </w:rPr>
  </w:style>
  <w:style w:type="paragraph" w:styleId="Heading4">
    <w:name w:val="heading 4"/>
    <w:basedOn w:val="Normal"/>
    <w:next w:val="Normal"/>
    <w:qFormat/>
    <w:rsid w:val="006A303A"/>
    <w:pPr>
      <w:spacing w:before="200"/>
      <w:outlineLvl w:val="3"/>
    </w:pPr>
    <w:rPr>
      <w:rFonts w:ascii="Cambria" w:eastAsia="MS Mincho" w:hAnsi="Cambria" w:cs="Cambria"/>
      <w:b/>
      <w:bCs/>
      <w:i/>
      <w:iCs/>
    </w:rPr>
  </w:style>
  <w:style w:type="paragraph" w:styleId="Heading5">
    <w:name w:val="heading 5"/>
    <w:basedOn w:val="Normal"/>
    <w:next w:val="Normal"/>
    <w:qFormat/>
    <w:rsid w:val="006A303A"/>
    <w:pPr>
      <w:spacing w:before="200"/>
      <w:outlineLvl w:val="4"/>
    </w:pPr>
    <w:rPr>
      <w:rFonts w:ascii="Cambria" w:eastAsia="MS Mincho" w:hAnsi="Cambria" w:cs="Cambria"/>
      <w:b/>
      <w:bCs/>
      <w:color w:val="7F7F7F"/>
    </w:rPr>
  </w:style>
  <w:style w:type="paragraph" w:styleId="Heading6">
    <w:name w:val="heading 6"/>
    <w:basedOn w:val="Normal"/>
    <w:next w:val="Normal"/>
    <w:qFormat/>
    <w:rsid w:val="006A303A"/>
    <w:pPr>
      <w:spacing w:line="271" w:lineRule="auto"/>
      <w:outlineLvl w:val="5"/>
    </w:pPr>
    <w:rPr>
      <w:rFonts w:ascii="Cambria" w:eastAsia="MS Mincho" w:hAnsi="Cambria" w:cs="Cambria"/>
      <w:b/>
      <w:bCs/>
      <w:i/>
      <w:iCs/>
      <w:color w:val="7F7F7F"/>
    </w:rPr>
  </w:style>
  <w:style w:type="paragraph" w:styleId="Heading7">
    <w:name w:val="heading 7"/>
    <w:basedOn w:val="Normal"/>
    <w:next w:val="Normal"/>
    <w:qFormat/>
    <w:rsid w:val="006A303A"/>
    <w:pPr>
      <w:outlineLvl w:val="6"/>
    </w:pPr>
    <w:rPr>
      <w:rFonts w:ascii="Cambria" w:eastAsia="MS Mincho" w:hAnsi="Cambria" w:cs="Cambria"/>
      <w:i/>
      <w:iCs/>
    </w:rPr>
  </w:style>
  <w:style w:type="paragraph" w:styleId="Heading8">
    <w:name w:val="heading 8"/>
    <w:basedOn w:val="Normal"/>
    <w:next w:val="Normal"/>
    <w:qFormat/>
    <w:rsid w:val="006A303A"/>
    <w:pPr>
      <w:outlineLvl w:val="7"/>
    </w:pPr>
    <w:rPr>
      <w:rFonts w:ascii="Cambria" w:eastAsia="MS Mincho" w:hAnsi="Cambria" w:cs="Cambria"/>
      <w:sz w:val="20"/>
      <w:szCs w:val="20"/>
    </w:rPr>
  </w:style>
  <w:style w:type="paragraph" w:styleId="Heading9">
    <w:name w:val="heading 9"/>
    <w:basedOn w:val="Normal"/>
    <w:next w:val="Normal"/>
    <w:qFormat/>
    <w:rsid w:val="006A303A"/>
    <w:pPr>
      <w:outlineLvl w:val="8"/>
    </w:pPr>
    <w:rPr>
      <w:rFonts w:ascii="Cambria" w:eastAsia="MS Mincho" w:hAnsi="Cambria" w:cs="Cambria"/>
      <w:i/>
      <w:iCs/>
      <w:spacing w:val="5"/>
      <w:sz w:val="20"/>
      <w:szCs w:val="20"/>
    </w:rPr>
  </w:style>
  <w:style w:type="character" w:default="1" w:styleId="DefaultParagraphFont">
    <w:name w:val="Default Paragraph Font"/>
    <w:semiHidden/>
    <w:unhideWhenUsed/>
    <w:rsid w:val="006A303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6A303A"/>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eastAsia="MS Mincho"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eastAsia="MS Mincho"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eastAsia="MS Mincho"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eastAsia="MS Mincho"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eastAsia="MS Mincho"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rPr>
      <w:rFonts w:eastAsia="MS Mincho"/>
    </w:r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eastAsia="MS Mincho"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eastAsia="MS Mincho"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eastAsia="MS Mincho"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eastAsia="MS Mincho" w:hAnsi="Book Antiqua" w:cs="Book Antiqua"/>
      <w:sz w:val="22"/>
      <w:szCs w:val="22"/>
      <w:lang w:val="sq-AL"/>
    </w:rPr>
  </w:style>
  <w:style w:type="paragraph" w:customStyle="1" w:styleId="Char">
    <w:name w:val="Char"/>
    <w:basedOn w:val="Normal"/>
    <w:rsid w:val="006A303A"/>
    <w:pPr>
      <w:spacing w:after="160" w:line="240" w:lineRule="exact"/>
    </w:pPr>
    <w:rPr>
      <w:rFonts w:ascii="Tahoma" w:eastAsia="MS Mincho"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eastAsia="MS Mincho"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rFonts w:eastAsia="MS Mincho"/>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rsid w:val="006A303A"/>
    <w:pPr>
      <w:tabs>
        <w:tab w:val="center" w:pos="4320"/>
        <w:tab w:val="right" w:pos="8640"/>
      </w:tabs>
    </w:pPr>
    <w:rPr>
      <w:rFonts w:eastAsia="MS Mincho"/>
    </w:r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rFonts w:eastAsia="MS Mincho"/>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rPr>
      <w:rFonts w:eastAsia="MS Mincho"/>
    </w:r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eastAsia="MS Mincho" w:hAnsi="CG Times" w:cs="CG Times"/>
      <w:kern w:val="28"/>
      <w:sz w:val="22"/>
      <w:szCs w:val="22"/>
      <w:lang w:val="en-GB"/>
    </w:rPr>
  </w:style>
  <w:style w:type="paragraph" w:customStyle="1" w:styleId="Listbullet">
    <w:name w:val="List bullet"/>
    <w:basedOn w:val="Normal"/>
    <w:rsid w:val="006A303A"/>
    <w:pPr>
      <w:widowControl w:val="0"/>
      <w:spacing w:after="120"/>
    </w:pPr>
    <w:rPr>
      <w:rFonts w:ascii="Trebuchet MS" w:eastAsia="MS Mincho" w:hAnsi="Trebuchet MS" w:cs="Trebuchet MS"/>
      <w:sz w:val="22"/>
      <w:szCs w:val="22"/>
      <w:lang w:val="sq-AL" w:eastAsia="zh-CN"/>
    </w:rPr>
  </w:style>
  <w:style w:type="paragraph" w:styleId="ListBullet2">
    <w:name w:val="List Bullet 2"/>
    <w:basedOn w:val="Normal"/>
    <w:rsid w:val="006A303A"/>
    <w:pPr>
      <w:numPr>
        <w:numId w:val="2"/>
      </w:numPr>
    </w:pPr>
    <w:rPr>
      <w:rFonts w:eastAsia="MS Mincho"/>
    </w:r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rFonts w:eastAsia="MS Mincho"/>
      <w:sz w:val="20"/>
      <w:szCs w:val="20"/>
    </w:rPr>
  </w:style>
  <w:style w:type="paragraph" w:customStyle="1" w:styleId="MediumGrid2-Accent21">
    <w:name w:val="Medium Grid 2 - Accent 21"/>
    <w:basedOn w:val="Normal"/>
    <w:next w:val="Normal"/>
    <w:rsid w:val="006A303A"/>
    <w:pPr>
      <w:spacing w:before="200"/>
      <w:ind w:left="360" w:right="360"/>
    </w:pPr>
    <w:rPr>
      <w:rFonts w:eastAsia="MS Mincho"/>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rFonts w:eastAsia="MS Mincho"/>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rPr>
      <w:rFonts w:eastAsia="MS Mincho"/>
    </w:r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rPr>
      <w:rFonts w:eastAsia="MS Mincho"/>
    </w:rPr>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307</Words>
  <Characters>1756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VENDIM </vt:lpstr>
    </vt:vector>
  </TitlesOfParts>
  <Company>QPZ</Company>
  <LinksUpToDate>false</LinksUpToDate>
  <CharactersWithSpaces>2059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 </dc:title>
  <dc:subject/>
  <dc:creator>n.fagu</dc:creator>
  <cp:keywords/>
  <dc:description/>
  <cp:lastModifiedBy>QBZ Admin</cp:lastModifiedBy>
  <cp:revision>2</cp:revision>
  <dcterms:created xsi:type="dcterms:W3CDTF">2019-03-19T14:19:00Z</dcterms:created>
  <dcterms:modified xsi:type="dcterms:W3CDTF">2019-03-19T14:19:00Z</dcterms:modified>
</cp:coreProperties>
</file>