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EEC" w:rsidRPr="000B086C" w:rsidRDefault="00F63EEC" w:rsidP="00F63EEC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F63EEC" w:rsidRPr="000B086C" w:rsidRDefault="00F63EEC" w:rsidP="00F63EEC">
      <w:pPr>
        <w:pStyle w:val="NumriData"/>
        <w:rPr>
          <w:lang w:val="sq-AL"/>
        </w:rPr>
      </w:pPr>
      <w:r w:rsidRPr="000B086C">
        <w:rPr>
          <w:lang w:val="sq-AL"/>
        </w:rPr>
        <w:t>Nr.55, datë 22.6.2011</w:t>
      </w:r>
    </w:p>
    <w:p w:rsidR="00F63EEC" w:rsidRPr="004F2630" w:rsidRDefault="00F63EEC" w:rsidP="00F63EEC">
      <w:pPr>
        <w:pStyle w:val="Paragrafi"/>
        <w:rPr>
          <w:sz w:val="18"/>
          <w:lang w:val="sq-AL"/>
        </w:rPr>
      </w:pPr>
    </w:p>
    <w:p w:rsidR="00F63EEC" w:rsidRPr="000B086C" w:rsidRDefault="00F63EEC" w:rsidP="00F63EEC">
      <w:pPr>
        <w:pStyle w:val="Titulli"/>
        <w:rPr>
          <w:lang w:val="sq-AL"/>
        </w:rPr>
      </w:pPr>
      <w:r w:rsidRPr="000B086C">
        <w:rPr>
          <w:lang w:val="sq-AL"/>
        </w:rPr>
        <w:t xml:space="preserve"> PËR FILLIMIN E PROCEDURAVE TË LICENCIMIT TË SHOQËRISË “EURON energy GROUP” SHPK NË AKTIVITETIN E TREGTIMIT TË ENERGJISË ELEKTRIKE</w:t>
      </w:r>
    </w:p>
    <w:p w:rsidR="00F63EEC" w:rsidRPr="004F2630" w:rsidRDefault="00F63EEC" w:rsidP="00F63EEC">
      <w:pPr>
        <w:pStyle w:val="Paragrafi"/>
        <w:rPr>
          <w:sz w:val="16"/>
          <w:lang w:val="sq-AL"/>
        </w:rPr>
      </w:pP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Në mbështetje të nenit 8 pika 2 germa “a”, neneve 9 dhe 13 pikat 1, germa “d” të ligjit nr.9072, datë 22.5.2003 “Për sektorin e energjisë elektrike”, të ndryshuar, nenit 4 pika 1 germa “g”, neneve 8 dhe 10, pikat 1, dhe 3 të rregullores “Për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licencave”, të miratuar me vendimin e Bordit të Komisionerëve nr.108</w:t>
      </w:r>
      <w:r>
        <w:rPr>
          <w:lang w:val="sq-AL"/>
        </w:rPr>
        <w:t>,</w:t>
      </w:r>
      <w:r w:rsidRPr="000B086C">
        <w:rPr>
          <w:lang w:val="sq-AL"/>
        </w:rPr>
        <w:t xml:space="preserve"> datë 9.9.2008, dhe nenit 18, pikat 1, germa a, dhe 3 të Rregullave të Praktikës dhe Procedurave të ERE-s, miratuar me </w:t>
      </w:r>
      <w:r>
        <w:rPr>
          <w:lang w:val="sq-AL"/>
        </w:rPr>
        <w:t>v</w:t>
      </w:r>
      <w:r w:rsidRPr="000B086C">
        <w:rPr>
          <w:lang w:val="sq-AL"/>
        </w:rPr>
        <w:t>endimin e Bordit të Komisioner</w:t>
      </w:r>
      <w:r w:rsidRPr="009C5624">
        <w:rPr>
          <w:lang w:val="sq-AL"/>
        </w:rPr>
        <w:t>ë</w:t>
      </w:r>
      <w:r w:rsidRPr="000B086C">
        <w:rPr>
          <w:lang w:val="sq-AL"/>
        </w:rPr>
        <w:t xml:space="preserve">ve nr.21, datë 18.3.2009, Bordi i Komisionerëve të Entit Rregullator të Energjisë (ERE), në mbledhjen e tij të datës 22.6.2011, </w:t>
      </w:r>
      <w:r>
        <w:rPr>
          <w:lang w:val="sq-AL"/>
        </w:rPr>
        <w:t>p</w:t>
      </w:r>
      <w:r w:rsidRPr="000B086C">
        <w:rPr>
          <w:lang w:val="sq-AL"/>
        </w:rPr>
        <w:t>asi shqyrtoi kërkesën e shoqërisë “Euron Energy Group” sh</w:t>
      </w:r>
      <w:r>
        <w:rPr>
          <w:lang w:val="sq-AL"/>
        </w:rPr>
        <w:t>.</w:t>
      </w:r>
      <w:r w:rsidRPr="000B086C">
        <w:rPr>
          <w:lang w:val="sq-AL"/>
        </w:rPr>
        <w:t>p</w:t>
      </w:r>
      <w:r>
        <w:rPr>
          <w:lang w:val="sq-AL"/>
        </w:rPr>
        <w:t>.</w:t>
      </w:r>
      <w:r w:rsidRPr="000B086C">
        <w:rPr>
          <w:lang w:val="sq-AL"/>
        </w:rPr>
        <w:t>k</w:t>
      </w:r>
      <w:r>
        <w:rPr>
          <w:lang w:val="sq-AL"/>
        </w:rPr>
        <w:t>.,</w:t>
      </w:r>
      <w:r w:rsidRPr="000B086C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0B086C">
        <w:rPr>
          <w:lang w:val="sq-AL"/>
        </w:rPr>
        <w:t>encimit dhe Monitorimit të Tregut dhe Drejtorisë Juridike dhe Mbrojtjes së Konsumatorit mbi li</w:t>
      </w:r>
      <w:r>
        <w:rPr>
          <w:lang w:val="sq-AL"/>
        </w:rPr>
        <w:t>c</w:t>
      </w:r>
      <w:r w:rsidRPr="000B086C">
        <w:rPr>
          <w:lang w:val="sq-AL"/>
        </w:rPr>
        <w:t xml:space="preserve">encimin në aktivitetin e Tregtimit të Energjisë Elektrike, 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Konstatoi se: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Aplikimi i shoqërisë “Euron Energy Group” sh</w:t>
      </w:r>
      <w:r>
        <w:rPr>
          <w:lang w:val="sq-AL"/>
        </w:rPr>
        <w:t>.</w:t>
      </w:r>
      <w:r w:rsidRPr="000B086C">
        <w:rPr>
          <w:lang w:val="sq-AL"/>
        </w:rPr>
        <w:t>p</w:t>
      </w:r>
      <w:r>
        <w:rPr>
          <w:lang w:val="sq-AL"/>
        </w:rPr>
        <w:t>.</w:t>
      </w:r>
      <w:r w:rsidRPr="000B086C">
        <w:rPr>
          <w:lang w:val="sq-AL"/>
        </w:rPr>
        <w:t>k</w:t>
      </w:r>
      <w:r>
        <w:rPr>
          <w:lang w:val="sq-AL"/>
        </w:rPr>
        <w:t>.</w:t>
      </w:r>
      <w:r w:rsidRPr="000B086C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</w:t>
      </w:r>
      <w:r w:rsidRPr="000B086C">
        <w:rPr>
          <w:lang w:val="sq-AL"/>
        </w:rPr>
        <w:t>Për procedurat e li</w:t>
      </w:r>
      <w:r>
        <w:rPr>
          <w:lang w:val="sq-AL"/>
        </w:rPr>
        <w:t>c</w:t>
      </w:r>
      <w:r w:rsidRPr="000B086C">
        <w:rPr>
          <w:lang w:val="sq-AL"/>
        </w:rPr>
        <w:t>en</w:t>
      </w:r>
      <w:r>
        <w:rPr>
          <w:lang w:val="sq-AL"/>
        </w:rPr>
        <w:t>c</w:t>
      </w:r>
      <w:r w:rsidRPr="000B086C">
        <w:rPr>
          <w:lang w:val="sq-AL"/>
        </w:rPr>
        <w:t>imit, modifikimit, transferimit të plotë/të pjesshëm dhe rinovimit të licencave</w:t>
      </w:r>
      <w:r>
        <w:rPr>
          <w:lang w:val="sq-AL"/>
        </w:rPr>
        <w:t>”,</w:t>
      </w:r>
      <w:r w:rsidRPr="000B086C">
        <w:rPr>
          <w:lang w:val="sq-AL"/>
        </w:rPr>
        <w:t xml:space="preserve"> si më poshtë: 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- Formati i aplikimit (neni 9, pika 1) është paraqitur dhe plotësuar në mënyrë korrekte.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- Dokumentacioni juridik, administrativ dhe pronësor (neni 9, pika 2) është paraqitur dhe plotësuar në mënyrë korrekte.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- Dokumentacioni financiar dhe fiskal (neni 9, pika 3) është paraqitur dhe plotësuar në mënyrë korrekte.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- Doku</w:t>
      </w:r>
      <w:r>
        <w:rPr>
          <w:lang w:val="sq-AL"/>
        </w:rPr>
        <w:t>mentacioni teknik (neni 9, pika</w:t>
      </w:r>
      <w:r w:rsidRPr="000B086C">
        <w:rPr>
          <w:lang w:val="sq-AL"/>
        </w:rPr>
        <w:t xml:space="preserve"> 4.10) është paraqitur dhe plotësuar në mënyrë korrekte.</w:t>
      </w:r>
    </w:p>
    <w:p w:rsidR="00F63EE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 xml:space="preserve">Për gjithë sa më sipër cituar, Bordi i Komisionerëve të ERE-s </w:t>
      </w:r>
    </w:p>
    <w:p w:rsidR="00F63EEC" w:rsidRPr="000B086C" w:rsidRDefault="00F63EEC" w:rsidP="00F63EEC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F63EEC" w:rsidRPr="00F13C8D" w:rsidRDefault="00F63EEC" w:rsidP="00F63EEC">
      <w:pPr>
        <w:pStyle w:val="Paragrafi"/>
        <w:rPr>
          <w:sz w:val="18"/>
          <w:lang w:val="sq-AL"/>
        </w:rPr>
      </w:pP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1. Fillimin e procedurave të shqyrtimit të aplikimit për licencë të shoqërisë “Euron Energy Group” sh</w:t>
      </w:r>
      <w:r>
        <w:rPr>
          <w:lang w:val="sq-AL"/>
        </w:rPr>
        <w:t>.</w:t>
      </w:r>
      <w:r w:rsidRPr="000B086C">
        <w:rPr>
          <w:lang w:val="sq-AL"/>
        </w:rPr>
        <w:t>p</w:t>
      </w:r>
      <w:r>
        <w:rPr>
          <w:lang w:val="sq-AL"/>
        </w:rPr>
        <w:t>.</w:t>
      </w:r>
      <w:r w:rsidRPr="000B086C">
        <w:rPr>
          <w:lang w:val="sq-AL"/>
        </w:rPr>
        <w:t>k</w:t>
      </w:r>
      <w:r>
        <w:rPr>
          <w:lang w:val="sq-AL"/>
        </w:rPr>
        <w:t>.,</w:t>
      </w:r>
      <w:r w:rsidRPr="000B086C">
        <w:rPr>
          <w:lang w:val="sq-AL"/>
        </w:rPr>
        <w:t xml:space="preserve"> në aktivitetin e tregtimit të energjisë elektrike.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2. Drejtoria e Licencimit dhe Monitorimit të Tregut të njoftojnë aplikuesin për vendimin e Bordit të Komisionerëve të ERE-s</w:t>
      </w:r>
      <w:r>
        <w:rPr>
          <w:lang w:val="sq-AL"/>
        </w:rPr>
        <w:t>.</w:t>
      </w:r>
      <w:r w:rsidRPr="000B086C">
        <w:rPr>
          <w:lang w:val="sq-AL"/>
        </w:rPr>
        <w:t> 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Ky vendim hyn në fuqi menjëherë.</w:t>
      </w:r>
    </w:p>
    <w:p w:rsidR="00F63EEC" w:rsidRPr="000B086C" w:rsidRDefault="00F63EEC" w:rsidP="00F63EEC">
      <w:pPr>
        <w:pStyle w:val="Paragrafi"/>
        <w:rPr>
          <w:lang w:val="sq-AL"/>
        </w:rPr>
      </w:pPr>
      <w:r w:rsidRPr="000B086C">
        <w:rPr>
          <w:lang w:val="sq-AL"/>
        </w:rPr>
        <w:t>Ky vendim botohet në Fletoren Zyrtare.</w:t>
      </w:r>
    </w:p>
    <w:p w:rsidR="00F63EEC" w:rsidRPr="000B086C" w:rsidRDefault="00F63EEC" w:rsidP="00F63EEC">
      <w:pPr>
        <w:pStyle w:val="Paragrafi"/>
        <w:rPr>
          <w:lang w:val="sq-AL"/>
        </w:rPr>
      </w:pPr>
    </w:p>
    <w:p w:rsidR="00F63EEC" w:rsidRPr="000B086C" w:rsidRDefault="00F63EEC" w:rsidP="00F63EEC">
      <w:pPr>
        <w:pStyle w:val="Autoriteti"/>
        <w:rPr>
          <w:lang w:val="sq-AL"/>
        </w:rPr>
      </w:pPr>
      <w:r w:rsidRPr="000B086C">
        <w:rPr>
          <w:lang w:val="sq-AL"/>
        </w:rPr>
        <w:t>KryetarE në detyrë</w:t>
      </w:r>
    </w:p>
    <w:p w:rsidR="00F63EEC" w:rsidRPr="000B086C" w:rsidRDefault="00F63EEC" w:rsidP="00F63EEC">
      <w:pPr>
        <w:pStyle w:val="AutoritetiEmer"/>
        <w:rPr>
          <w:lang w:val="sq-AL"/>
        </w:rPr>
      </w:pPr>
      <w:r w:rsidRPr="000B086C">
        <w:rPr>
          <w:lang w:val="sq-AL"/>
        </w:rPr>
        <w:t xml:space="preserve">Entela Shehaj </w:t>
      </w:r>
    </w:p>
    <w:sectPr w:rsidR="00F63EEC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63EEC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62C1D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63EEC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466E3E-0566-48F8-897D-9F49C77F1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F63E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F63E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