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8D2" w:rsidRPr="00B4026F" w:rsidRDefault="00E478D2" w:rsidP="00E478D2">
      <w:pPr>
        <w:pStyle w:val="Akti"/>
      </w:pPr>
      <w:bookmarkStart w:id="0" w:name="_GoBack"/>
      <w:bookmarkEnd w:id="0"/>
      <w:r w:rsidRPr="00B4026F">
        <w:t>VENDIM</w:t>
      </w:r>
    </w:p>
    <w:p w:rsidR="00E478D2" w:rsidRPr="00B4026F" w:rsidRDefault="00E478D2" w:rsidP="00E478D2">
      <w:pPr>
        <w:pStyle w:val="NumriData"/>
      </w:pPr>
      <w:r w:rsidRPr="00B4026F">
        <w:t>Nr.79</w:t>
      </w:r>
      <w:r>
        <w:t>, d</w:t>
      </w:r>
      <w:r w:rsidRPr="00B4026F">
        <w:t>atë 24</w:t>
      </w:r>
      <w:r>
        <w:t>.</w:t>
      </w:r>
      <w:r w:rsidRPr="00B4026F">
        <w:t>8.2011</w:t>
      </w:r>
    </w:p>
    <w:p w:rsidR="00E478D2" w:rsidRPr="00B4026F" w:rsidRDefault="00E478D2" w:rsidP="00E478D2">
      <w:pPr>
        <w:pStyle w:val="Paragrafi"/>
      </w:pPr>
    </w:p>
    <w:p w:rsidR="00E478D2" w:rsidRPr="00B4026F" w:rsidRDefault="00E478D2" w:rsidP="00E478D2">
      <w:pPr>
        <w:pStyle w:val="Titulli"/>
      </w:pPr>
      <w:r w:rsidRPr="00B4026F">
        <w:t>PËR</w:t>
      </w:r>
      <w:r>
        <w:t xml:space="preserve"> </w:t>
      </w:r>
      <w:r w:rsidRPr="00B4026F">
        <w:t>FILLIMIN E PROCEDURAVE PËR SHQYRTIMIN E KËRK</w:t>
      </w:r>
      <w:r>
        <w:t>ESËS SË SHOQËRISË “SELCA ENERGY”</w:t>
      </w:r>
      <w:r w:rsidRPr="00B4026F">
        <w:t xml:space="preserve"> SHPK, PËR LËNIE PENG SI KOLATERAL TË HEC/SELCA</w:t>
      </w:r>
    </w:p>
    <w:p w:rsidR="00E478D2" w:rsidRPr="00B4026F" w:rsidRDefault="00E478D2" w:rsidP="00E478D2">
      <w:pPr>
        <w:pStyle w:val="Paragrafi"/>
      </w:pPr>
    </w:p>
    <w:p w:rsidR="00E478D2" w:rsidRPr="00B4026F" w:rsidRDefault="00E478D2" w:rsidP="00E478D2">
      <w:pPr>
        <w:pStyle w:val="BazLigjPropozues"/>
      </w:pPr>
      <w:r>
        <w:t>Në mbështetje të ligjit nr.9072, datë 22.</w:t>
      </w:r>
      <w:r w:rsidRPr="00B4026F">
        <w:t>5.2003 “Për sektorin e energjisë elektrike”</w:t>
      </w:r>
      <w:r>
        <w:t>, të ndryshuar, nenit 20, pika 1 të</w:t>
      </w:r>
      <w:r w:rsidRPr="00B4026F">
        <w:t xml:space="preserve"> “Rregullores së procedurave të tran</w:t>
      </w:r>
      <w:r>
        <w:t>sferimit të aseteve të të licencuarve”,</w:t>
      </w:r>
      <w:r w:rsidRPr="00B4026F">
        <w:t xml:space="preserve"> miratuar me </w:t>
      </w:r>
      <w:r>
        <w:t>vendimin e Bordit të</w:t>
      </w:r>
      <w:r w:rsidRPr="00B4026F">
        <w:t xml:space="preserve"> Komisionerëve të ERE-s nr.89, datë 13.12.2006, neni</w:t>
      </w:r>
      <w:r>
        <w:t>t</w:t>
      </w:r>
      <w:r w:rsidRPr="00B4026F">
        <w:t xml:space="preserve"> 8, si dhe pikës 1.3 dhe 1.6 të</w:t>
      </w:r>
      <w:r>
        <w:t xml:space="preserve"> licencës me seri PV10P për</w:t>
      </w:r>
      <w:r w:rsidRPr="00B4026F">
        <w:t xml:space="preserve"> prodhimin e energjisë elektrike</w:t>
      </w:r>
      <w:r>
        <w:t>, nenit 18, pika 1, ge</w:t>
      </w:r>
      <w:r w:rsidRPr="00B4026F">
        <w:t xml:space="preserve">rma “a”, të </w:t>
      </w:r>
      <w:r>
        <w:t>“Rregullave të praktikës dhe proc</w:t>
      </w:r>
      <w:r w:rsidRPr="00B4026F">
        <w:t>edurave të ERE-s</w:t>
      </w:r>
      <w:r>
        <w:t>”</w:t>
      </w:r>
      <w:r w:rsidRPr="00B4026F">
        <w:t>, miratuar me vendimin e Bordit t</w:t>
      </w:r>
      <w:r>
        <w:t>ë Komisionerëve nr.21, datë 18.</w:t>
      </w:r>
      <w:r w:rsidRPr="00B4026F">
        <w:t>3.2009, Bordi</w:t>
      </w:r>
      <w:r>
        <w:t xml:space="preserve"> i </w:t>
      </w:r>
      <w:r w:rsidRPr="00B4026F">
        <w:t>Komisionerëve të Entit Rreg</w:t>
      </w:r>
      <w:r>
        <w:t>ullator të Energjisë (ER</w:t>
      </w:r>
      <w:r w:rsidRPr="00B4026F">
        <w:t>E), në mbledhjen e tij të datës 24</w:t>
      </w:r>
      <w:r>
        <w:t>.8.2011, p</w:t>
      </w:r>
      <w:r w:rsidRPr="00B4026F">
        <w:t xml:space="preserve">asi shqyrtoi aplikimin e paraqitur nga shoqëria “Selca </w:t>
      </w:r>
      <w:r>
        <w:t>Energy</w:t>
      </w:r>
      <w:r w:rsidRPr="00B4026F">
        <w:t>” sh.p.k</w:t>
      </w:r>
      <w:r>
        <w:t>.</w:t>
      </w:r>
      <w:r w:rsidRPr="00B4026F">
        <w:t>, si dh</w:t>
      </w:r>
      <w:r>
        <w:t>e relacionin e Drejtorisë së Licenc</w:t>
      </w:r>
      <w:r w:rsidRPr="00B4026F">
        <w:t>imit dhe Monitorimit të Tregut dhe Drejtorisë Juridike dhe Mbrojtjes së Konsumatorit p</w:t>
      </w:r>
      <w:r>
        <w:t>ër lënien peng të asetit të hec</w:t>
      </w:r>
      <w:r w:rsidRPr="00B4026F">
        <w:t>–“Selca” si kolateral pranë Bank</w:t>
      </w:r>
      <w:r>
        <w:t>ë</w:t>
      </w:r>
      <w:r w:rsidRPr="00B4026F">
        <w:t>s Credins,</w:t>
      </w:r>
    </w:p>
    <w:p w:rsidR="00E478D2" w:rsidRPr="00B4026F" w:rsidRDefault="00E478D2" w:rsidP="00E478D2">
      <w:pPr>
        <w:pStyle w:val="Paragrafi"/>
      </w:pPr>
      <w:r>
        <w:t>k</w:t>
      </w:r>
      <w:r w:rsidRPr="00B4026F">
        <w:t xml:space="preserve">onstatoi se: </w:t>
      </w:r>
    </w:p>
    <w:p w:rsidR="00E478D2" w:rsidRPr="00B4026F" w:rsidRDefault="00E478D2" w:rsidP="00E478D2">
      <w:pPr>
        <w:pStyle w:val="Paragrafi"/>
      </w:pPr>
      <w:r w:rsidRPr="00B4026F">
        <w:t>Aplikimi</w:t>
      </w:r>
      <w:r>
        <w:t xml:space="preserve"> i </w:t>
      </w:r>
      <w:r w:rsidRPr="00B4026F">
        <w:t xml:space="preserve">shoqërisë “Selca </w:t>
      </w:r>
      <w:r>
        <w:t>Energy</w:t>
      </w:r>
      <w:r w:rsidRPr="00B4026F">
        <w:t>” sh.p.k</w:t>
      </w:r>
      <w:r>
        <w:t>.</w:t>
      </w:r>
      <w:r w:rsidRPr="00B4026F">
        <w:t xml:space="preserve">  plotëson kër</w:t>
      </w:r>
      <w:r>
        <w:t>kesat e parashikuara nga ERE në “Rregulloren e proc</w:t>
      </w:r>
      <w:r w:rsidRPr="00B4026F">
        <w:t>edurave të transferimit të aseteve të t</w:t>
      </w:r>
      <w:r>
        <w:t>ë licencuarve”, të miratuar me v</w:t>
      </w:r>
      <w:r w:rsidRPr="00B4026F">
        <w:t xml:space="preserve">endimin e </w:t>
      </w:r>
      <w:r>
        <w:t>Bordit të Komisionerë</w:t>
      </w:r>
      <w:r w:rsidRPr="00B4026F">
        <w:t xml:space="preserve">ve </w:t>
      </w:r>
      <w:r>
        <w:t>nr. 89, datë 13.12.2006, si më</w:t>
      </w:r>
      <w:r w:rsidRPr="00B4026F">
        <w:t xml:space="preserve"> poshtë:</w:t>
      </w:r>
    </w:p>
    <w:p w:rsidR="00E478D2" w:rsidRPr="00B4026F" w:rsidRDefault="00E478D2" w:rsidP="00E478D2">
      <w:pPr>
        <w:pStyle w:val="Paragrafi"/>
      </w:pPr>
      <w:r w:rsidRPr="00B4026F">
        <w:t xml:space="preserve">Neni 7, pika 1.1 dhe 1.2 </w:t>
      </w:r>
    </w:p>
    <w:p w:rsidR="00E478D2" w:rsidRPr="00B4026F" w:rsidRDefault="00E478D2" w:rsidP="00E478D2">
      <w:pPr>
        <w:pStyle w:val="Paragrafi"/>
      </w:pPr>
      <w:r w:rsidRPr="00B4026F">
        <w:t>Është paraqitur në mënyrë të plotë dhe kor</w:t>
      </w:r>
      <w:r>
        <w:t>r</w:t>
      </w:r>
      <w:r w:rsidRPr="00B4026F">
        <w:t xml:space="preserve">ekte. </w:t>
      </w:r>
    </w:p>
    <w:p w:rsidR="00E478D2" w:rsidRPr="00B4026F" w:rsidRDefault="00E478D2" w:rsidP="00E478D2">
      <w:pPr>
        <w:pStyle w:val="Paragrafi"/>
      </w:pPr>
      <w:r>
        <w:t>Neni 7, pika 1.3, germa “</w:t>
      </w:r>
      <w:r w:rsidRPr="00B4026F">
        <w:t>a</w:t>
      </w:r>
      <w:r>
        <w:t>”</w:t>
      </w:r>
      <w:r w:rsidRPr="00B4026F">
        <w:t xml:space="preserve">, </w:t>
      </w:r>
      <w:r>
        <w:t>“</w:t>
      </w:r>
      <w:r w:rsidRPr="00B4026F">
        <w:t>b</w:t>
      </w:r>
      <w:r>
        <w:t>”</w:t>
      </w:r>
      <w:r w:rsidRPr="00B4026F">
        <w:t xml:space="preserve">, </w:t>
      </w:r>
      <w:r>
        <w:t>“</w:t>
      </w:r>
      <w:r w:rsidRPr="00B4026F">
        <w:t>c</w:t>
      </w:r>
      <w:r>
        <w:t>”</w:t>
      </w:r>
      <w:r w:rsidRPr="00B4026F">
        <w:t xml:space="preserve">, </w:t>
      </w:r>
      <w:r>
        <w:t>“</w:t>
      </w:r>
      <w:r w:rsidRPr="00B4026F">
        <w:t>d</w:t>
      </w:r>
      <w:r>
        <w:t>”</w:t>
      </w:r>
      <w:r w:rsidRPr="00B4026F">
        <w:t xml:space="preserve">, </w:t>
      </w:r>
      <w:r>
        <w:t>“</w:t>
      </w:r>
      <w:r w:rsidRPr="00B4026F">
        <w:t>e</w:t>
      </w:r>
      <w:r>
        <w:t>”</w:t>
      </w:r>
      <w:r w:rsidRPr="00B4026F">
        <w:t xml:space="preserve">, </w:t>
      </w:r>
      <w:r>
        <w:t>“</w:t>
      </w:r>
      <w:r w:rsidRPr="00B4026F">
        <w:t>f</w:t>
      </w:r>
      <w:r>
        <w:t>”</w:t>
      </w:r>
      <w:r w:rsidRPr="00B4026F">
        <w:t xml:space="preserve">, </w:t>
      </w:r>
      <w:r>
        <w:t>“</w:t>
      </w:r>
      <w:r w:rsidRPr="00B4026F">
        <w:t>g</w:t>
      </w:r>
      <w:r>
        <w:t>”</w:t>
      </w:r>
      <w:r w:rsidRPr="00B4026F">
        <w:t xml:space="preserve">, </w:t>
      </w:r>
      <w:r>
        <w:t>“</w:t>
      </w:r>
      <w:r w:rsidRPr="00B4026F">
        <w:t>h</w:t>
      </w:r>
      <w:r>
        <w:t>”</w:t>
      </w:r>
      <w:r w:rsidRPr="00B4026F">
        <w:t xml:space="preserve"> </w:t>
      </w:r>
    </w:p>
    <w:p w:rsidR="00E478D2" w:rsidRPr="00B4026F" w:rsidRDefault="00E478D2" w:rsidP="00E478D2">
      <w:pPr>
        <w:pStyle w:val="Paragrafi"/>
      </w:pPr>
      <w:r w:rsidRPr="00B4026F">
        <w:t xml:space="preserve">Është paraqitur në mënyrë të plotë dhe korrekte.  </w:t>
      </w:r>
    </w:p>
    <w:p w:rsidR="00E478D2" w:rsidRPr="00B4026F" w:rsidRDefault="00E478D2" w:rsidP="00E478D2">
      <w:pPr>
        <w:pStyle w:val="Paragrafi"/>
      </w:pPr>
      <w:r w:rsidRPr="00B4026F">
        <w:t>Neni 7, pika 2, 3, 4 dhe 5</w:t>
      </w:r>
    </w:p>
    <w:p w:rsidR="00E478D2" w:rsidRPr="00B4026F" w:rsidRDefault="00E478D2" w:rsidP="00E478D2">
      <w:pPr>
        <w:pStyle w:val="Paragrafi"/>
      </w:pPr>
      <w:r>
        <w:t xml:space="preserve">Është plotësuar tërësisht. </w:t>
      </w:r>
    </w:p>
    <w:p w:rsidR="00E478D2" w:rsidRPr="00B4026F" w:rsidRDefault="00E478D2" w:rsidP="00E478D2">
      <w:pPr>
        <w:pStyle w:val="Paragrafi"/>
      </w:pPr>
      <w:r w:rsidRPr="00B4026F">
        <w:t xml:space="preserve"> Për gjithë sa më sipër cituar</w:t>
      </w:r>
      <w:r>
        <w:t>,</w:t>
      </w:r>
      <w:r w:rsidRPr="00B4026F">
        <w:t xml:space="preserve"> Bordi</w:t>
      </w:r>
      <w:r>
        <w:t xml:space="preserve"> i </w:t>
      </w:r>
      <w:r w:rsidRPr="00B4026F">
        <w:t xml:space="preserve">Komisionerëve </w:t>
      </w:r>
      <w:r>
        <w:t>të ERE-s</w:t>
      </w:r>
    </w:p>
    <w:p w:rsidR="00E478D2" w:rsidRPr="00B4026F" w:rsidRDefault="00E478D2" w:rsidP="00E478D2">
      <w:pPr>
        <w:pStyle w:val="Paragrafi"/>
      </w:pPr>
    </w:p>
    <w:p w:rsidR="00E478D2" w:rsidRPr="00B4026F" w:rsidRDefault="00E478D2" w:rsidP="00E478D2">
      <w:pPr>
        <w:pStyle w:val="VENDOSI"/>
      </w:pPr>
      <w:r w:rsidRPr="00B4026F">
        <w:t>Vendosi:</w:t>
      </w:r>
    </w:p>
    <w:p w:rsidR="00E478D2" w:rsidRPr="00B4026F" w:rsidRDefault="00E478D2" w:rsidP="00E478D2">
      <w:pPr>
        <w:pStyle w:val="Paragrafi"/>
      </w:pPr>
    </w:p>
    <w:p w:rsidR="00E478D2" w:rsidRPr="00B4026F" w:rsidRDefault="00E478D2" w:rsidP="00E478D2">
      <w:pPr>
        <w:pStyle w:val="Paragrafi"/>
      </w:pPr>
      <w:r>
        <w:t>1. Të fillojë proc</w:t>
      </w:r>
      <w:r w:rsidRPr="00B4026F">
        <w:t>edur</w:t>
      </w:r>
      <w:r>
        <w:t>at për shqyrtimin e kërkesës së</w:t>
      </w:r>
      <w:r w:rsidRPr="00B4026F">
        <w:t xml:space="preserve"> shoqërisë “Selca Energy“ sh.p.k, për lënie peng si ko</w:t>
      </w:r>
      <w:r>
        <w:t>lateral të Hec/Selca pranë Bankë</w:t>
      </w:r>
      <w:r w:rsidRPr="00B4026F">
        <w:t xml:space="preserve">s Credins. </w:t>
      </w:r>
    </w:p>
    <w:p w:rsidR="00E478D2" w:rsidRPr="00B4026F" w:rsidRDefault="00E478D2" w:rsidP="00E478D2">
      <w:pPr>
        <w:pStyle w:val="Paragrafi"/>
      </w:pPr>
      <w:r>
        <w:t>2. Drejtoria e Licenc</w:t>
      </w:r>
      <w:r w:rsidRPr="00B4026F">
        <w:t>imit dhe Monitorimit të Tregut do të njoftojë aplikuesin lidhur me vendimin e Bordit të Komisionerëve të ERE-s.</w:t>
      </w:r>
    </w:p>
    <w:p w:rsidR="00E478D2" w:rsidRPr="00B4026F" w:rsidRDefault="00E478D2" w:rsidP="00E478D2">
      <w:pPr>
        <w:pStyle w:val="Paragrafi"/>
      </w:pPr>
      <w:r w:rsidRPr="00B4026F">
        <w:t xml:space="preserve">Ky vendim hyn në fuqi menjëherë. </w:t>
      </w:r>
    </w:p>
    <w:p w:rsidR="00E478D2" w:rsidRPr="00B4026F" w:rsidRDefault="00E478D2" w:rsidP="00E478D2">
      <w:pPr>
        <w:pStyle w:val="Paragrafi"/>
      </w:pPr>
      <w:r w:rsidRPr="00B4026F">
        <w:t>Ky vendim botohet në Fletoren Zyrtare.</w:t>
      </w:r>
    </w:p>
    <w:p w:rsidR="00E478D2" w:rsidRPr="00B4026F" w:rsidRDefault="00E478D2" w:rsidP="00E478D2">
      <w:pPr>
        <w:pStyle w:val="Paragrafi"/>
      </w:pPr>
    </w:p>
    <w:p w:rsidR="00E478D2" w:rsidRPr="00B4026F" w:rsidRDefault="00E478D2" w:rsidP="00E478D2">
      <w:pPr>
        <w:pStyle w:val="Autoriteti"/>
      </w:pPr>
      <w:r w:rsidRPr="00B4026F">
        <w:t xml:space="preserve">KRYETARI </w:t>
      </w:r>
    </w:p>
    <w:p w:rsidR="00E478D2" w:rsidRPr="00B4026F" w:rsidRDefault="00E478D2" w:rsidP="00E478D2">
      <w:pPr>
        <w:pStyle w:val="AutoritetiEmer"/>
      </w:pPr>
      <w:r w:rsidRPr="00B4026F">
        <w:t>Sokol Ramadani</w:t>
      </w:r>
    </w:p>
    <w:sectPr w:rsidR="00E478D2" w:rsidRPr="00B402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78D2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1526A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478D2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9B3438-1C5C-47C7-A5CE-59485C7AE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E478D2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2019-03-19T14:41:00Z</dcterms:created>
  <dcterms:modified xsi:type="dcterms:W3CDTF">2019-03-19T14:41:00Z</dcterms:modified>
</cp:coreProperties>
</file>