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616" w:rsidRPr="006974AC" w:rsidRDefault="00047616" w:rsidP="0004761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047616" w:rsidRPr="006974AC" w:rsidRDefault="00047616" w:rsidP="00047616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Nr.98, datë 30.9.2011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FILLIMIN E PROCEDURAVE tË LICENCIMIt tË SHOQËRISË “hec bistrica 1 dhe bistrica 2” SHpk NË AKTIVITETIN E tregtIMIT TË ENERGJISË ELEKTRIKE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Në mbështetje të nenit 8 pika 2 germa “a”, neneve 9 dhe 13 pika 1 germa “d” të ligjit nr.9072, datë 22.5.2003 “Për sektorin e energjisë elektrike”, të ndryshuar, nenit 4 pika 1 germa “g”, nenit 10 pikat 1, 3 dhe 4 të rregullores “Për procedurat e licencimit, modifikimit, transferimit të plotë/të pjesshëm dhe rinovimit të licencave”, të miratuar me vendimin e Bordit të Komisionerëve nr.108, datë 9.9.2008, nenit 18 pika 1 germa “a” dhe 3 të Rregullave të Praktikës dhe Procedurave të ERE-s, miratuar me vendimin e Bordit të Komisionerëve nr.21, datë 18.3.2009, Bordi i Komisionerëve të Entit Rregullator të Energjisë (ERE), në mbledhjen e tij të datës 30.9.2011, pasi shqyrtoi kërkesën e shoqërisë “Hec Bistrica 1 dhe Bistrica 2” sh.p.k., si dhe relacionin e Drejtorisë së Licencimit dhe Monitorimit të Tregut dhe Drejtorisë Juridike dhe Mbrojtjes së Konsumatorit mbi licencimin në aktivitetin e tregtimit të energjisë elektrike,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Konstatoi se: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Aplikimi i shoqërisë “Hec Bistrica 1 dhe Bistrica 2” sh.p.k. plotëson kryesisht kërkesat e parashikuara nga ERE në rregulloren për procedurat e licencimit, modifikimit, transferimit të plotë/të pjesshëm dhe rinovimit të licencave si më poshtë: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 Formati i aplikimit (neni 9 pika 1) është paraqitur dhe plotësuar në mënyrë korrekte.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- Dokumentacioni financiar dhe fiskal (neni 9 pika 3) është paraqitur dhe plotësuar në mënyrë korrekte.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Për dokumentacionin teknik (neni 9 pika 4.10) që ka të bëjë me sasinë e energjisë elektrike e parashikuar për tu tregtuar; kapitalin financiar të parashikuar për ushtrimin e aktivitetit dhe listën e kontratave të mëparshme të realizuara, nuk është dhënë asnjë informacion nga ana e subjektit.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gjithë sa më sipërcituar, Bordi i Komisionerëve të ERE-s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1. Fillimin e procedurave të shqyrtimit të aplikimit për licencë të shoqërisë “Hec Bistrica 1 dhe Bistrica 2” sh.p.k., në aktivitetin e tregtimit të energjisë elektrike.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Drejtoria e Licencimit dhe Monitorimit të Tregut të njoftojë aplikuesin për vendimin e Bordit të Komisionerëve të ERE-s. 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menjëherë.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botohet në Fletoren Zyrtare.</w:t>
      </w:r>
    </w:p>
    <w:p w:rsidR="00047616" w:rsidRPr="006974AC" w:rsidRDefault="00047616" w:rsidP="00047616">
      <w:pPr>
        <w:pStyle w:val="Paragrafi"/>
        <w:rPr>
          <w:sz w:val="21"/>
          <w:szCs w:val="21"/>
          <w:lang w:val="sq-AL"/>
        </w:rPr>
      </w:pPr>
    </w:p>
    <w:p w:rsidR="00047616" w:rsidRPr="006974AC" w:rsidRDefault="00047616" w:rsidP="00047616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KRYETARI </w:t>
      </w:r>
    </w:p>
    <w:p w:rsidR="00477590" w:rsidRPr="00047616" w:rsidRDefault="00047616" w:rsidP="00047616">
      <w:pPr>
        <w:pStyle w:val="AutoritetiEmer"/>
        <w:rPr>
          <w:sz w:val="21"/>
          <w:szCs w:val="21"/>
        </w:rPr>
      </w:pPr>
      <w:r w:rsidRPr="006974AC">
        <w:rPr>
          <w:sz w:val="21"/>
          <w:szCs w:val="21"/>
          <w:lang w:val="sq-AL"/>
        </w:rPr>
        <w:t xml:space="preserve"> Sokol Ramadani</w:t>
      </w:r>
    </w:p>
    <w:sectPr w:rsidR="00477590" w:rsidRPr="00047616" w:rsidSect="00477590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22AAD">
      <w:r>
        <w:separator/>
      </w:r>
    </w:p>
  </w:endnote>
  <w:endnote w:type="continuationSeparator" w:id="0">
    <w:p w:rsidR="00000000" w:rsidRDefault="00E2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35D" w:rsidRPr="00B44ABD" w:rsidRDefault="0059735D">
    <w:pPr>
      <w:pStyle w:val="Footer"/>
      <w:rPr>
        <w:rFonts w:ascii="CG Times" w:hAnsi="CG Times"/>
        <w:sz w:val="22"/>
        <w:szCs w:val="22"/>
      </w:rPr>
    </w:pPr>
    <w:r w:rsidRPr="00B44ABD">
      <w:rPr>
        <w:rFonts w:ascii="CG Times" w:hAnsi="CG Times"/>
        <w:sz w:val="22"/>
        <w:szCs w:val="22"/>
      </w:rPr>
      <w:fldChar w:fldCharType="begin"/>
    </w:r>
    <w:r w:rsidRPr="00B44ABD">
      <w:rPr>
        <w:rFonts w:ascii="CG Times" w:hAnsi="CG Times"/>
        <w:sz w:val="22"/>
        <w:szCs w:val="22"/>
      </w:rPr>
      <w:instrText xml:space="preserve"> PAGE   \* MERGEFORMAT </w:instrText>
    </w:r>
    <w:r w:rsidRPr="00B44ABD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6944</w:t>
    </w:r>
    <w:r w:rsidRPr="00B44ABD">
      <w:rPr>
        <w:rFonts w:ascii="CG Times" w:hAnsi="CG Times"/>
        <w:sz w:val="22"/>
        <w:szCs w:val="22"/>
      </w:rPr>
      <w:fldChar w:fldCharType="end"/>
    </w:r>
  </w:p>
  <w:p w:rsidR="0059735D" w:rsidRDefault="0059735D" w:rsidP="0059735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35D" w:rsidRPr="00B44ABD" w:rsidRDefault="0059735D">
    <w:pPr>
      <w:pStyle w:val="Footer"/>
      <w:jc w:val="right"/>
      <w:rPr>
        <w:rFonts w:ascii="CG Times" w:hAnsi="CG Times"/>
        <w:sz w:val="22"/>
        <w:szCs w:val="22"/>
      </w:rPr>
    </w:pPr>
    <w:r w:rsidRPr="00B44ABD">
      <w:rPr>
        <w:rFonts w:ascii="CG Times" w:hAnsi="CG Times"/>
        <w:sz w:val="22"/>
        <w:szCs w:val="22"/>
      </w:rPr>
      <w:fldChar w:fldCharType="begin"/>
    </w:r>
    <w:r w:rsidRPr="00B44ABD">
      <w:rPr>
        <w:rFonts w:ascii="CG Times" w:hAnsi="CG Times"/>
        <w:sz w:val="22"/>
        <w:szCs w:val="22"/>
      </w:rPr>
      <w:instrText xml:space="preserve"> PAGE   \* MERGEFORMAT </w:instrText>
    </w:r>
    <w:r w:rsidRPr="00B44ABD">
      <w:rPr>
        <w:rFonts w:ascii="CG Times" w:hAnsi="CG Times"/>
        <w:sz w:val="22"/>
        <w:szCs w:val="22"/>
      </w:rPr>
      <w:fldChar w:fldCharType="separate"/>
    </w:r>
    <w:r w:rsidR="00E22AAD" w:rsidRPr="00E22AAD">
      <w:rPr>
        <w:rFonts w:ascii="CG Times" w:hAnsi="CG Times"/>
        <w:noProof/>
      </w:rPr>
      <w:t>1</w:t>
    </w:r>
    <w:r w:rsidRPr="00B44ABD">
      <w:rPr>
        <w:rFonts w:ascii="CG Times" w:hAnsi="CG Times"/>
        <w:sz w:val="22"/>
        <w:szCs w:val="22"/>
      </w:rPr>
      <w:fldChar w:fldCharType="end"/>
    </w:r>
  </w:p>
  <w:p w:rsidR="0059735D" w:rsidRDefault="0059735D" w:rsidP="0059735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22AAD">
      <w:r>
        <w:separator/>
      </w:r>
    </w:p>
  </w:footnote>
  <w:footnote w:type="continuationSeparator" w:id="0">
    <w:p w:rsidR="00000000" w:rsidRDefault="00E22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35D" w:rsidRPr="00233A49" w:rsidRDefault="00E22AAD" w:rsidP="0059735D">
    <w:pPr>
      <w:pStyle w:val="Header"/>
      <w:ind w:left="-1418"/>
    </w:pPr>
    <w:r w:rsidRPr="00D36DED">
      <w:rPr>
        <w:noProof/>
      </w:rPr>
      <w:drawing>
        <wp:inline distT="0" distB="0" distL="0" distR="0">
          <wp:extent cx="7639050" cy="676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7484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35D" w:rsidRDefault="00E22AAD" w:rsidP="0059735D">
    <w:pPr>
      <w:pStyle w:val="Header"/>
      <w:ind w:left="-1418"/>
    </w:pPr>
    <w:r w:rsidRPr="00D36DED">
      <w:rPr>
        <w:noProof/>
      </w:rPr>
      <w:drawing>
        <wp:inline distT="0" distB="0" distL="0" distR="0">
          <wp:extent cx="7562850" cy="5429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135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7616"/>
    <w:rsid w:val="000277EF"/>
    <w:rsid w:val="00047616"/>
    <w:rsid w:val="000C2ABA"/>
    <w:rsid w:val="00142F5D"/>
    <w:rsid w:val="001D4B57"/>
    <w:rsid w:val="00443285"/>
    <w:rsid w:val="00477590"/>
    <w:rsid w:val="004A533F"/>
    <w:rsid w:val="004F43B0"/>
    <w:rsid w:val="0059735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2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D4CB32-764C-4462-8ABB-EBA82752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61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4761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4761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4761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styleId="Header">
    <w:name w:val="header"/>
    <w:basedOn w:val="Normal"/>
    <w:link w:val="HeaderChar"/>
    <w:semiHidden/>
    <w:rsid w:val="000476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047616"/>
    <w:rPr>
      <w:rFonts w:ascii="Times New Roman" w:eastAsia="MS Mincho" w:hAnsi="Times New Roman" w:cs="Times New Roman"/>
      <w:sz w:val="24"/>
      <w:szCs w:val="24"/>
      <w:lang w:bidi="ar-SA"/>
    </w:rPr>
  </w:style>
  <w:style w:type="character" w:customStyle="1" w:styleId="TitulliChar">
    <w:name w:val="Titulli Char"/>
    <w:link w:val="Titulli"/>
    <w:locked/>
    <w:rsid w:val="0004761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