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4B9" w:rsidRDefault="004354B9" w:rsidP="004354B9">
      <w:pPr>
        <w:pStyle w:val="Akti"/>
        <w:keepNext w:val="0"/>
      </w:pPr>
      <w:bookmarkStart w:id="0" w:name="_GoBack"/>
      <w:bookmarkEnd w:id="0"/>
      <w:r w:rsidRPr="004B793E">
        <w:t>VENDIM</w:t>
      </w:r>
    </w:p>
    <w:p w:rsidR="004354B9" w:rsidRDefault="004354B9" w:rsidP="004354B9">
      <w:pPr>
        <w:pStyle w:val="NumriData"/>
        <w:keepNext w:val="0"/>
      </w:pPr>
      <w:r>
        <w:t>Nr.</w:t>
      </w:r>
      <w:r w:rsidRPr="004B793E">
        <w:t>123</w:t>
      </w:r>
      <w:r>
        <w:t>,</w:t>
      </w:r>
      <w:r w:rsidRPr="004B793E">
        <w:t xml:space="preserve"> datë 25.11.2011</w:t>
      </w:r>
    </w:p>
    <w:p w:rsidR="004354B9" w:rsidRDefault="004354B9" w:rsidP="004354B9">
      <w:pPr>
        <w:pStyle w:val="Paragrafi"/>
      </w:pPr>
    </w:p>
    <w:p w:rsidR="004354B9" w:rsidRPr="004B793E" w:rsidRDefault="004354B9" w:rsidP="004354B9">
      <w:pPr>
        <w:pStyle w:val="Titulli"/>
        <w:keepNext w:val="0"/>
      </w:pPr>
      <w:r w:rsidRPr="004B793E">
        <w:t xml:space="preserve">PËR DISA SHTESA DHE  NDRYSHIME  NË RREGULLAT E ALOKIMIT TË KAPACITETEVE TË INTERKONJEKSIONEVE </w:t>
      </w:r>
    </w:p>
    <w:p w:rsidR="004354B9" w:rsidRPr="004B793E" w:rsidRDefault="004354B9" w:rsidP="004354B9">
      <w:pPr>
        <w:pStyle w:val="Paragrafi"/>
        <w:ind w:firstLine="0"/>
      </w:pPr>
    </w:p>
    <w:p w:rsidR="004354B9" w:rsidRPr="004B793E" w:rsidRDefault="004354B9" w:rsidP="004354B9">
      <w:pPr>
        <w:pStyle w:val="Paragrafi"/>
      </w:pPr>
      <w:r w:rsidRPr="004B793E">
        <w:t>Në mbështetje të nenit</w:t>
      </w:r>
      <w:r>
        <w:t xml:space="preserve"> 9 të ligjit nr.9072, datë 22.5.2003</w:t>
      </w:r>
      <w:r w:rsidRPr="004B793E">
        <w:t xml:space="preserve"> “Për sektorin e energjisë elektrike”, të ndryshuar, kapitullit </w:t>
      </w:r>
      <w:r>
        <w:t>11</w:t>
      </w:r>
      <w:r w:rsidRPr="004B793E">
        <w:t xml:space="preserve"> të </w:t>
      </w:r>
      <w:r>
        <w:t>“</w:t>
      </w:r>
      <w:r w:rsidRPr="004B793E">
        <w:t>Rregullave të alokimit të kapaciteteve të interkonjeksioneve</w:t>
      </w:r>
      <w:r>
        <w:t>”</w:t>
      </w:r>
      <w:r w:rsidRPr="004B793E">
        <w:t>, mirat</w:t>
      </w:r>
      <w:r>
        <w:t>uar me vendimin nr.13, datë 22.</w:t>
      </w:r>
      <w:r w:rsidRPr="004B793E">
        <w:t xml:space="preserve">2.2011 të Bordit të Komisonerëve të ERE-s dhe nenit 26 të </w:t>
      </w:r>
      <w:r>
        <w:t>“Rregullave të praktikës dhe proc</w:t>
      </w:r>
      <w:r w:rsidRPr="004B793E">
        <w:t xml:space="preserve">edurave të </w:t>
      </w:r>
      <w:r>
        <w:t>ERE-s”, miratuar me vendimin nr.21, datë 18.3.2009</w:t>
      </w:r>
      <w:r w:rsidRPr="004B793E">
        <w:t xml:space="preserve"> të Bordit të Komisonerë</w:t>
      </w:r>
      <w:r>
        <w:t>ve të ERE-s, Bordi i Komisionerë</w:t>
      </w:r>
      <w:r w:rsidRPr="004B793E">
        <w:t>ve të ERE-s</w:t>
      </w:r>
      <w:r>
        <w:t>,</w:t>
      </w:r>
      <w:r w:rsidRPr="004B793E">
        <w:t xml:space="preserve"> në mbledhj</w:t>
      </w:r>
      <w:r>
        <w:t>en e tij të datës 25.11.2011, p</w:t>
      </w:r>
      <w:r w:rsidRPr="004B793E">
        <w:t>asi shqyrtoi shkresat  e shoqërisë O</w:t>
      </w:r>
      <w:r>
        <w:t>ST sh.a., nr.2033 Prot., datë 25.</w:t>
      </w:r>
      <w:r w:rsidRPr="004B793E">
        <w:t>7.201</w:t>
      </w:r>
      <w:r>
        <w:t>1 dhe nr.2110 Prot., datë 29.</w:t>
      </w:r>
      <w:r w:rsidRPr="004B793E">
        <w:t>7.2011, shkresat e KESH sh.a</w:t>
      </w:r>
      <w:r>
        <w:t>.,</w:t>
      </w:r>
      <w:r w:rsidRPr="004B793E">
        <w:t xml:space="preserve"> dhe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</w:t>
      </w:r>
      <w:r>
        <w:t>sh.a.,  përkatësisht me  nr.3923 Prot., datë 17.</w:t>
      </w:r>
      <w:r w:rsidRPr="004B793E">
        <w:t>8.20</w:t>
      </w:r>
      <w:r>
        <w:t>11 dhe nr. 4151/1, Prot. datë, 18.</w:t>
      </w:r>
      <w:r w:rsidRPr="004B793E">
        <w:t>8.2011, dh</w:t>
      </w:r>
      <w:r>
        <w:t xml:space="preserve">e shkresat e AEES  nr.28, datë 5.9.2011 dhe nr.27, datë 31.8.2011, në lidhje me </w:t>
      </w:r>
      <w:r w:rsidRPr="004B793E">
        <w:t xml:space="preserve">rregullat </w:t>
      </w:r>
      <w:r>
        <w:t>“</w:t>
      </w:r>
      <w:r w:rsidRPr="004B793E">
        <w:t xml:space="preserve">Për alokimin e kapaciteteve të interkonjeksioneve”, si dhe relacionin e Drejtorisë Juridike dhe </w:t>
      </w:r>
      <w:r>
        <w:t xml:space="preserve">të </w:t>
      </w:r>
      <w:r w:rsidRPr="004B793E">
        <w:t>Mbrojtjes së Konsu</w:t>
      </w:r>
      <w:r>
        <w:t>matorit dhe Drejtorisë së Licenc</w:t>
      </w:r>
      <w:r w:rsidRPr="004B793E">
        <w:t xml:space="preserve">imit dhe Monitorimit të Tregut,  </w:t>
      </w:r>
    </w:p>
    <w:p w:rsidR="004354B9" w:rsidRPr="004B793E" w:rsidRDefault="004354B9" w:rsidP="004354B9">
      <w:pPr>
        <w:pStyle w:val="Paragrafi"/>
      </w:pPr>
      <w:r w:rsidRPr="004B793E">
        <w:t>konstaton se:</w:t>
      </w:r>
    </w:p>
    <w:p w:rsidR="004354B9" w:rsidRPr="004B793E" w:rsidRDefault="004354B9" w:rsidP="004354B9">
      <w:pPr>
        <w:pStyle w:val="Paragrafi"/>
      </w:pPr>
      <w:r>
        <w:t xml:space="preserve">- </w:t>
      </w:r>
      <w:r w:rsidRPr="004B793E">
        <w:t>Për kërkesën  e OST sh.a</w:t>
      </w:r>
      <w:r>
        <w:t>.,</w:t>
      </w:r>
      <w:r w:rsidRPr="004B793E">
        <w:t xml:space="preserve"> për të rishikuar </w:t>
      </w:r>
      <w:r>
        <w:t>“</w:t>
      </w:r>
      <w:r w:rsidRPr="004B793E">
        <w:t>Rregullat e alokimit të kapaciteteve të interkonjeksionit</w:t>
      </w:r>
      <w:r>
        <w:t>”</w:t>
      </w:r>
      <w:r w:rsidRPr="004B793E">
        <w:t xml:space="preserve"> për shkak të  pamundësisë së kryerjes s</w:t>
      </w:r>
      <w:r>
        <w:t>ë</w:t>
      </w:r>
      <w:r w:rsidRPr="004B793E">
        <w:t xml:space="preserve"> ankandeve ditore p</w:t>
      </w:r>
      <w:r>
        <w:t>ë</w:t>
      </w:r>
      <w:r w:rsidRPr="004B793E">
        <w:t>r alokimin e të drejt</w:t>
      </w:r>
      <w:r>
        <w:t>ë</w:t>
      </w:r>
      <w:r w:rsidRPr="004B793E">
        <w:t>s s</w:t>
      </w:r>
      <w:r>
        <w:t>ë</w:t>
      </w:r>
      <w:r w:rsidRPr="004B793E">
        <w:t xml:space="preserve"> p</w:t>
      </w:r>
      <w:r>
        <w:t>ë</w:t>
      </w:r>
      <w:r w:rsidRPr="004B793E">
        <w:t>rdorimit t</w:t>
      </w:r>
      <w:r>
        <w:t>ë</w:t>
      </w:r>
      <w:r w:rsidRPr="004B793E">
        <w:t xml:space="preserve"> kapacitetit disponib</w:t>
      </w:r>
      <w:r>
        <w:t>ë</w:t>
      </w:r>
      <w:r w:rsidRPr="004B793E">
        <w:t>l t</w:t>
      </w:r>
      <w:r>
        <w:t>ë</w:t>
      </w:r>
      <w:r w:rsidRPr="004B793E">
        <w:t xml:space="preserve"> inte</w:t>
      </w:r>
      <w:r>
        <w:t>rkonjeksionit, për shkak të mos</w:t>
      </w:r>
      <w:r w:rsidRPr="004B793E">
        <w:t xml:space="preserve">disponimit  </w:t>
      </w:r>
      <w:r>
        <w:t>të platformës</w:t>
      </w:r>
      <w:r w:rsidRPr="004B793E">
        <w:t xml:space="preserve"> elektronike (Sof</w:t>
      </w:r>
      <w:r>
        <w:t xml:space="preserve">tin) për menaxhimin e tregut,  </w:t>
      </w:r>
      <w:r w:rsidRPr="004B793E">
        <w:t>Bordi i Komisionerëve vëren se pe</w:t>
      </w:r>
      <w:r>
        <w:t>riudha kohore në të cilën mbahet</w:t>
      </w:r>
      <w:r w:rsidRPr="004B793E">
        <w:t xml:space="preserve"> ankandi ditor është shumë e shkurtër nga ora 13:51 deri në orën 14:30,  si të tillë problemi kryesor qëndron në mungesën e softit të OST sh.a</w:t>
      </w:r>
      <w:r>
        <w:t>.,</w:t>
      </w:r>
      <w:r w:rsidRPr="004B793E">
        <w:t xml:space="preserve"> për të kryer këto ankande.</w:t>
      </w:r>
    </w:p>
    <w:p w:rsidR="004354B9" w:rsidRPr="004B793E" w:rsidRDefault="004354B9" w:rsidP="004354B9">
      <w:pPr>
        <w:pStyle w:val="Paragrafi"/>
      </w:pPr>
      <w:r>
        <w:t xml:space="preserve">- </w:t>
      </w:r>
      <w:r w:rsidRPr="004B793E">
        <w:t>Për kërkesat e KESH sh.a</w:t>
      </w:r>
      <w:r>
        <w:t>.</w:t>
      </w:r>
      <w:r w:rsidRPr="004B793E">
        <w:t xml:space="preserve"> dhe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</w:t>
      </w:r>
      <w:r>
        <w:t>s</w:t>
      </w:r>
      <w:r w:rsidRPr="004B793E">
        <w:t>h.a</w:t>
      </w:r>
      <w:r>
        <w:t>.</w:t>
      </w:r>
      <w:r w:rsidRPr="004B793E">
        <w:t xml:space="preserve">,  përkatësisht </w:t>
      </w:r>
      <w:r>
        <w:t>me nr.</w:t>
      </w:r>
      <w:r w:rsidRPr="004B793E">
        <w:t>392</w:t>
      </w:r>
      <w:r>
        <w:t>3 Prot., datë 17.8.2011 dhe nr.4151/1, Prot., datë 18.</w:t>
      </w:r>
      <w:r w:rsidRPr="004B793E">
        <w:t>8.2011, për rishikimin e</w:t>
      </w:r>
      <w:r>
        <w:t xml:space="preserve"> </w:t>
      </w:r>
      <w:r w:rsidRPr="004B793E">
        <w:t xml:space="preserve">rregullave </w:t>
      </w:r>
      <w:r>
        <w:t>“</w:t>
      </w:r>
      <w:r w:rsidRPr="004B793E">
        <w:t xml:space="preserve">Për </w:t>
      </w:r>
      <w:r>
        <w:t>alokimin e kapaciteteve të</w:t>
      </w:r>
      <w:r w:rsidRPr="004B793E">
        <w:t xml:space="preserve"> interkonjeksioneve</w:t>
      </w:r>
      <w:r>
        <w:t>”,</w:t>
      </w:r>
      <w:r w:rsidRPr="004B793E">
        <w:t xml:space="preserve">  me q</w:t>
      </w:r>
      <w:r>
        <w:t>ë</w:t>
      </w:r>
      <w:r w:rsidRPr="004B793E">
        <w:t>llim zgjatjen</w:t>
      </w:r>
      <w:r>
        <w:t xml:space="preserve">  e periudhës transitore deri në</w:t>
      </w:r>
      <w:r w:rsidRPr="004B793E">
        <w:t xml:space="preserve"> 31.12.2012, bazuar në argumentimet si më poshtë:</w:t>
      </w:r>
    </w:p>
    <w:p w:rsidR="004354B9" w:rsidRPr="004B793E" w:rsidRDefault="004354B9" w:rsidP="004354B9">
      <w:pPr>
        <w:pStyle w:val="Paragrafi"/>
      </w:pPr>
      <w:r w:rsidRPr="004B793E">
        <w:t xml:space="preserve">Argumentime të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 sh.</w:t>
      </w:r>
      <w:r>
        <w:t>a.</w:t>
      </w:r>
      <w:r w:rsidRPr="004B793E">
        <w:t>:</w:t>
      </w:r>
    </w:p>
    <w:p w:rsidR="004354B9" w:rsidRPr="004B793E" w:rsidRDefault="004354B9" w:rsidP="004354B9">
      <w:pPr>
        <w:pStyle w:val="Paragrafi"/>
      </w:pPr>
      <w:r>
        <w:t>- Sigurimi i detyrimit të</w:t>
      </w:r>
      <w:r w:rsidRPr="004B793E">
        <w:t xml:space="preserve"> sh</w:t>
      </w:r>
      <w:r>
        <w:t>përndarësit të energjisë për të</w:t>
      </w:r>
      <w:r w:rsidRPr="004B793E">
        <w:t xml:space="preserve"> importuar lirshëm energjinë elektrike për humbjet n</w:t>
      </w:r>
      <w:r>
        <w:t>ë maksimumin e garantuar të</w:t>
      </w:r>
      <w:r w:rsidRPr="004B793E">
        <w:t xml:space="preserve"> kapaciteteve  t</w:t>
      </w:r>
      <w:r>
        <w:t>ë</w:t>
      </w:r>
      <w:r w:rsidRPr="004B793E">
        <w:t xml:space="preserve"> interkonjeksi</w:t>
      </w:r>
      <w:r>
        <w:t xml:space="preserve">onit </w:t>
      </w:r>
      <w:r w:rsidRPr="004B793E">
        <w:t>pa asnjë kosto shtes</w:t>
      </w:r>
      <w:r>
        <w:t>ë.</w:t>
      </w:r>
      <w:r w:rsidRPr="004B793E">
        <w:t xml:space="preserve"> </w:t>
      </w:r>
    </w:p>
    <w:p w:rsidR="004354B9" w:rsidRPr="004B793E" w:rsidRDefault="004354B9" w:rsidP="004354B9">
      <w:pPr>
        <w:pStyle w:val="Paragrafi"/>
      </w:pPr>
      <w:r>
        <w:t>- “CEZ</w:t>
      </w:r>
      <w:r w:rsidRPr="004B793E">
        <w:t xml:space="preserve"> shpërndarje</w:t>
      </w:r>
      <w:r>
        <w:t>”</w:t>
      </w:r>
      <w:r w:rsidRPr="004B793E">
        <w:t xml:space="preserve"> ka hapur tenderin vjetor  me t</w:t>
      </w:r>
      <w:r>
        <w:t>ë</w:t>
      </w:r>
      <w:r w:rsidRPr="004B793E">
        <w:t xml:space="preserve"> drejta t</w:t>
      </w:r>
      <w:r>
        <w:t>ë</w:t>
      </w:r>
      <w:r w:rsidRPr="004B793E">
        <w:t xml:space="preserve"> siguruara dhe mendon se heqja e kësaj t</w:t>
      </w:r>
      <w:r>
        <w:t>ë</w:t>
      </w:r>
      <w:r w:rsidRPr="004B793E">
        <w:t xml:space="preserve"> drejte mund t</w:t>
      </w:r>
      <w:r>
        <w:t>ë</w:t>
      </w:r>
      <w:r w:rsidRPr="004B793E">
        <w:t xml:space="preserve"> çoj</w:t>
      </w:r>
      <w:r>
        <w:t>ë</w:t>
      </w:r>
      <w:r w:rsidRPr="004B793E">
        <w:t xml:space="preserve"> n</w:t>
      </w:r>
      <w:r>
        <w:t>ë</w:t>
      </w:r>
      <w:r w:rsidRPr="004B793E">
        <w:t xml:space="preserve"> rritjen e çmimit t</w:t>
      </w:r>
      <w:r>
        <w:t>ë</w:t>
      </w:r>
      <w:r w:rsidRPr="004B793E">
        <w:t xml:space="preserve"> blerjes s</w:t>
      </w:r>
      <w:r>
        <w:t>ë</w:t>
      </w:r>
      <w:r w:rsidRPr="004B793E">
        <w:t xml:space="preserve"> en</w:t>
      </w:r>
      <w:r>
        <w:t>ergjisë elektrike dhe për pasojë</w:t>
      </w:r>
      <w:r w:rsidRPr="004B793E">
        <w:t xml:space="preserve"> do t</w:t>
      </w:r>
      <w:r>
        <w:t>ë</w:t>
      </w:r>
      <w:r w:rsidRPr="004B793E">
        <w:t xml:space="preserve"> çonte n</w:t>
      </w:r>
      <w:r>
        <w:t>ë anul</w:t>
      </w:r>
      <w:r w:rsidRPr="004B793E">
        <w:t>imin e tenderit.</w:t>
      </w:r>
    </w:p>
    <w:p w:rsidR="004354B9" w:rsidRPr="004B793E" w:rsidRDefault="004354B9" w:rsidP="004354B9">
      <w:pPr>
        <w:pStyle w:val="Paragrafi"/>
      </w:pPr>
      <w:r>
        <w:t>- “CEZ</w:t>
      </w:r>
      <w:r w:rsidRPr="004B793E">
        <w:t xml:space="preserve"> shpërndarje</w:t>
      </w:r>
      <w:r>
        <w:t>”</w:t>
      </w:r>
      <w:r w:rsidRPr="004B793E">
        <w:t xml:space="preserve"> konsideron si risk dhe mundet q</w:t>
      </w:r>
      <w:r>
        <w:t>ë</w:t>
      </w:r>
      <w:r w:rsidRPr="004B793E">
        <w:t xml:space="preserve"> nga kompanitë pjesëmarrëse n</w:t>
      </w:r>
      <w:r>
        <w:t>ë</w:t>
      </w:r>
      <w:r w:rsidRPr="004B793E">
        <w:t xml:space="preserve"> ankandin e kapaciteteve t</w:t>
      </w:r>
      <w:r>
        <w:t>ë</w:t>
      </w:r>
      <w:r w:rsidRPr="004B793E">
        <w:t xml:space="preserve"> blejnë ato dhe  t</w:t>
      </w:r>
      <w:r>
        <w:t>ë</w:t>
      </w:r>
      <w:r w:rsidRPr="004B793E">
        <w:t xml:space="preserve"> bllokojnë pjesëmarrësit e tjerë t</w:t>
      </w:r>
      <w:r>
        <w:t>ë</w:t>
      </w:r>
      <w:r w:rsidRPr="004B793E">
        <w:t xml:space="preserve"> mundshëm fitues.</w:t>
      </w:r>
    </w:p>
    <w:p w:rsidR="004354B9" w:rsidRPr="004B793E" w:rsidRDefault="004354B9" w:rsidP="004354B9">
      <w:pPr>
        <w:pStyle w:val="Paragrafi"/>
      </w:pPr>
      <w:r w:rsidRPr="004B793E">
        <w:t>Kërkesa e KESH sh.a</w:t>
      </w:r>
      <w:r>
        <w:t xml:space="preserve">. bazohet </w:t>
      </w:r>
      <w:r w:rsidRPr="004B793E">
        <w:t xml:space="preserve">në ndryshimet që kanë ndodhur nga koha e miratimit të </w:t>
      </w:r>
      <w:r>
        <w:t>“</w:t>
      </w:r>
      <w:r w:rsidRPr="004B793E">
        <w:t>Rregullave të alokimit të kapaciteteve të interkonjeksionit</w:t>
      </w:r>
      <w:r>
        <w:t>”</w:t>
      </w:r>
      <w:r w:rsidRPr="004B793E">
        <w:t xml:space="preserve"> e deri më tani dhe konkretisht sipas KESH sh.a</w:t>
      </w:r>
      <w:r>
        <w:t>.</w:t>
      </w:r>
      <w:r w:rsidRPr="004B793E">
        <w:t>:</w:t>
      </w:r>
    </w:p>
    <w:p w:rsidR="004354B9" w:rsidRPr="004B793E" w:rsidRDefault="004354B9" w:rsidP="004354B9">
      <w:pPr>
        <w:pStyle w:val="Paragrafi"/>
      </w:pPr>
      <w:r>
        <w:t xml:space="preserve">- </w:t>
      </w:r>
      <w:r w:rsidRPr="004B793E">
        <w:t>Koha kur u miratuan rregullat</w:t>
      </w:r>
      <w:r>
        <w:t>,</w:t>
      </w:r>
      <w:r w:rsidRPr="004B793E">
        <w:t xml:space="preserve"> i korrespondonte një cikli t</w:t>
      </w:r>
      <w:r>
        <w:t>ë</w:t>
      </w:r>
      <w:r w:rsidRPr="004B793E">
        <w:t xml:space="preserve"> mir</w:t>
      </w:r>
      <w:r>
        <w:t>ë</w:t>
      </w:r>
      <w:r w:rsidRPr="004B793E">
        <w:t xml:space="preserve"> hidrik</w:t>
      </w:r>
      <w:r>
        <w:t>,</w:t>
      </w:r>
      <w:r w:rsidRPr="004B793E">
        <w:t xml:space="preserve"> ndërkohë tani ka nisur një cikël i that</w:t>
      </w:r>
      <w:r>
        <w:t>ë</w:t>
      </w:r>
      <w:r w:rsidRPr="004B793E">
        <w:t xml:space="preserve"> hidrik</w:t>
      </w:r>
      <w:r>
        <w:t>.</w:t>
      </w:r>
      <w:r w:rsidRPr="004B793E">
        <w:t xml:space="preserve"> </w:t>
      </w:r>
    </w:p>
    <w:p w:rsidR="004354B9" w:rsidRPr="004B793E" w:rsidRDefault="004354B9" w:rsidP="004354B9">
      <w:pPr>
        <w:pStyle w:val="Paragrafi"/>
      </w:pPr>
      <w:r>
        <w:t xml:space="preserve">- </w:t>
      </w:r>
      <w:r w:rsidRPr="004B793E">
        <w:t>Eksperienca</w:t>
      </w:r>
      <w:r>
        <w:t xml:space="preserve"> e deritanishme e prokurimeve të</w:t>
      </w:r>
      <w:r w:rsidRPr="004B793E">
        <w:t xml:space="preserve"> KESH sh.a</w:t>
      </w:r>
      <w:r>
        <w:t>.,</w:t>
      </w:r>
      <w:r w:rsidRPr="004B793E">
        <w:t xml:space="preserve"> ka treguar se ka m</w:t>
      </w:r>
      <w:r>
        <w:t>ë</w:t>
      </w:r>
      <w:r w:rsidRPr="004B793E">
        <w:t xml:space="preserve"> shum</w:t>
      </w:r>
      <w:r>
        <w:t>ë konkurrencë</w:t>
      </w:r>
      <w:r w:rsidRPr="004B793E">
        <w:t xml:space="preserve"> kur ofertohet me t</w:t>
      </w:r>
      <w:r>
        <w:t>ë drejta të</w:t>
      </w:r>
      <w:r w:rsidRPr="004B793E">
        <w:t xml:space="preserve"> siguruara nga  KESH sh.a. </w:t>
      </w:r>
    </w:p>
    <w:p w:rsidR="004354B9" w:rsidRPr="004B793E" w:rsidRDefault="004354B9" w:rsidP="004354B9">
      <w:pPr>
        <w:pStyle w:val="Paragrafi"/>
      </w:pPr>
      <w:r w:rsidRPr="004B793E">
        <w:t>N</w:t>
      </w:r>
      <w:r>
        <w:t>ë</w:t>
      </w:r>
      <w:r w:rsidRPr="004B793E">
        <w:t xml:space="preserve"> lidhje me këto argumente t</w:t>
      </w:r>
      <w:r>
        <w:t>ë</w:t>
      </w:r>
      <w:r w:rsidRPr="004B793E">
        <w:t xml:space="preserve">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apo  t</w:t>
      </w:r>
      <w:r>
        <w:t>ë</w:t>
      </w:r>
      <w:r w:rsidRPr="004B793E">
        <w:t xml:space="preserve"> KESH sh.a</w:t>
      </w:r>
      <w:r>
        <w:t xml:space="preserve">., </w:t>
      </w:r>
      <w:r w:rsidRPr="004B793E">
        <w:t xml:space="preserve">theksojmë se </w:t>
      </w:r>
      <w:r>
        <w:t>“</w:t>
      </w:r>
      <w:r w:rsidRPr="004B793E">
        <w:t>Rregullat e alokimit</w:t>
      </w:r>
      <w:r>
        <w:t xml:space="preserve"> të</w:t>
      </w:r>
      <w:r w:rsidRPr="004B793E">
        <w:t xml:space="preserve"> kapaciteteve</w:t>
      </w:r>
      <w:r>
        <w:t>”</w:t>
      </w:r>
      <w:r w:rsidRPr="004B793E">
        <w:t xml:space="preserve"> janë </w:t>
      </w:r>
      <w:r>
        <w:t>miratuar më</w:t>
      </w:r>
      <w:r w:rsidRPr="004B793E">
        <w:t xml:space="preserve"> da</w:t>
      </w:r>
      <w:r>
        <w:t>të 22.</w:t>
      </w:r>
      <w:r w:rsidRPr="004B793E">
        <w:t>2.2011, dhe nuk ka kuptim q</w:t>
      </w:r>
      <w:r>
        <w:t>ë</w:t>
      </w:r>
      <w:r w:rsidRPr="004B793E">
        <w:t xml:space="preserve">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t</w:t>
      </w:r>
      <w:r>
        <w:t>ë</w:t>
      </w:r>
      <w:r w:rsidRPr="004B793E">
        <w:t xml:space="preserve"> hap</w:t>
      </w:r>
      <w:r>
        <w:t>ë</w:t>
      </w:r>
      <w:r w:rsidRPr="004B793E">
        <w:t xml:space="preserve"> tenderin me t</w:t>
      </w:r>
      <w:r>
        <w:t>ë</w:t>
      </w:r>
      <w:r w:rsidRPr="004B793E">
        <w:t xml:space="preserve"> drejta t</w:t>
      </w:r>
      <w:r>
        <w:t>ë</w:t>
      </w:r>
      <w:r w:rsidRPr="004B793E">
        <w:t xml:space="preserve"> siguruara, kur prej koh</w:t>
      </w:r>
      <w:r>
        <w:t>ë</w:t>
      </w:r>
      <w:r w:rsidRPr="004B793E">
        <w:t>sh është n</w:t>
      </w:r>
      <w:r>
        <w:t>ë</w:t>
      </w:r>
      <w:r w:rsidRPr="004B793E">
        <w:t xml:space="preserve"> dijeni t</w:t>
      </w:r>
      <w:r>
        <w:t>ë mos</w:t>
      </w:r>
      <w:r w:rsidRPr="004B793E">
        <w:t>pasjes s</w:t>
      </w:r>
      <w:r>
        <w:t>ë këtyre të</w:t>
      </w:r>
      <w:r w:rsidRPr="004B793E">
        <w:t xml:space="preserve"> dre</w:t>
      </w:r>
      <w:r>
        <w:t xml:space="preserve">jtave pas datës 31.12.2011. Përsa i përket riskut potencial </w:t>
      </w:r>
      <w:r w:rsidRPr="004B793E">
        <w:t>t</w:t>
      </w:r>
      <w:r>
        <w:t>ë</w:t>
      </w:r>
      <w:r w:rsidRPr="004B793E">
        <w:t xml:space="preserve"> bllokimit t</w:t>
      </w:r>
      <w:r>
        <w:t>ë</w:t>
      </w:r>
      <w:r w:rsidRPr="004B793E">
        <w:t xml:space="preserve"> kapaciteteve nga  pjesëmarrës t</w:t>
      </w:r>
      <w:r>
        <w:t>ë</w:t>
      </w:r>
      <w:r w:rsidRPr="004B793E">
        <w:t xml:space="preserve"> tjerë, sqarojmë s</w:t>
      </w:r>
      <w:r>
        <w:t>ë</w:t>
      </w:r>
      <w:r w:rsidRPr="004B793E">
        <w:t xml:space="preserve"> </w:t>
      </w:r>
      <w:r>
        <w:t>“CEZ</w:t>
      </w:r>
      <w:r w:rsidRPr="004B793E">
        <w:t xml:space="preserve"> shpërndarje</w:t>
      </w:r>
      <w:r>
        <w:t>”</w:t>
      </w:r>
      <w:r w:rsidRPr="004B793E">
        <w:t xml:space="preserve"> sikurse çdo pjesëmarrës i </w:t>
      </w:r>
      <w:r w:rsidRPr="004B793E">
        <w:lastRenderedPageBreak/>
        <w:t>tregut</w:t>
      </w:r>
      <w:r>
        <w:t>,</w:t>
      </w:r>
      <w:r w:rsidRPr="004B793E">
        <w:t xml:space="preserve">  përfshirë edhe KESH sh.</w:t>
      </w:r>
      <w:r>
        <w:t>a.,</w:t>
      </w:r>
      <w:r w:rsidRPr="004B793E">
        <w:t xml:space="preserve"> është i lirë të mar</w:t>
      </w:r>
      <w:r>
        <w:t>rë</w:t>
      </w:r>
      <w:r w:rsidRPr="004B793E">
        <w:t xml:space="preserve"> pjesë n</w:t>
      </w:r>
      <w:r>
        <w:t>ë</w:t>
      </w:r>
      <w:r w:rsidRPr="004B793E">
        <w:t xml:space="preserve"> këto ankande dhe t</w:t>
      </w:r>
      <w:r>
        <w:t>ë</w:t>
      </w:r>
      <w:r w:rsidRPr="004B793E">
        <w:t xml:space="preserve"> siguroj</w:t>
      </w:r>
      <w:r>
        <w:t>ë</w:t>
      </w:r>
      <w:r w:rsidRPr="004B793E">
        <w:t xml:space="preserve"> kështu kapacitetet e nevojshme. </w:t>
      </w:r>
      <w:smartTag w:uri="urn:schemas-microsoft-com:office:smarttags" w:element="place">
        <w:r w:rsidRPr="004B793E">
          <w:t>Po</w:t>
        </w:r>
      </w:smartTag>
      <w:r w:rsidRPr="004B793E">
        <w:t xml:space="preserve"> ashtu, lidhur me këtë shqetësim t</w:t>
      </w:r>
      <w:r>
        <w:t>ë</w:t>
      </w:r>
      <w:r w:rsidRPr="004B793E">
        <w:t xml:space="preserve"> bllokimit</w:t>
      </w:r>
      <w:r>
        <w:t xml:space="preserve"> të</w:t>
      </w:r>
      <w:r w:rsidRPr="004B793E">
        <w:t xml:space="preserve"> kapaciteteve, n</w:t>
      </w:r>
      <w:r>
        <w:t>ë</w:t>
      </w:r>
      <w:r w:rsidRPr="004B793E">
        <w:t xml:space="preserve"> rregullore është parashikuar n</w:t>
      </w:r>
      <w:r>
        <w:t xml:space="preserve">ë kapitullin VII paragrafi 4, </w:t>
      </w:r>
      <w:r w:rsidRPr="004B793E">
        <w:t>se e drejta e përdorimit t</w:t>
      </w:r>
      <w:r>
        <w:t>ë</w:t>
      </w:r>
      <w:r w:rsidRPr="004B793E">
        <w:t xml:space="preserve"> kapacitetit ndërkufitar ekzekutohet n</w:t>
      </w:r>
      <w:r>
        <w:t>ë</w:t>
      </w:r>
      <w:r w:rsidRPr="004B793E">
        <w:t xml:space="preserve"> baz</w:t>
      </w:r>
      <w:r>
        <w:t>ë</w:t>
      </w:r>
      <w:r w:rsidRPr="004B793E">
        <w:t xml:space="preserve"> t</w:t>
      </w:r>
      <w:r>
        <w:t>ë</w:t>
      </w:r>
      <w:r w:rsidRPr="004B793E">
        <w:t xml:space="preserve"> principit </w:t>
      </w:r>
      <w:r>
        <w:t>“</w:t>
      </w:r>
      <w:r w:rsidRPr="004B793E">
        <w:t>përdor</w:t>
      </w:r>
      <w:r>
        <w:t>e</w:t>
      </w:r>
      <w:r w:rsidRPr="004B793E">
        <w:t xml:space="preserve"> ose humb</w:t>
      </w:r>
      <w:r>
        <w:t>e”. Dhe më tej në</w:t>
      </w:r>
      <w:r w:rsidRPr="004B793E">
        <w:t xml:space="preserve"> paragrafin 7, përcaktohet se n</w:t>
      </w:r>
      <w:r>
        <w:t>ë</w:t>
      </w:r>
      <w:r w:rsidRPr="004B793E">
        <w:t xml:space="preserve"> rast se zotëruesi nuk e përdor kapacitetin e deklaruar tek OST, atëherë ai nuk do t</w:t>
      </w:r>
      <w:r>
        <w:t>ë</w:t>
      </w:r>
      <w:r w:rsidRPr="004B793E">
        <w:t xml:space="preserve"> lejohet t</w:t>
      </w:r>
      <w:r>
        <w:t>ë</w:t>
      </w:r>
      <w:r w:rsidRPr="004B793E">
        <w:t xml:space="preserve"> marr</w:t>
      </w:r>
      <w:r>
        <w:t>ë</w:t>
      </w:r>
      <w:r w:rsidRPr="004B793E">
        <w:t xml:space="preserve"> pjes</w:t>
      </w:r>
      <w:r>
        <w:t>ë</w:t>
      </w:r>
      <w:r w:rsidRPr="004B793E">
        <w:t xml:space="preserve"> n</w:t>
      </w:r>
      <w:r>
        <w:t>ë ankandin e muajit pasardhës. N</w:t>
      </w:r>
      <w:r>
        <w:rPr>
          <w:rFonts w:ascii="Times New Roman" w:hAnsi="Times New Roman" w:cs="Times New Roman"/>
        </w:rPr>
        <w:t>ë</w:t>
      </w:r>
      <w:r w:rsidRPr="004B793E">
        <w:t xml:space="preserve"> paragrafin 8 përcaktohet se n</w:t>
      </w:r>
      <w:r>
        <w:t>ë</w:t>
      </w:r>
      <w:r w:rsidRPr="004B793E">
        <w:t xml:space="preserve"> rast se zotëruesi i kapacitetit n</w:t>
      </w:r>
      <w:r>
        <w:t>ë</w:t>
      </w:r>
      <w:r w:rsidRPr="004B793E">
        <w:t xml:space="preserve"> mënyrë sistematike nuk e përdor kapacitetin e deklaruar te</w:t>
      </w:r>
      <w:r>
        <w:t>k</w:t>
      </w:r>
      <w:r w:rsidRPr="004B793E">
        <w:t xml:space="preserve"> OST, atëherë ai  nuk do t</w:t>
      </w:r>
      <w:r>
        <w:t>ë</w:t>
      </w:r>
      <w:r w:rsidRPr="004B793E">
        <w:t xml:space="preserve"> lejohet t</w:t>
      </w:r>
      <w:r>
        <w:t>ë</w:t>
      </w:r>
      <w:r w:rsidRPr="004B793E">
        <w:t xml:space="preserve"> marr</w:t>
      </w:r>
      <w:r>
        <w:t>ë</w:t>
      </w:r>
      <w:r w:rsidRPr="004B793E">
        <w:t xml:space="preserve"> pjes</w:t>
      </w:r>
      <w:r>
        <w:t>ë</w:t>
      </w:r>
      <w:r w:rsidRPr="004B793E">
        <w:t xml:space="preserve"> n</w:t>
      </w:r>
      <w:r>
        <w:t>ë</w:t>
      </w:r>
      <w:r w:rsidRPr="004B793E">
        <w:t xml:space="preserve"> ankandet e 6 muajve pasardhës. Nga ana tjetër</w:t>
      </w:r>
      <w:r>
        <w:t>,</w:t>
      </w:r>
      <w:r w:rsidRPr="004B793E">
        <w:t xml:space="preserve"> nëse do t</w:t>
      </w:r>
      <w:r>
        <w:t>ë</w:t>
      </w:r>
      <w:r w:rsidRPr="004B793E">
        <w:t xml:space="preserve"> pranoheshin argumentet e KESH sh.a</w:t>
      </w:r>
      <w:r>
        <w:t>.,</w:t>
      </w:r>
      <w:r w:rsidRPr="004B793E">
        <w:t xml:space="preserve"> apo edhe </w:t>
      </w:r>
      <w:r>
        <w:t>“CEZ</w:t>
      </w:r>
      <w:r w:rsidRPr="004B793E">
        <w:t xml:space="preserve"> shpërndarje</w:t>
      </w:r>
      <w:r>
        <w:t>”,</w:t>
      </w:r>
      <w:r w:rsidRPr="004B793E">
        <w:t xml:space="preserve"> do t</w:t>
      </w:r>
      <w:r>
        <w:t>ë</w:t>
      </w:r>
      <w:r w:rsidRPr="004B793E">
        <w:t xml:space="preserve"> thotë q</w:t>
      </w:r>
      <w:r>
        <w:t>ë</w:t>
      </w:r>
      <w:r w:rsidRPr="004B793E">
        <w:t xml:space="preserve"> këto t</w:t>
      </w:r>
      <w:r>
        <w:t>ë</w:t>
      </w:r>
      <w:r w:rsidRPr="004B793E">
        <w:t xml:space="preserve"> drejta t</w:t>
      </w:r>
      <w:r>
        <w:t>ë</w:t>
      </w:r>
      <w:r w:rsidRPr="004B793E">
        <w:t xml:space="preserve"> siguruara t</w:t>
      </w:r>
      <w:r>
        <w:t>ë</w:t>
      </w:r>
      <w:r w:rsidRPr="004B793E">
        <w:t xml:space="preserve"> aplikohen gjithmonë dhe jo për periudha tranzitore.  </w:t>
      </w:r>
    </w:p>
    <w:p w:rsidR="004354B9" w:rsidRPr="004B793E" w:rsidRDefault="004354B9" w:rsidP="004354B9">
      <w:pPr>
        <w:pStyle w:val="Paragrafi"/>
      </w:pPr>
      <w:r w:rsidRPr="004B793E">
        <w:t>Për gjithë sa më sipër</w:t>
      </w:r>
      <w:r>
        <w:t>,</w:t>
      </w:r>
      <w:r w:rsidRPr="004B793E">
        <w:t xml:space="preserve"> Bordi i Komisionerëve </w:t>
      </w:r>
    </w:p>
    <w:p w:rsidR="004354B9" w:rsidRDefault="004354B9" w:rsidP="004354B9">
      <w:pPr>
        <w:pStyle w:val="VENDOSI"/>
        <w:keepNext w:val="0"/>
      </w:pPr>
    </w:p>
    <w:p w:rsidR="004354B9" w:rsidRPr="004B793E" w:rsidRDefault="004354B9" w:rsidP="004354B9">
      <w:pPr>
        <w:pStyle w:val="VENDOSI"/>
        <w:keepNext w:val="0"/>
      </w:pPr>
      <w:r w:rsidRPr="004B793E">
        <w:t>Vendosi:</w:t>
      </w:r>
    </w:p>
    <w:p w:rsidR="004354B9" w:rsidRPr="004B793E" w:rsidRDefault="004354B9" w:rsidP="004354B9">
      <w:pPr>
        <w:pStyle w:val="Paragrafi"/>
      </w:pPr>
    </w:p>
    <w:p w:rsidR="004354B9" w:rsidRPr="004B793E" w:rsidRDefault="004354B9" w:rsidP="004354B9">
      <w:pPr>
        <w:pStyle w:val="Paragrafi"/>
      </w:pPr>
      <w:r>
        <w:t xml:space="preserve">1. </w:t>
      </w:r>
      <w:r w:rsidRPr="004B793E">
        <w:t xml:space="preserve">Në  </w:t>
      </w:r>
      <w:r>
        <w:t>“</w:t>
      </w:r>
      <w:r w:rsidRPr="004B793E">
        <w:t>Rregullat e  alokimit të kapaciteteve të interkonjeksioneve</w:t>
      </w:r>
      <w:r>
        <w:t>”,</w:t>
      </w:r>
      <w:r w:rsidRPr="004B793E">
        <w:t xml:space="preserve"> të miratuar</w:t>
      </w:r>
      <w:r>
        <w:t>a</w:t>
      </w:r>
      <w:r w:rsidRPr="004B793E">
        <w:t xml:space="preserve"> me vendimin </w:t>
      </w:r>
      <w:r>
        <w:t>nr.</w:t>
      </w:r>
      <w:r w:rsidRPr="004B793E">
        <w:t>13</w:t>
      </w:r>
      <w:r>
        <w:t>, datë 22.</w:t>
      </w:r>
      <w:r w:rsidRPr="004B793E">
        <w:t>2.2011,  bëhet ndryshimi si më poshtë:</w:t>
      </w:r>
    </w:p>
    <w:p w:rsidR="004354B9" w:rsidRPr="004B793E" w:rsidRDefault="004354B9" w:rsidP="004354B9">
      <w:pPr>
        <w:pStyle w:val="Paragrafi"/>
      </w:pPr>
      <w:r>
        <w:t xml:space="preserve">1.1 </w:t>
      </w:r>
      <w:r w:rsidRPr="004B793E">
        <w:t xml:space="preserve">Në fund të paragrafit të katërt të kapitullit 1 “Hyrje dhe dispozita të përgjithshme” të </w:t>
      </w:r>
      <w:r>
        <w:t>“</w:t>
      </w:r>
      <w:r w:rsidRPr="004B793E">
        <w:t>Rregullave të alokimit të kapaciteteve të interkonjeksionit</w:t>
      </w:r>
      <w:r>
        <w:t xml:space="preserve">,  </w:t>
      </w:r>
      <w:r w:rsidRPr="004B793E">
        <w:t>shtohet paragrafi me përmbajtjen:</w:t>
      </w:r>
    </w:p>
    <w:p w:rsidR="004354B9" w:rsidRPr="004B793E" w:rsidRDefault="004354B9" w:rsidP="004354B9">
      <w:pPr>
        <w:pStyle w:val="Paragrafi"/>
      </w:pPr>
      <w:r w:rsidRPr="004B793E">
        <w:t>“Në lidhje me ankandin ditor të alokimit të kapaciteteve të interkonjeksionit nga secil</w:t>
      </w:r>
      <w:r>
        <w:t>i drejtim, shoqëria OST sh.a.,  në</w:t>
      </w:r>
      <w:r w:rsidRPr="004B793E">
        <w:t xml:space="preserve"> munges</w:t>
      </w:r>
      <w:r>
        <w:t>ë</w:t>
      </w:r>
      <w:r w:rsidRPr="004B793E">
        <w:t xml:space="preserve"> t</w:t>
      </w:r>
      <w:r>
        <w:t>ë</w:t>
      </w:r>
      <w:r w:rsidRPr="004B793E">
        <w:t xml:space="preserve"> platform</w:t>
      </w:r>
      <w:r>
        <w:t>ë</w:t>
      </w:r>
      <w:r w:rsidRPr="004B793E">
        <w:t>s elektronik</w:t>
      </w:r>
      <w:r>
        <w:t>e</w:t>
      </w:r>
      <w:r w:rsidRPr="004B793E">
        <w:t xml:space="preserve"> (softit)</w:t>
      </w:r>
      <w:r>
        <w:t>,</w:t>
      </w:r>
      <w:r w:rsidRPr="004B793E">
        <w:t xml:space="preserve">  por jo m</w:t>
      </w:r>
      <w:r>
        <w:t>ë</w:t>
      </w:r>
      <w:r w:rsidRPr="004B793E">
        <w:t xml:space="preserve">  von</w:t>
      </w:r>
      <w:r>
        <w:t>ë</w:t>
      </w:r>
      <w:r w:rsidRPr="004B793E">
        <w:t xml:space="preserve"> se data 31 mars 2012, do t</w:t>
      </w:r>
      <w:r>
        <w:t>ë</w:t>
      </w:r>
      <w:r w:rsidRPr="004B793E">
        <w:t xml:space="preserve"> ofroj</w:t>
      </w:r>
      <w:r>
        <w:t>ë</w:t>
      </w:r>
      <w:r w:rsidRPr="004B793E">
        <w:t xml:space="preserve"> kapacitet</w:t>
      </w:r>
      <w:r>
        <w:t>e</w:t>
      </w:r>
      <w:r w:rsidRPr="004B793E">
        <w:t xml:space="preserve"> ditore p</w:t>
      </w:r>
      <w:r>
        <w:t>ë</w:t>
      </w:r>
      <w:r w:rsidRPr="004B793E">
        <w:t>r t</w:t>
      </w:r>
      <w:r>
        <w:t>ë</w:t>
      </w:r>
      <w:r w:rsidRPr="004B793E">
        <w:t xml:space="preserve"> gjith</w:t>
      </w:r>
      <w:r>
        <w:t>ë</w:t>
      </w:r>
      <w:r w:rsidRPr="004B793E">
        <w:t xml:space="preserve"> pjes</w:t>
      </w:r>
      <w:r>
        <w:t>ë</w:t>
      </w:r>
      <w:r w:rsidRPr="004B793E">
        <w:t>marr</w:t>
      </w:r>
      <w:r>
        <w:t>ë</w:t>
      </w:r>
      <w:r w:rsidRPr="004B793E">
        <w:t>sit e tregut n</w:t>
      </w:r>
      <w:r>
        <w:t>ë</w:t>
      </w:r>
      <w:r w:rsidRPr="004B793E">
        <w:t xml:space="preserve"> m</w:t>
      </w:r>
      <w:r>
        <w:t>ë</w:t>
      </w:r>
      <w:r w:rsidRPr="004B793E">
        <w:t>nyr</w:t>
      </w:r>
      <w:r>
        <w:t>ë</w:t>
      </w:r>
      <w:r w:rsidRPr="004B793E">
        <w:t xml:space="preserve"> proporcionale sipas k</w:t>
      </w:r>
      <w:r>
        <w:t>ërkesave</w:t>
      </w:r>
      <w:r w:rsidRPr="004B793E">
        <w:t>. Menjëherë pas sigurimit të platformës elektronike (softit), gjatë periudhës tranzitore, OST sh.a</w:t>
      </w:r>
      <w:r>
        <w:t>.</w:t>
      </w:r>
      <w:r w:rsidRPr="004B793E">
        <w:t xml:space="preserve"> duhet të njoftoj</w:t>
      </w:r>
      <w:r>
        <w:t xml:space="preserve">ë ERE-n”. OST </w:t>
      </w:r>
      <w:r w:rsidRPr="004B793E">
        <w:t>t</w:t>
      </w:r>
      <w:r>
        <w:t>ë</w:t>
      </w:r>
      <w:r w:rsidRPr="004B793E">
        <w:t xml:space="preserve"> parashikoj</w:t>
      </w:r>
      <w:r>
        <w:t>ë</w:t>
      </w:r>
      <w:r w:rsidRPr="004B793E">
        <w:t xml:space="preserve"> n</w:t>
      </w:r>
      <w:r>
        <w:t>ë</w:t>
      </w:r>
      <w:r w:rsidRPr="004B793E">
        <w:t xml:space="preserve"> planin e inve</w:t>
      </w:r>
      <w:r>
        <w:t>stimeve për vitin 2012 fondin pë</w:t>
      </w:r>
      <w:r w:rsidRPr="004B793E">
        <w:t xml:space="preserve">r realizimin e prokurimit dhe vendosjes në </w:t>
      </w:r>
      <w:r>
        <w:t>punë të softit brenda afatit të</w:t>
      </w:r>
      <w:r w:rsidRPr="004B793E">
        <w:t xml:space="preserve"> vendosur n</w:t>
      </w:r>
      <w:r>
        <w:t>ë</w:t>
      </w:r>
      <w:r w:rsidRPr="004B793E">
        <w:t xml:space="preserve"> k</w:t>
      </w:r>
      <w:r>
        <w:t>ë</w:t>
      </w:r>
      <w:r w:rsidRPr="004B793E">
        <w:t>t</w:t>
      </w:r>
      <w:r>
        <w:t>ë</w:t>
      </w:r>
      <w:r w:rsidRPr="004B793E">
        <w:t xml:space="preserve"> dispozit</w:t>
      </w:r>
      <w:r>
        <w:t>ë</w:t>
      </w:r>
      <w:r w:rsidRPr="004B793E">
        <w:t xml:space="preserve">.  </w:t>
      </w:r>
    </w:p>
    <w:p w:rsidR="004354B9" w:rsidRPr="004B793E" w:rsidRDefault="004354B9" w:rsidP="004354B9">
      <w:pPr>
        <w:pStyle w:val="Paragrafi"/>
      </w:pPr>
      <w:r>
        <w:t xml:space="preserve">2. </w:t>
      </w:r>
      <w:r w:rsidRPr="004B793E">
        <w:t>Duke filluar nga data 1 janar 2012 shfuqizohen t</w:t>
      </w:r>
      <w:r>
        <w:t>ë</w:t>
      </w:r>
      <w:r w:rsidRPr="004B793E">
        <w:t xml:space="preserve"> gjitha t</w:t>
      </w:r>
      <w:r>
        <w:t>ë</w:t>
      </w:r>
      <w:r w:rsidRPr="004B793E">
        <w:t xml:space="preserve"> drejtat e rezervuara.  OST nuk mund t</w:t>
      </w:r>
      <w:r>
        <w:t>ë</w:t>
      </w:r>
      <w:r w:rsidRPr="004B793E">
        <w:t xml:space="preserve"> bëj</w:t>
      </w:r>
      <w:r>
        <w:t>ë</w:t>
      </w:r>
      <w:r w:rsidRPr="004B793E">
        <w:t xml:space="preserve"> alokim kapacitetesh mbi baza prioritare (t</w:t>
      </w:r>
      <w:r>
        <w:t>ë</w:t>
      </w:r>
      <w:r w:rsidRPr="004B793E">
        <w:t xml:space="preserve"> drejta t</w:t>
      </w:r>
      <w:r>
        <w:t>ë</w:t>
      </w:r>
      <w:r w:rsidRPr="004B793E">
        <w:t xml:space="preserve"> siguruara).</w:t>
      </w:r>
    </w:p>
    <w:p w:rsidR="004354B9" w:rsidRPr="004B793E" w:rsidRDefault="004354B9" w:rsidP="004354B9">
      <w:pPr>
        <w:pStyle w:val="Paragrafi"/>
      </w:pPr>
      <w:r>
        <w:t xml:space="preserve">3. </w:t>
      </w:r>
      <w:r w:rsidRPr="004B793E">
        <w:t>Për një periudhë tranzitore</w:t>
      </w:r>
      <w:r>
        <w:t>,</w:t>
      </w:r>
      <w:r w:rsidRPr="004B793E">
        <w:t xml:space="preserve">  por  jo m</w:t>
      </w:r>
      <w:r>
        <w:t>ë</w:t>
      </w:r>
      <w:r w:rsidRPr="004B793E">
        <w:t xml:space="preserve"> vonë s</w:t>
      </w:r>
      <w:r>
        <w:t>e</w:t>
      </w:r>
      <w:r w:rsidRPr="004B793E">
        <w:t xml:space="preserve"> data 1 korrik 2012,  OST do t</w:t>
      </w:r>
      <w:r>
        <w:t>ë</w:t>
      </w:r>
      <w:r w:rsidRPr="004B793E">
        <w:t xml:space="preserve"> alokoj</w:t>
      </w:r>
      <w:r>
        <w:t>ë</w:t>
      </w:r>
      <w:r w:rsidRPr="004B793E">
        <w:t xml:space="preserve"> kapacitetet mbi bazën e ankandit mujor. Jo m</w:t>
      </w:r>
      <w:r>
        <w:t>ë</w:t>
      </w:r>
      <w:r w:rsidRPr="004B793E">
        <w:t xml:space="preserve"> von</w:t>
      </w:r>
      <w:r>
        <w:t>ë</w:t>
      </w:r>
      <w:r w:rsidRPr="004B793E">
        <w:t xml:space="preserve"> se data 1 korrik 2012, OST  do të ketë kryer an</w:t>
      </w:r>
      <w:r>
        <w:t>kandin për periudhën e mbetur të</w:t>
      </w:r>
      <w:r w:rsidRPr="004B793E">
        <w:t xml:space="preserve"> vitit 2012. Për periudhën që nga data 1 janar 2013</w:t>
      </w:r>
      <w:r>
        <w:t>,</w:t>
      </w:r>
      <w:r w:rsidRPr="004B793E">
        <w:t xml:space="preserve"> OST do t</w:t>
      </w:r>
      <w:r>
        <w:t>ë</w:t>
      </w:r>
      <w:r w:rsidRPr="004B793E">
        <w:t xml:space="preserve"> kryej</w:t>
      </w:r>
      <w:r>
        <w:t>ë</w:t>
      </w:r>
      <w:r w:rsidRPr="004B793E">
        <w:t xml:space="preserve"> ankande vjetore për alokimin e kapaciteteve t</w:t>
      </w:r>
      <w:r>
        <w:t>ë</w:t>
      </w:r>
      <w:r w:rsidRPr="004B793E">
        <w:t xml:space="preserve"> interkonjeksioneve.</w:t>
      </w:r>
    </w:p>
    <w:p w:rsidR="004354B9" w:rsidRPr="004B793E" w:rsidRDefault="004354B9" w:rsidP="004354B9">
      <w:pPr>
        <w:pStyle w:val="Paragrafi"/>
      </w:pPr>
      <w:r>
        <w:t xml:space="preserve">4. </w:t>
      </w:r>
      <w:r w:rsidRPr="004B793E">
        <w:t xml:space="preserve">Drejtoria Juridike dhe </w:t>
      </w:r>
      <w:r>
        <w:t xml:space="preserve">e </w:t>
      </w:r>
      <w:r w:rsidRPr="004B793E">
        <w:t>Mbrojtjes së Konsumatorit të njoftojë shoqërinë OST sh.a</w:t>
      </w:r>
      <w:r>
        <w:t>.</w:t>
      </w:r>
      <w:r w:rsidRPr="004B793E">
        <w:t>, KESH sh.a</w:t>
      </w:r>
      <w:r>
        <w:t>.,</w:t>
      </w:r>
      <w:r w:rsidRPr="004B793E">
        <w:t xml:space="preserve">  </w:t>
      </w:r>
      <w:r>
        <w:t>“CEZ</w:t>
      </w:r>
      <w:r w:rsidRPr="004B793E">
        <w:t xml:space="preserve"> shp</w:t>
      </w:r>
      <w:r>
        <w:t>ërn</w:t>
      </w:r>
      <w:r w:rsidRPr="004B793E">
        <w:t>darje</w:t>
      </w:r>
      <w:r>
        <w:t>”</w:t>
      </w:r>
      <w:r w:rsidRPr="004B793E">
        <w:t xml:space="preserve"> sh.a</w:t>
      </w:r>
      <w:r>
        <w:t>.</w:t>
      </w:r>
      <w:r w:rsidRPr="004B793E">
        <w:t xml:space="preserve"> dhe AEES për vendimin e Bordit të Komisionerëve. </w:t>
      </w:r>
    </w:p>
    <w:p w:rsidR="004354B9" w:rsidRPr="004B793E" w:rsidRDefault="004354B9" w:rsidP="004354B9">
      <w:pPr>
        <w:pStyle w:val="Paragrafi"/>
      </w:pPr>
      <w:r w:rsidRPr="004B793E">
        <w:t xml:space="preserve">Ky vendim hyn në fuqi menjëherë. </w:t>
      </w:r>
    </w:p>
    <w:p w:rsidR="004354B9" w:rsidRPr="004B793E" w:rsidRDefault="004354B9" w:rsidP="004354B9">
      <w:pPr>
        <w:pStyle w:val="Paragrafi"/>
      </w:pPr>
      <w:r w:rsidRPr="004B793E">
        <w:t>Ky vendim botohet në Fletoren Zyrtare.</w:t>
      </w:r>
    </w:p>
    <w:p w:rsidR="004354B9" w:rsidRPr="00C109F5" w:rsidRDefault="004354B9" w:rsidP="004354B9">
      <w:pPr>
        <w:pStyle w:val="Autoriteti"/>
        <w:keepNext w:val="0"/>
      </w:pPr>
      <w:r w:rsidRPr="00C109F5">
        <w:t xml:space="preserve">KRYETARI  </w:t>
      </w:r>
    </w:p>
    <w:p w:rsidR="003E172F" w:rsidRDefault="004354B9" w:rsidP="004354B9">
      <w:pPr>
        <w:pStyle w:val="AutoritetiEmer"/>
      </w:pPr>
      <w:r w:rsidRPr="00C109F5">
        <w:t>Sokol Ramadani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D38EE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672A5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2365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F424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464FD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946B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CA75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4EAC7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536E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54B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354B9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A76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61F9B-6D1E-4A2F-8A86-3ADB8142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4B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354B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354B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354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54B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