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D0A" w:rsidRPr="008D575D" w:rsidRDefault="00441D0A" w:rsidP="00441D0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8D575D">
        <w:rPr>
          <w:sz w:val="21"/>
          <w:szCs w:val="21"/>
          <w:lang w:val="sq-AL"/>
        </w:rPr>
        <w:t>VENDIM</w:t>
      </w:r>
    </w:p>
    <w:p w:rsidR="00441D0A" w:rsidRPr="008D575D" w:rsidRDefault="00441D0A" w:rsidP="00441D0A">
      <w:pPr>
        <w:pStyle w:val="NumriData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Nr.162, datë 30.12.2011</w:t>
      </w: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</w:p>
    <w:p w:rsidR="00441D0A" w:rsidRPr="008D575D" w:rsidRDefault="00441D0A" w:rsidP="00441D0A">
      <w:pPr>
        <w:pStyle w:val="Titulli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PËR PËRCAKTIMIN E ÇMIMEVE TË SHITJES ME PAKICË TË ENERGJISË ELEKTRIKE PËR KLIENTËT TARIFORË TË LIDHUR NË TENSION TË LARTË</w:t>
      </w: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Në mbështetje të neneve 9 dhe 26 të ligjit nr.9072, datë 22.5.2003 “Për sektorin e energjisë elektrike” të ndryshuar, neneve 20, 21 të “Rregullave të praktikës dhe procedurave të ERE-s”, miratuar me vendimin e Bordit të Komisionerëve të ERE-s nr.21, datë 18.3.2009, të ndryshuar, vendimit nr.80, datë 26.6.2008 “Për miratimin e metodologjisë së llogaritjes së tarifës për furnizuesin publik me pakicë të energjisë elektrike”, Bordi i Komisionerëve të Entit Rregullator të Energjisë (ERE), në mbledhjen e tij të datës 30.12.2011, pasi shqyrtoi relacionin e përgatitur nga drejtoritë teknike të ERE-s,</w:t>
      </w: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</w:p>
    <w:p w:rsidR="00441D0A" w:rsidRPr="008D575D" w:rsidRDefault="00441D0A" w:rsidP="00441D0A">
      <w:pPr>
        <w:pStyle w:val="VENDOSI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VENDOSI:</w:t>
      </w: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1. Çmimi i shitjes me pakicë të energjisë elektrike për klientët tariforë të lidhur në tension të lartë, do të jetë çmimi i përcaktuar në vendimin nr.100, datë 7.12.2010 deri në hyrjen në fuqi të ligjit nr.10 485, datë 26.11.2011 “Për disa ndryshime dhe shtesa në ligjin nr.9072, datë 22.5.2003 “Për sektorin e energjisë elektrike””, të ndryshuar.</w:t>
      </w: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2. Çmimi i energjisë elektrike për energjinë e furnizuar në periudhën e pikut do të jetë 15% më i lartë se ai i furnizuar në periudhën jashtë pikut.</w:t>
      </w: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3. Ngarkohen Drejtoria Juridike dhe e Mbrojtjes së Konsumatorit për njoftimin e “CEZ shpërndarje” sh.a.</w:t>
      </w: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Ky vendim hyn në fuqi në datën 1.1.2012.</w:t>
      </w: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Ky vendim botohet në Fletoren Zyrtare.</w:t>
      </w:r>
    </w:p>
    <w:p w:rsidR="00441D0A" w:rsidRPr="008D575D" w:rsidRDefault="00441D0A" w:rsidP="00441D0A">
      <w:pPr>
        <w:pStyle w:val="Paragrafi"/>
        <w:rPr>
          <w:sz w:val="21"/>
          <w:szCs w:val="21"/>
          <w:lang w:val="sq-AL"/>
        </w:rPr>
      </w:pPr>
    </w:p>
    <w:p w:rsidR="00441D0A" w:rsidRPr="008D575D" w:rsidRDefault="00441D0A" w:rsidP="00441D0A">
      <w:pPr>
        <w:pStyle w:val="Autoriteti"/>
        <w:rPr>
          <w:sz w:val="21"/>
          <w:szCs w:val="21"/>
          <w:lang w:val="sq-AL"/>
        </w:rPr>
      </w:pPr>
      <w:r w:rsidRPr="008D575D">
        <w:rPr>
          <w:sz w:val="21"/>
          <w:szCs w:val="21"/>
          <w:lang w:val="sq-AL"/>
        </w:rPr>
        <w:t>KRYETARI</w:t>
      </w:r>
    </w:p>
    <w:p w:rsidR="00477590" w:rsidRDefault="00441D0A" w:rsidP="00441D0A">
      <w:pPr>
        <w:pStyle w:val="AutoritetiEmer"/>
      </w:pPr>
      <w:r w:rsidRPr="008D575D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1D0A"/>
    <w:rsid w:val="000277EF"/>
    <w:rsid w:val="000C2ABA"/>
    <w:rsid w:val="00142F5D"/>
    <w:rsid w:val="001D4B57"/>
    <w:rsid w:val="00441D0A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8540A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4D9E26-3770-4B7C-9BCE-57CEE7F6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D0A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41D0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41D0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41D0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41D0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