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B92" w:rsidRPr="00280DC5" w:rsidRDefault="00960B92" w:rsidP="00960B92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960B92" w:rsidRPr="00280DC5" w:rsidRDefault="00960B92" w:rsidP="00960B9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 xml:space="preserve">136, datë 8.10.2012 </w:t>
      </w:r>
    </w:p>
    <w:p w:rsidR="00960B92" w:rsidRPr="00280DC5" w:rsidRDefault="00960B92" w:rsidP="00960B92">
      <w:pPr>
        <w:pStyle w:val="Paragrafi"/>
        <w:rPr>
          <w:lang w:val="sq-AL"/>
        </w:rPr>
      </w:pPr>
    </w:p>
    <w:p w:rsidR="00960B92" w:rsidRPr="00280DC5" w:rsidRDefault="00960B92" w:rsidP="00960B92">
      <w:pPr>
        <w:pStyle w:val="Titulli"/>
        <w:rPr>
          <w:lang w:val="sq-AL"/>
        </w:rPr>
      </w:pPr>
      <w:r w:rsidRPr="00280DC5">
        <w:rPr>
          <w:lang w:val="sq-AL"/>
        </w:rPr>
        <w:t xml:space="preserve">PËR KUALIFIKIMIN E IMPIANTIT PRODHUES “HEC OSTREN I VOGËL” TË SHOQËRISË </w:t>
      </w:r>
      <w:r>
        <w:rPr>
          <w:lang w:val="sq-AL"/>
        </w:rPr>
        <w:t>“</w:t>
      </w:r>
      <w:r w:rsidRPr="00280DC5">
        <w:rPr>
          <w:lang w:val="sq-AL"/>
        </w:rPr>
        <w:t>LU &amp; CO ECO ENERGY 2011</w:t>
      </w:r>
      <w:r>
        <w:rPr>
          <w:lang w:val="sq-AL"/>
        </w:rPr>
        <w:t>”</w:t>
      </w:r>
      <w:r w:rsidRPr="00280DC5">
        <w:rPr>
          <w:lang w:val="sq-AL"/>
        </w:rPr>
        <w:t>, SI BURIM I RINOVUESHËM ENERGJIE</w:t>
      </w:r>
    </w:p>
    <w:p w:rsidR="00960B92" w:rsidRPr="00280DC5" w:rsidRDefault="00960B92" w:rsidP="00960B92">
      <w:pPr>
        <w:pStyle w:val="Paragrafi"/>
        <w:rPr>
          <w:lang w:val="sq-AL"/>
        </w:rPr>
      </w:pP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 xml:space="preserve">Në mbështetje të </w:t>
      </w:r>
      <w:r>
        <w:rPr>
          <w:lang w:val="sq-AL"/>
        </w:rPr>
        <w:t>neneve 8 pika 2</w:t>
      </w:r>
      <w:r w:rsidRPr="00280DC5">
        <w:rPr>
          <w:lang w:val="sq-AL"/>
        </w:rPr>
        <w:t xml:space="preserve"> germa “ll”, 9 dhe 39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>9072, datë 22.5.2003 “Për se</w:t>
      </w:r>
      <w:r>
        <w:rPr>
          <w:lang w:val="sq-AL"/>
        </w:rPr>
        <w:t>kt</w:t>
      </w:r>
      <w:r w:rsidRPr="00280DC5">
        <w:rPr>
          <w:lang w:val="sq-AL"/>
        </w:rPr>
        <w:t>orin e energjisë ele</w:t>
      </w:r>
      <w:r>
        <w:rPr>
          <w:lang w:val="sq-AL"/>
        </w:rPr>
        <w:t>kt</w:t>
      </w:r>
      <w:r w:rsidRPr="00280DC5">
        <w:rPr>
          <w:lang w:val="sq-AL"/>
        </w:rPr>
        <w:t>rike”</w:t>
      </w:r>
      <w:r>
        <w:rPr>
          <w:lang w:val="sq-AL"/>
        </w:rPr>
        <w:t>,</w:t>
      </w:r>
      <w:r w:rsidRPr="00280DC5">
        <w:rPr>
          <w:lang w:val="sq-AL"/>
        </w:rPr>
        <w:t xml:space="preserve"> të ndryshuar, nenit 7 pikat 1 dhe 2 dhe nenit</w:t>
      </w:r>
      <w:r>
        <w:rPr>
          <w:lang w:val="sq-AL"/>
        </w:rPr>
        <w:t xml:space="preserve"> </w:t>
      </w:r>
      <w:r w:rsidRPr="00280DC5">
        <w:rPr>
          <w:lang w:val="sq-AL"/>
        </w:rPr>
        <w:t xml:space="preserve">9 të </w:t>
      </w:r>
      <w:r>
        <w:rPr>
          <w:lang w:val="sq-AL"/>
        </w:rPr>
        <w:t>“</w:t>
      </w:r>
      <w:r w:rsidRPr="00280DC5">
        <w:rPr>
          <w:lang w:val="sq-AL"/>
        </w:rPr>
        <w:t xml:space="preserve">Rregullave dhe procedurave të certifikimit të prodhimit të energjisë </w:t>
      </w:r>
      <w:r>
        <w:rPr>
          <w:lang w:val="sq-AL"/>
        </w:rPr>
        <w:t>elektrike</w:t>
      </w:r>
      <w:r w:rsidRPr="00280DC5">
        <w:rPr>
          <w:lang w:val="sq-AL"/>
        </w:rPr>
        <w:t xml:space="preserve"> nga burimet e rinovueshme</w:t>
      </w:r>
      <w:r>
        <w:rPr>
          <w:lang w:val="sq-AL"/>
        </w:rPr>
        <w:t>”,</w:t>
      </w:r>
      <w:r w:rsidRPr="00280DC5">
        <w:rPr>
          <w:lang w:val="sq-AL"/>
        </w:rPr>
        <w:t xml:space="preserve"> të miratuara me vendimin e Bordit të Komisionerëve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9, datë 21.2.2007, Bordi i Komisionerëve, në mbledhjen e tij të datës 8.10.2012, pasi shqyrtoi aplikimin e paraqitur nga shoqëria “LU &amp; CO ECO Energy 2011” </w:t>
      </w:r>
      <w:r>
        <w:rPr>
          <w:lang w:val="sq-AL"/>
        </w:rPr>
        <w:t>sh.p.k.</w:t>
      </w:r>
      <w:r w:rsidRPr="00280DC5">
        <w:rPr>
          <w:lang w:val="sq-AL"/>
        </w:rPr>
        <w:t xml:space="preserve"> për kualifikimin e impiantit prodhues Hec “Ostren i Vogël”</w:t>
      </w:r>
      <w:r>
        <w:rPr>
          <w:lang w:val="sq-AL"/>
        </w:rPr>
        <w:t>,</w:t>
      </w:r>
      <w:r w:rsidRPr="00280DC5">
        <w:rPr>
          <w:lang w:val="sq-AL"/>
        </w:rPr>
        <w:t xml:space="preserve"> si burim i rinovueshëm energjie,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>konstatoi se: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 xml:space="preserve">Aplikimi i paraqitur nga shoqëria “LU &amp; CO ECO Energy 2011” </w:t>
      </w:r>
      <w:r>
        <w:rPr>
          <w:lang w:val="sq-AL"/>
        </w:rPr>
        <w:t>sh.p.k.</w:t>
      </w:r>
      <w:r w:rsidRPr="00280DC5">
        <w:rPr>
          <w:lang w:val="sq-AL"/>
        </w:rPr>
        <w:t xml:space="preserve">, është konform </w:t>
      </w:r>
      <w:r>
        <w:rPr>
          <w:lang w:val="sq-AL"/>
        </w:rPr>
        <w:t>“</w:t>
      </w:r>
      <w:r w:rsidRPr="00280DC5">
        <w:rPr>
          <w:lang w:val="sq-AL"/>
        </w:rPr>
        <w:t xml:space="preserve">Rregullave dhe procedurave të certifikimit të prodhimit të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>nga burimet e rinovueshme</w:t>
      </w:r>
      <w:r>
        <w:rPr>
          <w:lang w:val="sq-AL"/>
        </w:rPr>
        <w:t>”,</w:t>
      </w:r>
      <w:r w:rsidRPr="00280DC5">
        <w:rPr>
          <w:lang w:val="sq-AL"/>
        </w:rPr>
        <w:t xml:space="preserve"> si më poshtë:</w:t>
      </w:r>
    </w:p>
    <w:p w:rsidR="00960B92" w:rsidRPr="00280DC5" w:rsidRDefault="00960B92" w:rsidP="00960B92">
      <w:pPr>
        <w:pStyle w:val="Paragrafi"/>
        <w:rPr>
          <w:lang w:val="sq-AL"/>
        </w:rPr>
      </w:pPr>
      <w:r>
        <w:rPr>
          <w:lang w:val="sq-AL"/>
        </w:rPr>
        <w:t>- Neni 7 pika 1</w:t>
      </w:r>
      <w:r w:rsidRPr="00280DC5">
        <w:rPr>
          <w:lang w:val="sq-AL"/>
        </w:rPr>
        <w:t xml:space="preserve"> germat “a</w:t>
      </w:r>
      <w:r>
        <w:rPr>
          <w:lang w:val="sq-AL"/>
        </w:rPr>
        <w:t>”</w:t>
      </w:r>
      <w:r w:rsidRPr="00280DC5">
        <w:rPr>
          <w:lang w:val="sq-AL"/>
        </w:rPr>
        <w:t>, “b</w:t>
      </w:r>
      <w:r>
        <w:rPr>
          <w:lang w:val="sq-AL"/>
        </w:rPr>
        <w:t>”</w:t>
      </w:r>
      <w:r w:rsidRPr="00280DC5">
        <w:rPr>
          <w:lang w:val="sq-AL"/>
        </w:rPr>
        <w:t>, “c</w:t>
      </w:r>
      <w:r>
        <w:rPr>
          <w:lang w:val="sq-AL"/>
        </w:rPr>
        <w:t>”</w:t>
      </w:r>
      <w:r w:rsidRPr="00280DC5">
        <w:rPr>
          <w:lang w:val="sq-AL"/>
        </w:rPr>
        <w:t>, “d</w:t>
      </w:r>
      <w:r>
        <w:rPr>
          <w:lang w:val="sq-AL"/>
        </w:rPr>
        <w:t>”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 xml:space="preserve">Përshkrimi i përgjithshëm i centralit. 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 xml:space="preserve">Ky dokumentacion është dhënë i </w:t>
      </w:r>
      <w:r>
        <w:rPr>
          <w:lang w:val="sq-AL"/>
        </w:rPr>
        <w:t>saktë</w:t>
      </w:r>
      <w:r w:rsidRPr="00280DC5">
        <w:rPr>
          <w:lang w:val="sq-AL"/>
        </w:rPr>
        <w:t xml:space="preserve"> dhe i plot</w:t>
      </w:r>
      <w:r>
        <w:rPr>
          <w:lang w:val="sq-AL"/>
        </w:rPr>
        <w:t>ë</w:t>
      </w:r>
      <w:r w:rsidRPr="00280DC5">
        <w:rPr>
          <w:lang w:val="sq-AL"/>
        </w:rPr>
        <w:t xml:space="preserve">. </w:t>
      </w:r>
    </w:p>
    <w:p w:rsidR="00960B92" w:rsidRPr="00280DC5" w:rsidRDefault="00960B92" w:rsidP="00960B9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>Neni 7, pika 2, germat “a</w:t>
      </w:r>
      <w:r>
        <w:rPr>
          <w:lang w:val="sq-AL"/>
        </w:rPr>
        <w:t>”</w:t>
      </w:r>
      <w:r w:rsidRPr="00280DC5">
        <w:rPr>
          <w:lang w:val="sq-AL"/>
        </w:rPr>
        <w:t>, “b</w:t>
      </w:r>
      <w:r>
        <w:rPr>
          <w:lang w:val="sq-AL"/>
        </w:rPr>
        <w:t>”</w:t>
      </w:r>
      <w:r w:rsidRPr="00280DC5">
        <w:rPr>
          <w:lang w:val="sq-AL"/>
        </w:rPr>
        <w:t>, “c</w:t>
      </w:r>
      <w:r>
        <w:rPr>
          <w:lang w:val="sq-AL"/>
        </w:rPr>
        <w:t>”</w:t>
      </w:r>
      <w:r w:rsidRPr="00280DC5">
        <w:rPr>
          <w:lang w:val="sq-AL"/>
        </w:rPr>
        <w:t>, “d</w:t>
      </w:r>
      <w:r>
        <w:rPr>
          <w:lang w:val="sq-AL"/>
        </w:rPr>
        <w:t>”</w:t>
      </w:r>
      <w:r w:rsidRPr="00280DC5">
        <w:rPr>
          <w:lang w:val="sq-AL"/>
        </w:rPr>
        <w:t xml:space="preserve"> 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 xml:space="preserve">Dokumentacioni vijues grafik, koreografia, planimetria e përgjithshme, skema funksionale etj. 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 xml:space="preserve">Ky </w:t>
      </w:r>
      <w:r>
        <w:rPr>
          <w:lang w:val="sq-AL"/>
        </w:rPr>
        <w:t>dokumentacion është paraqitur në</w:t>
      </w:r>
      <w:r w:rsidRPr="00280DC5">
        <w:rPr>
          <w:lang w:val="sq-AL"/>
        </w:rPr>
        <w:t xml:space="preserve">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</w:t>
      </w:r>
    </w:p>
    <w:p w:rsidR="00960B92" w:rsidRPr="00280DC5" w:rsidRDefault="00960B92" w:rsidP="00960B92">
      <w:pPr>
        <w:pStyle w:val="Paragrafi"/>
        <w:rPr>
          <w:lang w:val="sq-AL"/>
        </w:rPr>
      </w:pPr>
    </w:p>
    <w:p w:rsidR="00960B92" w:rsidRPr="00280DC5" w:rsidRDefault="00960B92" w:rsidP="00960B92">
      <w:pPr>
        <w:pStyle w:val="VENDOSI"/>
        <w:rPr>
          <w:lang w:val="sq-AL"/>
        </w:rPr>
      </w:pPr>
      <w:r>
        <w:rPr>
          <w:lang w:val="sq-AL"/>
        </w:rPr>
        <w:t>VENDOSI</w:t>
      </w:r>
      <w:r w:rsidRPr="00280DC5">
        <w:rPr>
          <w:lang w:val="sq-AL"/>
        </w:rPr>
        <w:t>:</w:t>
      </w:r>
    </w:p>
    <w:p w:rsidR="00960B92" w:rsidRPr="00280DC5" w:rsidRDefault="00960B92" w:rsidP="00960B92">
      <w:pPr>
        <w:pStyle w:val="Paragrafi"/>
        <w:rPr>
          <w:lang w:val="sq-AL"/>
        </w:rPr>
      </w:pPr>
    </w:p>
    <w:p w:rsidR="00960B92" w:rsidRPr="00280DC5" w:rsidRDefault="00960B92" w:rsidP="00960B9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 xml:space="preserve">Të kualifikojë impiantin prodhues “Hec Ostren i Vogël” të shoqërisë “LU &amp; CO ECO Energy 2011” </w:t>
      </w:r>
      <w:r>
        <w:rPr>
          <w:lang w:val="sq-AL"/>
        </w:rPr>
        <w:t>sh.p.k.</w:t>
      </w:r>
      <w:r w:rsidRPr="00280DC5">
        <w:rPr>
          <w:lang w:val="sq-AL"/>
        </w:rPr>
        <w:t xml:space="preserve">, si burim të rinovueshëm energjie. </w:t>
      </w:r>
    </w:p>
    <w:p w:rsidR="00960B92" w:rsidRPr="00280DC5" w:rsidRDefault="00960B92" w:rsidP="00960B92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0DC5">
        <w:rPr>
          <w:lang w:val="sq-AL"/>
        </w:rPr>
        <w:t>Ngarkohet Drejtoria e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 xml:space="preserve">imit dhe Monitorimit të Tregut të njoftojë aplikuesin lidhur me </w:t>
      </w:r>
      <w:r>
        <w:rPr>
          <w:lang w:val="sq-AL"/>
        </w:rPr>
        <w:t>v</w:t>
      </w:r>
      <w:r w:rsidRPr="00280DC5">
        <w:rPr>
          <w:lang w:val="sq-AL"/>
        </w:rPr>
        <w:t>endimin e Bordit të Komisionerëve të ERE-s.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menjëherë.</w:t>
      </w:r>
    </w:p>
    <w:p w:rsidR="00960B92" w:rsidRPr="00280DC5" w:rsidRDefault="00960B92" w:rsidP="00960B92">
      <w:pPr>
        <w:pStyle w:val="Paragrafi"/>
        <w:rPr>
          <w:lang w:val="sq-AL"/>
        </w:rPr>
      </w:pPr>
      <w:r w:rsidRPr="00280DC5">
        <w:rPr>
          <w:lang w:val="sq-AL"/>
        </w:rPr>
        <w:t xml:space="preserve">Ky vendim botohet në Fletoren Zyrtare. </w:t>
      </w:r>
    </w:p>
    <w:p w:rsidR="00960B92" w:rsidRPr="00280DC5" w:rsidRDefault="00960B92" w:rsidP="00960B92">
      <w:pPr>
        <w:pStyle w:val="Paragrafi"/>
        <w:rPr>
          <w:lang w:val="sq-AL"/>
        </w:rPr>
      </w:pPr>
    </w:p>
    <w:p w:rsidR="00960B92" w:rsidRPr="00280DC5" w:rsidRDefault="00960B92" w:rsidP="00960B92">
      <w:pPr>
        <w:pStyle w:val="Autoriteti"/>
        <w:rPr>
          <w:lang w:val="sq-AL"/>
        </w:rPr>
      </w:pPr>
      <w:r w:rsidRPr="00280DC5">
        <w:rPr>
          <w:lang w:val="sq-AL"/>
        </w:rPr>
        <w:t>KRYETARI</w:t>
      </w:r>
    </w:p>
    <w:p w:rsidR="00960B92" w:rsidRPr="00280DC5" w:rsidRDefault="00960B92" w:rsidP="00960B92">
      <w:pPr>
        <w:pStyle w:val="AutoritetiEmer"/>
        <w:rPr>
          <w:lang w:val="sq-AL"/>
        </w:rPr>
      </w:pPr>
      <w:r w:rsidRPr="00280DC5">
        <w:rPr>
          <w:lang w:val="sq-AL"/>
        </w:rPr>
        <w:t>Sokol Ramadani</w:t>
      </w:r>
      <w:r>
        <w:rPr>
          <w:lang w:val="sq-AL"/>
        </w:rPr>
        <w:t xml:space="preserve"> </w:t>
      </w:r>
    </w:p>
    <w:sectPr w:rsidR="00960B92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0B92"/>
    <w:rsid w:val="00453E92"/>
    <w:rsid w:val="00923549"/>
    <w:rsid w:val="0096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9B1AA3-2B3E-41D3-A4E4-BDE04F66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960B92"/>
    <w:pPr>
      <w:spacing w:before="200" w:after="0" w:line="240" w:lineRule="auto"/>
      <w:outlineLvl w:val="1"/>
    </w:pPr>
    <w:rPr>
      <w:rFonts w:ascii="Cambria" w:eastAsia="MS Mincho" w:hAnsi="Cambria" w:cs="Cambria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60B9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960B92"/>
    <w:rPr>
      <w:rFonts w:ascii="Cambria" w:eastAsia="MS Mincho" w:hAnsi="Cambria" w:cs="Cambria"/>
      <w:b/>
      <w:bCs/>
      <w:sz w:val="26"/>
      <w:szCs w:val="26"/>
      <w:lang w:val="sq-AL"/>
    </w:rPr>
  </w:style>
  <w:style w:type="paragraph" w:customStyle="1" w:styleId="Akti">
    <w:name w:val="Akti"/>
    <w:link w:val="AktiChar"/>
    <w:rsid w:val="00960B9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60B9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0B9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0B9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60B9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60B9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60B9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60B9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60B9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60B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0B9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60B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60B9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