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566" w:rsidRPr="00D319BE" w:rsidRDefault="002E3566" w:rsidP="002E3566">
      <w:pPr>
        <w:pStyle w:val="Akti"/>
      </w:pPr>
      <w:bookmarkStart w:id="0" w:name="_GoBack"/>
      <w:bookmarkEnd w:id="0"/>
      <w:r w:rsidRPr="00D319BE">
        <w:t>Vendim</w:t>
      </w:r>
    </w:p>
    <w:p w:rsidR="002E3566" w:rsidRPr="00D319BE" w:rsidRDefault="002E3566" w:rsidP="00474E53">
      <w:pPr>
        <w:pStyle w:val="NumriData"/>
      </w:pPr>
      <w:r w:rsidRPr="00D319BE">
        <w:t>Nr. 160, datë 26.11.2012</w:t>
      </w:r>
    </w:p>
    <w:p w:rsidR="002E3566" w:rsidRPr="00D319BE" w:rsidRDefault="002E3566" w:rsidP="002E3566">
      <w:pPr>
        <w:pStyle w:val="Paragrafi"/>
        <w:jc w:val="center"/>
        <w:rPr>
          <w:b/>
          <w:lang w:val="sq-AL"/>
        </w:rPr>
      </w:pPr>
    </w:p>
    <w:p w:rsidR="002E3566" w:rsidRPr="00D319BE" w:rsidRDefault="002E3566" w:rsidP="002E3566">
      <w:pPr>
        <w:pStyle w:val="Titulli"/>
      </w:pPr>
      <w:r w:rsidRPr="00D319BE">
        <w:t>MBI ANKIM</w:t>
      </w:r>
      <w:r>
        <w:t>IN ADMINISTRATIV TË KESH SHA</w:t>
      </w:r>
      <w:r w:rsidRPr="00D319BE">
        <w:t xml:space="preserve"> DHE “CEZ SHPËRNDARJE” SHA NË LIDHJE ME VENDIMIN NR. 134, DATË 17.9.2012 “PËR MIRATIMIN E MARRËVESHJES SË FURNIZIMIT ME ENERGJI ELEK</w:t>
      </w:r>
      <w:r>
        <w:t>TRIKE MIDIS SHOQËRISË KESH SHA/F</w:t>
      </w:r>
      <w:r w:rsidRPr="00D319BE">
        <w:t>PSH DHE SHOQËRISË “CEZ SHPËRNDARJE” SHA/FPP PËR PERIUDHËN 1.1.2012</w:t>
      </w:r>
      <w:r>
        <w:t xml:space="preserve"> </w:t>
      </w:r>
      <w:r w:rsidRPr="00D319BE">
        <w:t>-</w:t>
      </w:r>
      <w:r>
        <w:t xml:space="preserve"> </w:t>
      </w:r>
      <w:r w:rsidRPr="00D319BE">
        <w:t>31.12.2014</w:t>
      </w:r>
    </w:p>
    <w:p w:rsidR="002E3566" w:rsidRPr="00921079" w:rsidRDefault="002E3566" w:rsidP="002E3566">
      <w:pPr>
        <w:pStyle w:val="Titulli"/>
      </w:pP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>Në mbështetje të neneve 16 pika 3 të Rregullave të Praktikës dhe Procedurave të ER</w:t>
      </w:r>
      <w:r>
        <w:rPr>
          <w:lang w:val="sq-AL"/>
        </w:rPr>
        <w:t>E-s</w:t>
      </w:r>
      <w:r w:rsidRPr="00921079">
        <w:rPr>
          <w:lang w:val="sq-AL"/>
        </w:rPr>
        <w:t>, të miratuar</w:t>
      </w:r>
      <w:r>
        <w:rPr>
          <w:lang w:val="sq-AL"/>
        </w:rPr>
        <w:t>a</w:t>
      </w:r>
      <w:r w:rsidRPr="00921079">
        <w:rPr>
          <w:lang w:val="sq-AL"/>
        </w:rPr>
        <w:t xml:space="preserve"> me vendimin nr.</w:t>
      </w:r>
      <w:r>
        <w:rPr>
          <w:lang w:val="sq-AL"/>
        </w:rPr>
        <w:t xml:space="preserve"> </w:t>
      </w:r>
      <w:r w:rsidRPr="00921079">
        <w:rPr>
          <w:lang w:val="sq-AL"/>
        </w:rPr>
        <w:t>21, datë 18.3.2009, Bordi i Komisionerëve të Entit Rregullator të Energjisë</w:t>
      </w:r>
      <w:r>
        <w:rPr>
          <w:lang w:val="sq-AL"/>
        </w:rPr>
        <w:t>,</w:t>
      </w:r>
      <w:r w:rsidRPr="00921079">
        <w:rPr>
          <w:lang w:val="sq-AL"/>
        </w:rPr>
        <w:t xml:space="preserve"> në mbledhjen e tij të datës 26.11.2011, pasi u njoh me ankesën e shoqërisë KESH sh.a</w:t>
      </w:r>
      <w:r>
        <w:rPr>
          <w:lang w:val="sq-AL"/>
        </w:rPr>
        <w:t>.</w:t>
      </w:r>
      <w:r w:rsidRPr="00921079">
        <w:rPr>
          <w:lang w:val="sq-AL"/>
        </w:rPr>
        <w:t xml:space="preserve"> dhe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sh.a., mbi vendimin nr. 134, datë 17.9.2012 të Bordit të Komisionerëve të ERE</w:t>
      </w:r>
      <w:r>
        <w:rPr>
          <w:lang w:val="sq-AL"/>
        </w:rPr>
        <w:t>-s</w:t>
      </w:r>
      <w:r w:rsidRPr="00921079">
        <w:rPr>
          <w:lang w:val="sq-AL"/>
        </w:rPr>
        <w:t xml:space="preserve"> mbi kontratën për furnizimin me energji elektrike ndërmjet shoqërisë KESH sh.a. (furnizuesi publik me shumicë) dhe shoqërisë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sh.a. (furnizuesit publik me pakicë) për periudhën</w:t>
      </w:r>
      <w:r w:rsidRPr="001B5FAE">
        <w:rPr>
          <w:sz w:val="20"/>
          <w:lang w:val="sq-AL"/>
        </w:rPr>
        <w:t xml:space="preserve"> </w:t>
      </w:r>
      <w:r w:rsidRPr="00921079">
        <w:rPr>
          <w:lang w:val="sq-AL"/>
        </w:rPr>
        <w:t>1.1.2012 deri më 31.12.2014</w:t>
      </w:r>
      <w:r>
        <w:rPr>
          <w:lang w:val="sq-AL"/>
        </w:rPr>
        <w:t>,</w:t>
      </w:r>
      <w:r w:rsidRPr="001B5FAE">
        <w:rPr>
          <w:sz w:val="28"/>
          <w:lang w:val="sq-AL"/>
        </w:rPr>
        <w:t xml:space="preserve"> </w:t>
      </w:r>
      <w:r w:rsidRPr="001B5FAE">
        <w:rPr>
          <w:sz w:val="2"/>
          <w:lang w:val="sq-AL"/>
        </w:rPr>
        <w:t xml:space="preserve"> </w:t>
      </w:r>
      <w:r w:rsidRPr="00921079">
        <w:rPr>
          <w:lang w:val="sq-AL"/>
        </w:rPr>
        <w:t>si dhe relacionin e përgatitur nga drejtoritë teknike të ERE</w:t>
      </w:r>
      <w:r>
        <w:rPr>
          <w:lang w:val="sq-AL"/>
        </w:rPr>
        <w:t>-s,</w:t>
      </w:r>
    </w:p>
    <w:p w:rsidR="002E3566" w:rsidRPr="00921079" w:rsidRDefault="002E3566" w:rsidP="002E3566">
      <w:pPr>
        <w:pStyle w:val="Paragrafi"/>
        <w:rPr>
          <w:lang w:val="sq-AL"/>
        </w:rPr>
      </w:pPr>
    </w:p>
    <w:p w:rsidR="002E3566" w:rsidRPr="00921079" w:rsidRDefault="002E3566" w:rsidP="002E3566">
      <w:pPr>
        <w:pStyle w:val="VENDOSI"/>
      </w:pPr>
      <w:r w:rsidRPr="00921079">
        <w:t>VENDOSI:</w:t>
      </w:r>
    </w:p>
    <w:p w:rsidR="002E3566" w:rsidRDefault="002E3566" w:rsidP="002E3566">
      <w:pPr>
        <w:pStyle w:val="Paragrafi"/>
        <w:rPr>
          <w:lang w:val="sq-AL"/>
        </w:rPr>
      </w:pP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>1. Të pranojë kërkesën e shoqërisë</w:t>
      </w:r>
      <w:r>
        <w:rPr>
          <w:lang w:val="sq-AL"/>
        </w:rPr>
        <w:t xml:space="preserve"> KESH sh.a.</w:t>
      </w:r>
      <w:r w:rsidRPr="00921079">
        <w:rPr>
          <w:lang w:val="sq-AL"/>
        </w:rPr>
        <w:t xml:space="preserve"> për</w:t>
      </w:r>
      <w:r>
        <w:rPr>
          <w:lang w:val="sq-AL"/>
        </w:rPr>
        <w:t xml:space="preserve"> </w:t>
      </w:r>
      <w:r w:rsidRPr="00921079">
        <w:rPr>
          <w:lang w:val="sq-AL"/>
        </w:rPr>
        <w:t>sa i përket propozimit të parashikimit të një reference të saktë për rastet kur kjo shoqë</w:t>
      </w:r>
      <w:r>
        <w:rPr>
          <w:lang w:val="sq-AL"/>
        </w:rPr>
        <w:t>ri nuk ka</w:t>
      </w:r>
      <w:r w:rsidRPr="00921079">
        <w:rPr>
          <w:lang w:val="sq-AL"/>
        </w:rPr>
        <w:t xml:space="preserve"> bërë import. Si rrjedhojë</w:t>
      </w:r>
      <w:r>
        <w:rPr>
          <w:lang w:val="sq-AL"/>
        </w:rPr>
        <w:t>,</w:t>
      </w:r>
      <w:r w:rsidRPr="00921079">
        <w:rPr>
          <w:lang w:val="sq-AL"/>
        </w:rPr>
        <w:t xml:space="preserve"> pi</w:t>
      </w:r>
      <w:r>
        <w:rPr>
          <w:lang w:val="sq-AL"/>
        </w:rPr>
        <w:t>k</w:t>
      </w:r>
      <w:r w:rsidRPr="00921079">
        <w:rPr>
          <w:lang w:val="sq-AL"/>
        </w:rPr>
        <w:t xml:space="preserve">a 8.3.ii e </w:t>
      </w:r>
      <w:r>
        <w:rPr>
          <w:lang w:val="sq-AL"/>
        </w:rPr>
        <w:t>k</w:t>
      </w:r>
      <w:r w:rsidRPr="00921079">
        <w:rPr>
          <w:lang w:val="sq-AL"/>
        </w:rPr>
        <w:t>ontratës, riformulohet:</w:t>
      </w:r>
    </w:p>
    <w:p w:rsidR="002E3566" w:rsidRPr="00921079" w:rsidRDefault="002E3566" w:rsidP="002E3566">
      <w:pPr>
        <w:pStyle w:val="Paragrafi"/>
        <w:rPr>
          <w:lang w:val="sq-AL"/>
        </w:rPr>
      </w:pPr>
      <w:r>
        <w:rPr>
          <w:lang w:val="sq-AL"/>
        </w:rPr>
        <w:t>“</w:t>
      </w:r>
      <w:r w:rsidRPr="00921079">
        <w:rPr>
          <w:lang w:val="sq-AL"/>
        </w:rPr>
        <w:t xml:space="preserve">Në rastin e importit të një sasie më të vogël se humbjet reale në rrjetin e shpërndarjes,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do të kompensojë këtë sasi të energjisë elektrike të siguruar nga KESH sh.a., deri në fund të muajit m+2. Në rast se kompensimi nuk kryhet brenda periudhës m+2,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</w:t>
      </w:r>
      <w:r>
        <w:rPr>
          <w:lang w:val="sq-AL"/>
        </w:rPr>
        <w:t xml:space="preserve"> sh.a.</w:t>
      </w:r>
      <w:r w:rsidRPr="00921079">
        <w:rPr>
          <w:lang w:val="sq-AL"/>
        </w:rPr>
        <w:t xml:space="preserve"> është i detyruar të kompensojë KESH sh.a., në muajin m+3, me vlerën monetare që i korrespondon kostove reale të shkaktuara dhe të identifikuara nga KESH sh.a., për sigurimin e kësaj sasie të energjisë elektrike. Në mungesë të importit të energjisë elektrike nga ana e KESH sh.a., për muajin përkatës, kompensimi do </w:t>
      </w:r>
      <w:r>
        <w:rPr>
          <w:lang w:val="sq-AL"/>
        </w:rPr>
        <w:t xml:space="preserve">të </w:t>
      </w:r>
      <w:r w:rsidRPr="00921079">
        <w:rPr>
          <w:lang w:val="sq-AL"/>
        </w:rPr>
        <w:t xml:space="preserve">bëhet me vlerën monetare që i korrespondon çmimit të importit vjetor të energjisë elektrike të shoqërisë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sh.a.”.</w:t>
      </w: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>2. Të rrëzojë pjesën tjetër të kërkesës së KESH sh.a., si të pabazuar në prova të reja që mund të çojnë Bordin e Komisionerëve të ERE-s në një vendim të ndryshëm nga ai i marrë në datë</w:t>
      </w:r>
      <w:r>
        <w:rPr>
          <w:lang w:val="sq-AL"/>
        </w:rPr>
        <w:t>n</w:t>
      </w:r>
      <w:r w:rsidRPr="00921079">
        <w:rPr>
          <w:lang w:val="sq-AL"/>
        </w:rPr>
        <w:t xml:space="preserve"> 17.9.2012.</w:t>
      </w: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 xml:space="preserve">3. Të pranojë kërkesën e shoqërisë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për</w:t>
      </w:r>
      <w:r>
        <w:rPr>
          <w:lang w:val="sq-AL"/>
        </w:rPr>
        <w:t xml:space="preserve"> </w:t>
      </w:r>
      <w:r w:rsidRPr="00921079">
        <w:rPr>
          <w:lang w:val="sq-AL"/>
        </w:rPr>
        <w:t>sa i përket propozimit të parashikimit të së drejtë</w:t>
      </w:r>
      <w:r>
        <w:rPr>
          <w:lang w:val="sq-AL"/>
        </w:rPr>
        <w:t>s s</w:t>
      </w:r>
      <w:r w:rsidRPr="00921079">
        <w:rPr>
          <w:lang w:val="sq-AL"/>
        </w:rPr>
        <w:t>ë kësaj shoqërie që të blejë gjithë energjinë elektrike për furnizimin e konsumatorëve tariforë me çmim të rregulluar. Si rrjedhojë</w:t>
      </w:r>
      <w:r>
        <w:rPr>
          <w:lang w:val="sq-AL"/>
        </w:rPr>
        <w:t>,</w:t>
      </w:r>
      <w:r w:rsidRPr="00921079">
        <w:rPr>
          <w:lang w:val="sq-AL"/>
        </w:rPr>
        <w:t xml:space="preserve"> pi</w:t>
      </w:r>
      <w:r>
        <w:rPr>
          <w:lang w:val="sq-AL"/>
        </w:rPr>
        <w:t>k</w:t>
      </w:r>
      <w:r w:rsidRPr="00921079">
        <w:rPr>
          <w:lang w:val="sq-AL"/>
        </w:rPr>
        <w:t>a 8.2 e kontratë</w:t>
      </w:r>
      <w:r>
        <w:rPr>
          <w:lang w:val="sq-AL"/>
        </w:rPr>
        <w:t>s riformulohet:</w:t>
      </w:r>
    </w:p>
    <w:p w:rsidR="002E3566" w:rsidRPr="00921079" w:rsidRDefault="002E3566" w:rsidP="002E3566">
      <w:pPr>
        <w:pStyle w:val="Paragrafi"/>
        <w:rPr>
          <w:lang w:val="sq-AL"/>
        </w:rPr>
      </w:pPr>
      <w:r>
        <w:rPr>
          <w:lang w:val="sq-AL"/>
        </w:rPr>
        <w:t>“Çdo sasi energjie</w:t>
      </w:r>
      <w:r w:rsidRPr="00921079">
        <w:rPr>
          <w:lang w:val="sq-AL"/>
        </w:rPr>
        <w:t xml:space="preserve"> elektrike e livruar për furnizim të konsumatorë</w:t>
      </w:r>
      <w:r>
        <w:rPr>
          <w:lang w:val="sq-AL"/>
        </w:rPr>
        <w:t>ve tariforë,</w:t>
      </w:r>
      <w:r w:rsidRPr="00921079">
        <w:rPr>
          <w:lang w:val="sq-AL"/>
        </w:rPr>
        <w:t xml:space="preserve"> më tepër nga ajo e planifikuar nga ana e palës pranuese</w:t>
      </w:r>
      <w:r>
        <w:rPr>
          <w:lang w:val="sq-AL"/>
        </w:rPr>
        <w:t>,</w:t>
      </w:r>
      <w:r w:rsidRPr="00921079">
        <w:rPr>
          <w:lang w:val="sq-AL"/>
        </w:rPr>
        <w:t xml:space="preserve"> duhet t’i paguhet palës l</w:t>
      </w:r>
      <w:r>
        <w:rPr>
          <w:lang w:val="sq-AL"/>
        </w:rPr>
        <w:t>i</w:t>
      </w:r>
      <w:r w:rsidRPr="00921079">
        <w:rPr>
          <w:lang w:val="sq-AL"/>
        </w:rPr>
        <w:t>vruese me çmim të rregulluar”.</w:t>
      </w: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 xml:space="preserve">4. Ngarkohet Drejtoria Juridike dhe e Mbrojtjes së Konsumatorit të njoftojë shoqëritë KESH sh.a. dhe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mbi vendimin e Bordit të Komisionerëve.</w:t>
      </w: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>Ky vendim hyn në fuqi menjëherë.</w:t>
      </w:r>
    </w:p>
    <w:p w:rsidR="002E3566" w:rsidRPr="00921079" w:rsidRDefault="002E3566" w:rsidP="002E3566">
      <w:pPr>
        <w:pStyle w:val="Paragrafi"/>
        <w:rPr>
          <w:lang w:val="sq-AL"/>
        </w:rPr>
      </w:pPr>
      <w:r w:rsidRPr="00921079">
        <w:rPr>
          <w:lang w:val="sq-AL"/>
        </w:rPr>
        <w:t>Ky vendim botohet në Fletoren Zyrtare.</w:t>
      </w:r>
    </w:p>
    <w:p w:rsidR="002E3566" w:rsidRPr="00921079" w:rsidRDefault="002E3566" w:rsidP="002E3566">
      <w:pPr>
        <w:pStyle w:val="Paragrafi"/>
        <w:rPr>
          <w:lang w:val="sq-AL"/>
        </w:rPr>
      </w:pPr>
    </w:p>
    <w:p w:rsidR="002E3566" w:rsidRPr="00921079" w:rsidRDefault="002E3566" w:rsidP="002E3566">
      <w:pPr>
        <w:pStyle w:val="Autoriteti"/>
      </w:pPr>
      <w:r w:rsidRPr="00921079">
        <w:t xml:space="preserve">KRYETARI </w:t>
      </w:r>
    </w:p>
    <w:p w:rsidR="002E3566" w:rsidRPr="00DD3F5D" w:rsidRDefault="002E3566" w:rsidP="002E3566">
      <w:pPr>
        <w:pStyle w:val="AutoritetiEmer"/>
      </w:pPr>
      <w:r w:rsidRPr="00DD3F5D">
        <w:t>Sokol Ramadani</w:t>
      </w:r>
    </w:p>
    <w:sectPr w:rsidR="002E3566" w:rsidRPr="00DD3F5D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3566"/>
    <w:rsid w:val="002E3566"/>
    <w:rsid w:val="00474E53"/>
    <w:rsid w:val="004F7713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2FA92D-B3F2-46E1-B964-806524B3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356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E356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E356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2E356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E356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356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E356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E356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356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E356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2E356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E356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474E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74E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