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434" w:rsidRPr="00BB3874" w:rsidRDefault="009E5434" w:rsidP="009E5434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9E5434" w:rsidRPr="00BB3874" w:rsidRDefault="009E5434" w:rsidP="001B7A4A">
      <w:pPr>
        <w:pStyle w:val="NumriData"/>
      </w:pPr>
      <w:r>
        <w:t xml:space="preserve">Nr. </w:t>
      </w:r>
      <w:r w:rsidRPr="00BB3874">
        <w:t xml:space="preserve">167, datë 18.12.2012 </w:t>
      </w:r>
    </w:p>
    <w:p w:rsidR="009E5434" w:rsidRPr="00E74A79" w:rsidRDefault="009E5434" w:rsidP="009E5434">
      <w:pPr>
        <w:pStyle w:val="Paragrafi"/>
        <w:rPr>
          <w:sz w:val="14"/>
          <w:lang w:val="sq-AL"/>
        </w:rPr>
      </w:pPr>
    </w:p>
    <w:p w:rsidR="009E5434" w:rsidRPr="00BB3874" w:rsidRDefault="009E5434" w:rsidP="009E5434">
      <w:pPr>
        <w:pStyle w:val="Titulli"/>
        <w:keepNext w:val="0"/>
        <w:rPr>
          <w:lang w:val="sq-AL"/>
        </w:rPr>
      </w:pPr>
      <w:r w:rsidRPr="00BB3874">
        <w:rPr>
          <w:lang w:val="sq-AL"/>
        </w:rPr>
        <w:t xml:space="preserve">PËR FILLIMIN E PROCEDURAVE TË SHQYRTIMIT TË APLIKIMIT TË SHOQËRISË “ERDAT LURA” </w:t>
      </w:r>
      <w:r>
        <w:rPr>
          <w:lang w:val="sq-AL"/>
        </w:rPr>
        <w:t>SHPK</w:t>
      </w:r>
      <w:r w:rsidRPr="00BB3874">
        <w:rPr>
          <w:lang w:val="sq-AL"/>
        </w:rPr>
        <w:t xml:space="preserve"> PËR KUALIFIKIMIN E IMPIANTIT PRODHUES NGA</w:t>
      </w:r>
      <w:r>
        <w:rPr>
          <w:lang w:val="sq-AL"/>
        </w:rPr>
        <w:t xml:space="preserve"> </w:t>
      </w:r>
      <w:r w:rsidRPr="00BB3874">
        <w:rPr>
          <w:lang w:val="sq-AL"/>
        </w:rPr>
        <w:t>HEC-ET “LURA 1”</w:t>
      </w:r>
      <w:r>
        <w:rPr>
          <w:lang w:val="sq-AL"/>
        </w:rPr>
        <w:t>, “</w:t>
      </w:r>
      <w:r w:rsidRPr="00BB3874">
        <w:rPr>
          <w:lang w:val="sq-AL"/>
        </w:rPr>
        <w:t>LURA 2” DHE “LURA 3”</w:t>
      </w:r>
      <w:r>
        <w:rPr>
          <w:lang w:val="sq-AL"/>
        </w:rPr>
        <w:t>,</w:t>
      </w:r>
      <w:r w:rsidRPr="00BB3874">
        <w:rPr>
          <w:lang w:val="sq-AL"/>
        </w:rPr>
        <w:t xml:space="preserve"> SI BURIM I RINOVUESHËM ENERGJIE</w:t>
      </w:r>
    </w:p>
    <w:p w:rsidR="009E5434" w:rsidRPr="00BB3874" w:rsidRDefault="009E5434" w:rsidP="009E5434">
      <w:pPr>
        <w:pStyle w:val="Paragrafi"/>
        <w:rPr>
          <w:lang w:val="sq-AL"/>
        </w:rPr>
      </w:pP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N</w:t>
      </w:r>
      <w:r>
        <w:rPr>
          <w:lang w:val="sq-AL"/>
        </w:rPr>
        <w:t>ë mbështetje të neneve 8 pika 2</w:t>
      </w:r>
      <w:r w:rsidRPr="00BB3874">
        <w:rPr>
          <w:lang w:val="sq-AL"/>
        </w:rPr>
        <w:t xml:space="preserve"> </w:t>
      </w:r>
      <w:r>
        <w:rPr>
          <w:lang w:val="sq-AL"/>
        </w:rPr>
        <w:t>germa</w:t>
      </w:r>
      <w:r w:rsidRPr="00BB3874">
        <w:rPr>
          <w:lang w:val="sq-AL"/>
        </w:rPr>
        <w:t xml:space="preserve"> “ll”, 9 dhe 39 të ligjit </w:t>
      </w:r>
      <w:r>
        <w:rPr>
          <w:lang w:val="sq-AL"/>
        </w:rPr>
        <w:t>nr. 9072, datë 22.</w:t>
      </w:r>
      <w:r w:rsidRPr="00BB3874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BB3874">
        <w:rPr>
          <w:lang w:val="sq-AL"/>
        </w:rPr>
        <w:t xml:space="preserve"> të ndryshuar, neneve 6</w:t>
      </w:r>
      <w:r>
        <w:rPr>
          <w:lang w:val="sq-AL"/>
        </w:rPr>
        <w:t>,</w:t>
      </w:r>
      <w:r w:rsidRPr="00BB3874">
        <w:rPr>
          <w:lang w:val="sq-AL"/>
        </w:rPr>
        <w:t xml:space="preserve"> 7 dhe 8 të </w:t>
      </w:r>
      <w:r>
        <w:rPr>
          <w:lang w:val="sq-AL"/>
        </w:rPr>
        <w:t>“</w:t>
      </w:r>
      <w:r w:rsidRPr="00BB3874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BB3874">
        <w:rPr>
          <w:lang w:val="sq-AL"/>
        </w:rPr>
        <w:t xml:space="preserve"> të miratuara me vendimin e Bordit të Komisionerëve </w:t>
      </w:r>
      <w:r>
        <w:rPr>
          <w:lang w:val="sq-AL"/>
        </w:rPr>
        <w:t>nr. 9, datë 21.</w:t>
      </w:r>
      <w:r w:rsidRPr="00BB3874">
        <w:rPr>
          <w:lang w:val="sq-AL"/>
        </w:rPr>
        <w:t>2.2007</w:t>
      </w:r>
      <w:r>
        <w:rPr>
          <w:lang w:val="sq-AL"/>
        </w:rPr>
        <w:t xml:space="preserve">, </w:t>
      </w:r>
      <w:r w:rsidRPr="00BB3874">
        <w:rPr>
          <w:lang w:val="sq-AL"/>
        </w:rPr>
        <w:t xml:space="preserve">nenit 18 pika 1 </w:t>
      </w:r>
      <w:r>
        <w:rPr>
          <w:lang w:val="sq-AL"/>
        </w:rPr>
        <w:t>germa</w:t>
      </w:r>
      <w:r w:rsidRPr="00BB3874">
        <w:rPr>
          <w:lang w:val="sq-AL"/>
        </w:rPr>
        <w:t xml:space="preserve"> “d</w:t>
      </w:r>
      <w:r>
        <w:rPr>
          <w:lang w:val="sq-AL"/>
        </w:rPr>
        <w:t>”</w:t>
      </w:r>
      <w:r w:rsidRPr="00BB3874">
        <w:rPr>
          <w:lang w:val="sq-AL"/>
        </w:rPr>
        <w:t xml:space="preserve"> të </w:t>
      </w:r>
      <w:r>
        <w:rPr>
          <w:lang w:val="sq-AL"/>
        </w:rPr>
        <w:t>“</w:t>
      </w:r>
      <w:r w:rsidRPr="00BB3874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BB3874">
        <w:rPr>
          <w:lang w:val="sq-AL"/>
        </w:rPr>
        <w:t xml:space="preserve"> të miratuara me vendimin e Bordit të Komisionerëve </w:t>
      </w:r>
      <w:r>
        <w:rPr>
          <w:lang w:val="sq-AL"/>
        </w:rPr>
        <w:t xml:space="preserve">nr. </w:t>
      </w:r>
      <w:r w:rsidRPr="00BB3874">
        <w:rPr>
          <w:lang w:val="sq-AL"/>
        </w:rPr>
        <w:t>21</w:t>
      </w:r>
      <w:r>
        <w:rPr>
          <w:lang w:val="sq-AL"/>
        </w:rPr>
        <w:t>, datë 18.</w:t>
      </w:r>
      <w:r w:rsidRPr="00BB3874">
        <w:rPr>
          <w:lang w:val="sq-AL"/>
        </w:rPr>
        <w:t xml:space="preserve">3.2009, të ndryshuar, Bordi i Komisionerëve, në mbledhjen e tij të datës 18.12.2012, pasi shqyrtoi aplikimin e paraqitur nga shoqëria “Erdat Lura” </w:t>
      </w:r>
      <w:r>
        <w:rPr>
          <w:lang w:val="sq-AL"/>
        </w:rPr>
        <w:t>sh.p.k.</w:t>
      </w:r>
      <w:r w:rsidRPr="00BB3874">
        <w:rPr>
          <w:lang w:val="sq-AL"/>
        </w:rPr>
        <w:t xml:space="preserve"> për kualifikimin e impiantit prodhues për hec-et “Lura 1”</w:t>
      </w:r>
      <w:r>
        <w:rPr>
          <w:lang w:val="sq-AL"/>
        </w:rPr>
        <w:t>, “</w:t>
      </w:r>
      <w:r w:rsidRPr="00BB3874">
        <w:rPr>
          <w:lang w:val="sq-AL"/>
        </w:rPr>
        <w:t>Lura 2” dhe “Lura 3”</w:t>
      </w:r>
      <w:r>
        <w:rPr>
          <w:lang w:val="sq-AL"/>
        </w:rPr>
        <w:t>,</w:t>
      </w:r>
      <w:r w:rsidRPr="00BB3874">
        <w:rPr>
          <w:lang w:val="sq-AL"/>
        </w:rPr>
        <w:t xml:space="preserve"> si burim i rinovueshëm energjie, </w:t>
      </w:r>
    </w:p>
    <w:p w:rsidR="009E5434" w:rsidRDefault="009E5434" w:rsidP="009E5434">
      <w:pPr>
        <w:pStyle w:val="Paragrafi"/>
        <w:rPr>
          <w:lang w:val="sq-AL"/>
        </w:rPr>
      </w:pPr>
      <w:r>
        <w:rPr>
          <w:lang w:val="sq-AL"/>
        </w:rPr>
        <w:t>k</w:t>
      </w:r>
      <w:r w:rsidRPr="00BB3874">
        <w:rPr>
          <w:lang w:val="sq-AL"/>
        </w:rPr>
        <w:t>onstatoi se: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Aplikimi i paraqitur nga shoqëria “Erdat Lura” </w:t>
      </w:r>
      <w:r>
        <w:rPr>
          <w:lang w:val="sq-AL"/>
        </w:rPr>
        <w:t>sh.p.k.,</w:t>
      </w:r>
      <w:r w:rsidRPr="00BB3874">
        <w:rPr>
          <w:lang w:val="sq-AL"/>
        </w:rPr>
        <w:t xml:space="preserve"> është konform </w:t>
      </w:r>
      <w:r>
        <w:rPr>
          <w:lang w:val="sq-AL"/>
        </w:rPr>
        <w:t>“</w:t>
      </w:r>
      <w:r w:rsidRPr="00BB3874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</w:t>
      </w:r>
      <w:r w:rsidRPr="00BB3874">
        <w:rPr>
          <w:lang w:val="sq-AL"/>
        </w:rPr>
        <w:t xml:space="preserve"> si më poshtë:</w:t>
      </w:r>
    </w:p>
    <w:p w:rsidR="009E5434" w:rsidRPr="00BB3874" w:rsidRDefault="009E5434" w:rsidP="009E5434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BB3874">
        <w:rPr>
          <w:lang w:val="sq-AL"/>
        </w:rPr>
        <w:t xml:space="preserve"> pika 1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</w:t>
      </w:r>
      <w:r w:rsidRPr="00BB3874">
        <w:rPr>
          <w:lang w:val="sq-AL"/>
        </w:rPr>
        <w:t>b</w:t>
      </w:r>
      <w:r>
        <w:rPr>
          <w:lang w:val="sq-AL"/>
        </w:rPr>
        <w:t>”, “</w:t>
      </w:r>
      <w:r w:rsidRPr="00BB3874">
        <w:rPr>
          <w:lang w:val="sq-AL"/>
        </w:rPr>
        <w:t>c</w:t>
      </w:r>
      <w:r>
        <w:rPr>
          <w:lang w:val="sq-AL"/>
        </w:rPr>
        <w:t>”, “</w:t>
      </w:r>
      <w:r w:rsidRPr="00BB3874">
        <w:rPr>
          <w:lang w:val="sq-AL"/>
        </w:rPr>
        <w:t>d</w:t>
      </w:r>
      <w:r>
        <w:rPr>
          <w:lang w:val="sq-AL"/>
        </w:rPr>
        <w:t>”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Përshkrimi i përgjithshëm i centralit. 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Ky dokumentacion është dhënë i sakt</w:t>
      </w:r>
      <w:r w:rsidRPr="009F4E96">
        <w:rPr>
          <w:lang w:val="sq-AL"/>
        </w:rPr>
        <w:t>ë</w:t>
      </w:r>
      <w:r w:rsidRPr="00BB3874">
        <w:rPr>
          <w:lang w:val="sq-AL"/>
        </w:rPr>
        <w:t xml:space="preserve"> dhe i plot</w:t>
      </w:r>
      <w:r w:rsidRPr="009F4E96">
        <w:rPr>
          <w:lang w:val="sq-AL"/>
        </w:rPr>
        <w:t>ë</w:t>
      </w:r>
      <w:r w:rsidRPr="00BB3874">
        <w:rPr>
          <w:lang w:val="sq-AL"/>
        </w:rPr>
        <w:t xml:space="preserve">. </w:t>
      </w:r>
    </w:p>
    <w:p w:rsidR="009E5434" w:rsidRPr="00BB3874" w:rsidRDefault="009E5434" w:rsidP="009E5434">
      <w:pPr>
        <w:pStyle w:val="Paragrafi"/>
        <w:rPr>
          <w:lang w:val="sq-AL"/>
        </w:rPr>
      </w:pPr>
      <w:r>
        <w:rPr>
          <w:lang w:val="sq-AL"/>
        </w:rPr>
        <w:t>- Neni 7 pika 2</w:t>
      </w:r>
      <w:r w:rsidRPr="00BB3874">
        <w:rPr>
          <w:lang w:val="sq-AL"/>
        </w:rPr>
        <w:t xml:space="preserve">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</w:t>
      </w:r>
      <w:r w:rsidRPr="00BB3874">
        <w:rPr>
          <w:lang w:val="sq-AL"/>
        </w:rPr>
        <w:t>b</w:t>
      </w:r>
      <w:r>
        <w:rPr>
          <w:lang w:val="sq-AL"/>
        </w:rPr>
        <w:t>”, “</w:t>
      </w:r>
      <w:r w:rsidRPr="00BB3874">
        <w:rPr>
          <w:lang w:val="sq-AL"/>
        </w:rPr>
        <w:t>c</w:t>
      </w:r>
      <w:r>
        <w:rPr>
          <w:lang w:val="sq-AL"/>
        </w:rPr>
        <w:t>”, “</w:t>
      </w:r>
      <w:r w:rsidRPr="00BB3874">
        <w:rPr>
          <w:lang w:val="sq-AL"/>
        </w:rPr>
        <w:t>d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Dokumentacioni vijues grafik, koreografia, planimetria e përgjithshme, skema funksionale etj. 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Ky dokumentacion është paraqitur ne mënyrë korrekte. </w:t>
      </w:r>
    </w:p>
    <w:p w:rsidR="009E5434" w:rsidRPr="00BB3874" w:rsidRDefault="009E5434" w:rsidP="009E5434">
      <w:pPr>
        <w:pStyle w:val="Paragrafi"/>
        <w:rPr>
          <w:lang w:val="sq-AL"/>
        </w:rPr>
      </w:pPr>
      <w:r>
        <w:rPr>
          <w:lang w:val="sq-AL"/>
        </w:rPr>
        <w:t>- Neni 7 pika 3</w:t>
      </w:r>
      <w:r w:rsidRPr="00BB3874">
        <w:rPr>
          <w:lang w:val="sq-AL"/>
        </w:rPr>
        <w:t xml:space="preserve">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</w:t>
      </w:r>
      <w:r w:rsidRPr="00BB3874">
        <w:rPr>
          <w:lang w:val="sq-AL"/>
        </w:rPr>
        <w:t>b</w:t>
      </w:r>
      <w:r>
        <w:rPr>
          <w:lang w:val="sq-AL"/>
        </w:rPr>
        <w:t>”, “</w:t>
      </w:r>
      <w:r w:rsidRPr="00BB3874">
        <w:rPr>
          <w:lang w:val="sq-AL"/>
        </w:rPr>
        <w:t>c</w:t>
      </w:r>
      <w:r>
        <w:rPr>
          <w:lang w:val="sq-AL"/>
        </w:rPr>
        <w:t>”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BB3874">
        <w:rPr>
          <w:lang w:val="sq-AL"/>
        </w:rPr>
        <w:t>...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Ky dokumentacion është dhënë i sakt</w:t>
      </w:r>
      <w:r w:rsidRPr="009F4E96">
        <w:rPr>
          <w:lang w:val="sq-AL"/>
        </w:rPr>
        <w:t>ë</w:t>
      </w:r>
      <w:r w:rsidRPr="00BB3874">
        <w:rPr>
          <w:lang w:val="sq-AL"/>
        </w:rPr>
        <w:t xml:space="preserve"> dhe i plot</w:t>
      </w:r>
      <w:r w:rsidRPr="009F4E96">
        <w:rPr>
          <w:lang w:val="sq-AL"/>
        </w:rPr>
        <w:t>ë</w:t>
      </w:r>
      <w:r w:rsidRPr="00BB3874">
        <w:rPr>
          <w:lang w:val="sq-AL"/>
        </w:rPr>
        <w:t xml:space="preserve">. 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Për gjithë sa më sipër cituar, Bordi i Komisionerëve të ERE-s</w:t>
      </w:r>
    </w:p>
    <w:p w:rsidR="009E5434" w:rsidRPr="00BB3874" w:rsidRDefault="009E5434" w:rsidP="009E5434">
      <w:pPr>
        <w:pStyle w:val="Paragrafi"/>
        <w:rPr>
          <w:lang w:val="sq-AL"/>
        </w:rPr>
      </w:pPr>
    </w:p>
    <w:p w:rsidR="009E5434" w:rsidRPr="00BB3874" w:rsidRDefault="009E5434" w:rsidP="009E5434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9E5434" w:rsidRPr="00BB3874" w:rsidRDefault="009E5434" w:rsidP="009E5434">
      <w:pPr>
        <w:pStyle w:val="Paragrafi"/>
        <w:rPr>
          <w:lang w:val="sq-AL"/>
        </w:rPr>
      </w:pP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1. Të fillojë procedurat për shqyrtimin e aplikimit të shoqërisë “Erdat Lura” </w:t>
      </w:r>
      <w:r>
        <w:rPr>
          <w:lang w:val="sq-AL"/>
        </w:rPr>
        <w:t>sh.p.k.,</w:t>
      </w:r>
      <w:r w:rsidRPr="00BB3874">
        <w:rPr>
          <w:lang w:val="sq-AL"/>
        </w:rPr>
        <w:t xml:space="preserve"> për kualifikimin e impiantit prodhues nga hec-et “Lura 1”</w:t>
      </w:r>
      <w:r>
        <w:rPr>
          <w:lang w:val="sq-AL"/>
        </w:rPr>
        <w:t>, “</w:t>
      </w:r>
      <w:r w:rsidRPr="00BB3874">
        <w:rPr>
          <w:lang w:val="sq-AL"/>
        </w:rPr>
        <w:t>Lura 2” dhe “Lura 3”</w:t>
      </w:r>
      <w:r>
        <w:rPr>
          <w:lang w:val="sq-AL"/>
        </w:rPr>
        <w:t>,</w:t>
      </w:r>
      <w:r w:rsidRPr="00BB3874">
        <w:rPr>
          <w:lang w:val="sq-AL"/>
        </w:rPr>
        <w:t xml:space="preserve"> si burim i rinovueshëm energjie.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B3874">
        <w:rPr>
          <w:lang w:val="sq-AL"/>
        </w:rPr>
        <w:t>Monitorimit të Tregut të njoftojë aplikuesin lidhur me vendimin e Bordit të Komisionerëve të ERE-s.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9E5434" w:rsidRPr="00BB3874" w:rsidRDefault="009E5434" w:rsidP="009E5434">
      <w:pPr>
        <w:pStyle w:val="Paragrafi"/>
        <w:rPr>
          <w:lang w:val="sq-AL"/>
        </w:rPr>
      </w:pPr>
      <w:r w:rsidRPr="00BB3874">
        <w:rPr>
          <w:lang w:val="sq-AL"/>
        </w:rPr>
        <w:t xml:space="preserve">Ky vendim botohet në Fletoren Zyrtare. </w:t>
      </w:r>
    </w:p>
    <w:p w:rsidR="009E5434" w:rsidRPr="00BB3874" w:rsidRDefault="009E5434" w:rsidP="009E5434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9E5434" w:rsidRPr="00BB3874" w:rsidRDefault="009E5434" w:rsidP="009E5434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9E5434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5434"/>
    <w:rsid w:val="001B7A4A"/>
    <w:rsid w:val="009E5434"/>
    <w:rsid w:val="00A635BE"/>
    <w:rsid w:val="00C0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D0C747-52B2-4A10-B40D-BDC14C59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54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E543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E543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9E54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E543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E543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E543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E54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54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E543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9E54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E54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1B7A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B7A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