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C4B" w:rsidRDefault="002D3C4B" w:rsidP="002D3C4B">
      <w:pPr>
        <w:pStyle w:val="Akti"/>
        <w:keepNext w:val="0"/>
        <w:rPr>
          <w:sz w:val="21"/>
          <w:szCs w:val="21"/>
          <w:lang w:val="sq-AL"/>
        </w:rPr>
      </w:pPr>
      <w:r>
        <w:rPr>
          <w:sz w:val="21"/>
          <w:szCs w:val="21"/>
          <w:lang w:val="sq-AL"/>
        </w:rPr>
        <w:t>VENDIM</w:t>
      </w:r>
    </w:p>
    <w:p w:rsidR="002D3C4B" w:rsidRDefault="002D3C4B" w:rsidP="002D3C4B">
      <w:pPr>
        <w:pStyle w:val="NumriData"/>
        <w:keepNext w:val="0"/>
        <w:rPr>
          <w:sz w:val="21"/>
          <w:szCs w:val="21"/>
          <w:lang w:val="sq-AL"/>
        </w:rPr>
      </w:pPr>
      <w:bookmarkStart w:id="0" w:name="_GoBack"/>
      <w:r>
        <w:rPr>
          <w:sz w:val="21"/>
          <w:szCs w:val="21"/>
          <w:lang w:val="sq-AL"/>
        </w:rPr>
        <w:t>Nr. 45, datë 30.4.2013</w:t>
      </w:r>
    </w:p>
    <w:p w:rsidR="002D3C4B" w:rsidRDefault="002D3C4B" w:rsidP="002D3C4B">
      <w:pPr>
        <w:pStyle w:val="Paragrafi"/>
        <w:rPr>
          <w:sz w:val="21"/>
          <w:szCs w:val="21"/>
          <w:lang w:val="sq-AL"/>
        </w:rPr>
      </w:pPr>
    </w:p>
    <w:bookmarkEnd w:id="0"/>
    <w:p w:rsidR="002D3C4B" w:rsidRDefault="002D3C4B" w:rsidP="002D3C4B">
      <w:pPr>
        <w:pStyle w:val="Titulli"/>
        <w:keepNext w:val="0"/>
        <w:rPr>
          <w:sz w:val="21"/>
          <w:szCs w:val="21"/>
          <w:lang w:val="sq-AL"/>
        </w:rPr>
      </w:pPr>
      <w:r>
        <w:rPr>
          <w:sz w:val="21"/>
          <w:szCs w:val="21"/>
          <w:lang w:val="sq-AL"/>
        </w:rPr>
        <w:t>PËR KUALIFIKIMIN E IMPIANTIT PRODHUES PËR HECet: “ARRAS” , “FUNARES”, “DUKAGJIN”, “NIKOLICE”, “BULQIZE” , “LURE”, “ORGJOST, ‘LEKBIBAJ” ‘VELCAN”, “ZERQAN”, “BORSH”, “LESHNICE”, “SHOSHAN”, “UJANIK”, “KERPICE” , “BARMASH”, “LUNIK”, “HOMESH”, “MUHUR”, “RAJAN”, “MARJAN” DHE “TRESKE 2” TË SHOQËRISË “BALKAN GREEN ENERGY” SHPK SI BURIME TË RINOVUESHME ENERGJIE</w:t>
      </w:r>
    </w:p>
    <w:p w:rsidR="002D3C4B" w:rsidRDefault="002D3C4B" w:rsidP="002D3C4B">
      <w:pPr>
        <w:pStyle w:val="Paragrafi"/>
        <w:ind w:firstLine="0"/>
        <w:rPr>
          <w:sz w:val="21"/>
          <w:szCs w:val="21"/>
          <w:lang w:val="sq-AL"/>
        </w:rPr>
      </w:pPr>
      <w:r>
        <w:rPr>
          <w:sz w:val="21"/>
          <w:szCs w:val="21"/>
          <w:lang w:val="sq-AL"/>
        </w:rPr>
        <w:t xml:space="preserve"> </w:t>
      </w:r>
    </w:p>
    <w:p w:rsidR="002D3C4B" w:rsidRDefault="002D3C4B" w:rsidP="002D3C4B">
      <w:pPr>
        <w:pStyle w:val="Paragrafi"/>
        <w:rPr>
          <w:sz w:val="21"/>
          <w:szCs w:val="21"/>
          <w:lang w:val="sq-AL"/>
        </w:rPr>
      </w:pPr>
      <w:r>
        <w:rPr>
          <w:sz w:val="21"/>
          <w:szCs w:val="21"/>
          <w:lang w:val="sq-AL"/>
        </w:rPr>
        <w:t>Në mbështetje të neneve 8 pika 2 germa “ll”, 9 dhe 39 të ligjit nr. 9072, datë 22.5.2003 “Për sektorin e energjisë elektrike”, të ndryshuar, neneve 6, 7 dhe 9 pikat 1 dhe 2 germa “a” të “Rregullave dhe procedurave të certifikimit të prodhimit të energjisë elektrike nga burimet e rinovueshme”, të miratuar me vendimin e Bordit të Komisionerëve nr. 9, datë 21.2.2007, Bordi i Komisionerëve të ERE-s, në mbledhjen e tij të datës 30.4.2013, pasi shqyrtoi aplikimin e paraqitur nga shoqëria “Balkan Green Energy” sh.p.k. për kualifikimin e impiantit prodhues për hecet “ARRAS”, “FUNARES”, “DUKAGJIN, “NIKOLICE”, “BULQIZE”, “LURE”, “ORGJOST”, “LEKBIBAJ”, “VELCAN”, “ZERQAN”, “BORSH”, “LESHNICE”, “SHOSHAN”, “UJANIK”, “KERPICE”, “BARMASH”, “LUNIK”, “HOMESH”, “MUHUR”, “RAJAN”, “MARJAN” dhe “TRESTE 2” si burime të rinovueshme energjie,</w:t>
      </w:r>
    </w:p>
    <w:p w:rsidR="002D3C4B" w:rsidRDefault="002D3C4B" w:rsidP="002D3C4B">
      <w:pPr>
        <w:pStyle w:val="Paragrafi"/>
        <w:rPr>
          <w:sz w:val="21"/>
          <w:szCs w:val="21"/>
          <w:lang w:val="sq-AL"/>
        </w:rPr>
      </w:pPr>
      <w:r>
        <w:rPr>
          <w:sz w:val="21"/>
          <w:szCs w:val="21"/>
          <w:lang w:val="sq-AL"/>
        </w:rPr>
        <w:t>konstatoi se:</w:t>
      </w:r>
    </w:p>
    <w:p w:rsidR="002D3C4B" w:rsidRDefault="002D3C4B" w:rsidP="002D3C4B">
      <w:pPr>
        <w:pStyle w:val="Paragrafi"/>
        <w:rPr>
          <w:sz w:val="21"/>
          <w:szCs w:val="21"/>
          <w:lang w:val="sq-AL"/>
        </w:rPr>
      </w:pPr>
      <w:r>
        <w:rPr>
          <w:sz w:val="21"/>
          <w:szCs w:val="21"/>
          <w:lang w:val="sq-AL"/>
        </w:rPr>
        <w:t xml:space="preserve">Aplikimi i shoqërisë “Balkan Green Energy” sh.p.k. plotëson kërkesat e parashikuara nga ERE në rregulloren “Për procedurat e certifikimit të prodhimit të energjisë elektrike nga burimet e rinovueshme”, si më poshtë: </w:t>
      </w:r>
    </w:p>
    <w:p w:rsidR="002D3C4B" w:rsidRDefault="002D3C4B" w:rsidP="002D3C4B">
      <w:pPr>
        <w:pStyle w:val="Paragrafi"/>
        <w:rPr>
          <w:sz w:val="21"/>
          <w:szCs w:val="21"/>
          <w:lang w:val="sq-AL"/>
        </w:rPr>
      </w:pPr>
      <w:r>
        <w:rPr>
          <w:sz w:val="21"/>
          <w:szCs w:val="21"/>
          <w:lang w:val="sq-AL"/>
        </w:rPr>
        <w:t>- Neni 7, pika 1 , germat “a”, “b”, “c”, “d”</w:t>
      </w:r>
    </w:p>
    <w:p w:rsidR="002D3C4B" w:rsidRDefault="002D3C4B" w:rsidP="002D3C4B">
      <w:pPr>
        <w:pStyle w:val="Paragrafi"/>
        <w:rPr>
          <w:sz w:val="21"/>
          <w:szCs w:val="21"/>
          <w:lang w:val="sq-AL"/>
        </w:rPr>
      </w:pPr>
      <w:r>
        <w:rPr>
          <w:sz w:val="21"/>
          <w:szCs w:val="21"/>
          <w:lang w:val="sq-AL"/>
        </w:rPr>
        <w:t>Është plotësuar tërësisht.</w:t>
      </w:r>
    </w:p>
    <w:p w:rsidR="002D3C4B" w:rsidRDefault="002D3C4B" w:rsidP="002D3C4B">
      <w:pPr>
        <w:pStyle w:val="Paragrafi"/>
        <w:rPr>
          <w:sz w:val="21"/>
          <w:szCs w:val="21"/>
          <w:lang w:val="sq-AL"/>
        </w:rPr>
      </w:pPr>
      <w:r>
        <w:rPr>
          <w:sz w:val="21"/>
          <w:szCs w:val="21"/>
          <w:lang w:val="sq-AL"/>
        </w:rPr>
        <w:t>- Neni 7, pika 2, germat “a”, “b”, “c”, “d”</w:t>
      </w:r>
    </w:p>
    <w:p w:rsidR="002D3C4B" w:rsidRDefault="002D3C4B" w:rsidP="002D3C4B">
      <w:pPr>
        <w:pStyle w:val="Paragrafi"/>
        <w:rPr>
          <w:sz w:val="21"/>
          <w:szCs w:val="21"/>
          <w:lang w:val="sq-AL"/>
        </w:rPr>
      </w:pPr>
      <w:r>
        <w:rPr>
          <w:sz w:val="21"/>
          <w:szCs w:val="21"/>
          <w:lang w:val="sq-AL"/>
        </w:rPr>
        <w:t xml:space="preserve">Është plotësuar tërësisht. </w:t>
      </w:r>
    </w:p>
    <w:p w:rsidR="002D3C4B" w:rsidRDefault="002D3C4B" w:rsidP="002D3C4B">
      <w:pPr>
        <w:pStyle w:val="Paragrafi"/>
        <w:rPr>
          <w:sz w:val="21"/>
          <w:szCs w:val="21"/>
          <w:lang w:val="sq-AL"/>
        </w:rPr>
      </w:pPr>
      <w:r>
        <w:rPr>
          <w:sz w:val="21"/>
          <w:szCs w:val="21"/>
          <w:lang w:val="sq-AL"/>
        </w:rPr>
        <w:t>- Neni 7, pika 3, germat “a”, “b”, “c”</w:t>
      </w:r>
    </w:p>
    <w:p w:rsidR="002D3C4B" w:rsidRDefault="002D3C4B" w:rsidP="002D3C4B">
      <w:pPr>
        <w:pStyle w:val="Paragrafi"/>
        <w:rPr>
          <w:sz w:val="21"/>
          <w:szCs w:val="21"/>
          <w:lang w:val="sq-AL"/>
        </w:rPr>
      </w:pPr>
      <w:r>
        <w:rPr>
          <w:sz w:val="21"/>
          <w:szCs w:val="21"/>
          <w:lang w:val="sq-AL"/>
        </w:rPr>
        <w:t>Është plotësuar tërësisht.</w:t>
      </w:r>
    </w:p>
    <w:p w:rsidR="002D3C4B" w:rsidRDefault="002D3C4B" w:rsidP="002D3C4B">
      <w:pPr>
        <w:pStyle w:val="Paragrafi"/>
        <w:rPr>
          <w:sz w:val="21"/>
          <w:szCs w:val="21"/>
          <w:lang w:val="sq-AL"/>
        </w:rPr>
      </w:pPr>
      <w:r>
        <w:rPr>
          <w:sz w:val="21"/>
          <w:szCs w:val="21"/>
          <w:lang w:val="sq-AL"/>
        </w:rPr>
        <w:t xml:space="preserve">Për gjithë sa më sipër cituar, Bordi i Komisionerëve të ERE-s </w:t>
      </w:r>
    </w:p>
    <w:p w:rsidR="002D3C4B" w:rsidRDefault="002D3C4B" w:rsidP="002D3C4B">
      <w:pPr>
        <w:pStyle w:val="Paragrafi"/>
        <w:rPr>
          <w:sz w:val="21"/>
          <w:szCs w:val="21"/>
          <w:lang w:val="sq-AL"/>
        </w:rPr>
      </w:pPr>
    </w:p>
    <w:p w:rsidR="002D3C4B" w:rsidRDefault="002D3C4B" w:rsidP="002D3C4B">
      <w:pPr>
        <w:pStyle w:val="VENDOSI"/>
        <w:rPr>
          <w:sz w:val="21"/>
          <w:szCs w:val="21"/>
          <w:lang w:val="sq-AL"/>
        </w:rPr>
      </w:pPr>
      <w:r>
        <w:rPr>
          <w:sz w:val="21"/>
          <w:szCs w:val="21"/>
          <w:lang w:val="sq-AL"/>
        </w:rPr>
        <w:t>Vendosi:</w:t>
      </w:r>
    </w:p>
    <w:p w:rsidR="002D3C4B" w:rsidRDefault="002D3C4B" w:rsidP="002D3C4B">
      <w:pPr>
        <w:pStyle w:val="Paragrafi"/>
        <w:rPr>
          <w:sz w:val="21"/>
          <w:szCs w:val="21"/>
          <w:lang w:val="sq-AL"/>
        </w:rPr>
      </w:pPr>
    </w:p>
    <w:p w:rsidR="002D3C4B" w:rsidRDefault="002D3C4B" w:rsidP="002D3C4B">
      <w:pPr>
        <w:pStyle w:val="Paragrafi"/>
        <w:rPr>
          <w:sz w:val="21"/>
          <w:szCs w:val="21"/>
          <w:lang w:val="sq-AL"/>
        </w:rPr>
      </w:pPr>
      <w:r>
        <w:rPr>
          <w:sz w:val="21"/>
          <w:szCs w:val="21"/>
          <w:lang w:val="sq-AL"/>
        </w:rPr>
        <w:t xml:space="preserve">1. Miratimin e kërkesës së shoqërisë “Balkan Green Energy” sh.p.k. për kualifikim të impiantit prodhues për hecet: “Arras”, “Funares”, “Dukagjin”, “Nikolice”, “Bulqize”, “Lure”, “Orgjost”, “Lekbibaj”, “Velcan”, “Zerqan”, “Borsh”, “Leshnice”, “Shoshan”, “Ujanik”, “Kerpice”, “Barmash”, “Lunik”, “Homesh”, “Muhur”, “Rajan”, “Marjan” dhe “Treske 2” si burime të rinovueshme energjie. </w:t>
      </w:r>
    </w:p>
    <w:p w:rsidR="002D3C4B" w:rsidRDefault="002D3C4B" w:rsidP="002D3C4B">
      <w:pPr>
        <w:pStyle w:val="Paragrafi"/>
        <w:rPr>
          <w:sz w:val="21"/>
          <w:szCs w:val="21"/>
          <w:lang w:val="sq-AL"/>
        </w:rPr>
      </w:pPr>
      <w:r>
        <w:rPr>
          <w:sz w:val="21"/>
          <w:szCs w:val="21"/>
          <w:lang w:val="sq-AL"/>
        </w:rPr>
        <w:t xml:space="preserve">2. Ngarkohet Drejtoria e Licencimit dhe e Monitorimit të Tregut të njoftojë aplikuesin për vendimin e Bordit të Komisionerëve të ERE-s. </w:t>
      </w:r>
    </w:p>
    <w:p w:rsidR="002D3C4B" w:rsidRDefault="002D3C4B" w:rsidP="002D3C4B">
      <w:pPr>
        <w:pStyle w:val="Paragrafi"/>
        <w:rPr>
          <w:sz w:val="21"/>
          <w:szCs w:val="21"/>
          <w:lang w:val="sq-AL"/>
        </w:rPr>
      </w:pPr>
      <w:r>
        <w:rPr>
          <w:sz w:val="21"/>
          <w:szCs w:val="21"/>
          <w:lang w:val="sq-AL"/>
        </w:rPr>
        <w:t>Ky vendim hyn në fuqi menjëherë.</w:t>
      </w:r>
    </w:p>
    <w:p w:rsidR="002D3C4B" w:rsidRDefault="002D3C4B" w:rsidP="002D3C4B">
      <w:pPr>
        <w:pStyle w:val="Paragrafi"/>
        <w:rPr>
          <w:sz w:val="21"/>
          <w:szCs w:val="21"/>
          <w:lang w:val="sq-AL"/>
        </w:rPr>
      </w:pPr>
      <w:r>
        <w:rPr>
          <w:sz w:val="21"/>
          <w:szCs w:val="21"/>
          <w:lang w:val="sq-AL"/>
        </w:rPr>
        <w:t>Ky vendim botohet në Fletoren Zyrtare.</w:t>
      </w:r>
    </w:p>
    <w:p w:rsidR="002D3C4B" w:rsidRDefault="002D3C4B" w:rsidP="002D3C4B">
      <w:pPr>
        <w:pStyle w:val="Autoriteti"/>
        <w:keepNext w:val="0"/>
        <w:rPr>
          <w:sz w:val="21"/>
          <w:szCs w:val="21"/>
          <w:lang w:val="sq-AL"/>
        </w:rPr>
      </w:pPr>
      <w:r>
        <w:rPr>
          <w:sz w:val="21"/>
          <w:szCs w:val="21"/>
          <w:lang w:val="sq-AL"/>
        </w:rPr>
        <w:t>KRYETARI</w:t>
      </w:r>
    </w:p>
    <w:p w:rsidR="002D3C4B" w:rsidRDefault="002D3C4B" w:rsidP="002D3C4B">
      <w:pPr>
        <w:pStyle w:val="AutoritetiEmer"/>
        <w:rPr>
          <w:sz w:val="21"/>
          <w:szCs w:val="21"/>
          <w:lang w:val="sq-AL"/>
        </w:rPr>
      </w:pPr>
      <w:r>
        <w:rPr>
          <w:sz w:val="21"/>
          <w:szCs w:val="21"/>
          <w:lang w:val="sq-AL"/>
        </w:rPr>
        <w:t xml:space="preserve"> Sokol Ramadani</w:t>
      </w:r>
    </w:p>
    <w:p w:rsidR="00B655D0" w:rsidRDefault="00B655D0"/>
    <w:sectPr w:rsidR="00B65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C4B"/>
    <w:rsid w:val="002D3C4B"/>
    <w:rsid w:val="00B6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4E0186-84A8-4EE8-984C-A2907640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2D3C4B"/>
    <w:rPr>
      <w:rFonts w:ascii="CG Times" w:hAnsi="CG Times" w:cs="CG Times"/>
      <w:b/>
      <w:bCs/>
      <w:caps/>
      <w:color w:val="000000"/>
      <w:lang w:val="en-GB"/>
    </w:rPr>
  </w:style>
  <w:style w:type="paragraph" w:customStyle="1" w:styleId="Akti">
    <w:name w:val="Akti"/>
    <w:link w:val="AktiChar"/>
    <w:rsid w:val="002D3C4B"/>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2D3C4B"/>
    <w:rPr>
      <w:rFonts w:ascii="CG Times" w:hAnsi="CG Times" w:cs="CG Times"/>
      <w:caps/>
      <w:lang w:val="en-GB"/>
    </w:rPr>
  </w:style>
  <w:style w:type="paragraph" w:customStyle="1" w:styleId="Autoriteti">
    <w:name w:val="Autoriteti"/>
    <w:next w:val="Normal"/>
    <w:link w:val="AutoritetiChar"/>
    <w:rsid w:val="002D3C4B"/>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2D3C4B"/>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2D3C4B"/>
    <w:rPr>
      <w:rFonts w:ascii="CG Times" w:hAnsi="CG Times" w:cs="CG Times"/>
      <w:b/>
      <w:bCs/>
      <w:lang w:val="en-GB"/>
    </w:rPr>
  </w:style>
  <w:style w:type="paragraph" w:customStyle="1" w:styleId="NumriData">
    <w:name w:val="Numri_Data"/>
    <w:next w:val="Normal"/>
    <w:link w:val="NumriDataChar"/>
    <w:rsid w:val="002D3C4B"/>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2D3C4B"/>
    <w:rPr>
      <w:rFonts w:ascii="CG Times" w:hAnsi="CG Times" w:cs="CG Times"/>
    </w:rPr>
  </w:style>
  <w:style w:type="paragraph" w:customStyle="1" w:styleId="Paragrafi">
    <w:name w:val="Paragrafi"/>
    <w:link w:val="ParagrafiChar"/>
    <w:rsid w:val="002D3C4B"/>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2D3C4B"/>
    <w:rPr>
      <w:rFonts w:ascii="CG Times" w:hAnsi="CG Times" w:cs="CG Times"/>
      <w:b/>
      <w:bCs/>
      <w:caps/>
      <w:lang w:val="en-GB"/>
    </w:rPr>
  </w:style>
  <w:style w:type="paragraph" w:customStyle="1" w:styleId="Titulli">
    <w:name w:val="Titulli"/>
    <w:next w:val="Normal"/>
    <w:link w:val="TitulliChar"/>
    <w:rsid w:val="002D3C4B"/>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2D3C4B"/>
    <w:rPr>
      <w:rFonts w:ascii="CG Times" w:hAnsi="CG Times" w:cs="CG Times"/>
      <w:caps/>
      <w:lang w:val="en-GB"/>
    </w:rPr>
  </w:style>
  <w:style w:type="paragraph" w:customStyle="1" w:styleId="VENDOSI">
    <w:name w:val="VENDOSI"/>
    <w:next w:val="Normal"/>
    <w:link w:val="VENDOSIChar"/>
    <w:rsid w:val="002D3C4B"/>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13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2019-01-29T09:34:00Z</dcterms:created>
  <dcterms:modified xsi:type="dcterms:W3CDTF">2019-01-29T09:34:00Z</dcterms:modified>
</cp:coreProperties>
</file>