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DFF" w:rsidRPr="00A73D69" w:rsidRDefault="003F6DFF" w:rsidP="003F6DF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73D69">
        <w:rPr>
          <w:sz w:val="21"/>
          <w:szCs w:val="21"/>
          <w:lang w:val="sq-AL"/>
        </w:rPr>
        <w:t xml:space="preserve">VENDIM </w:t>
      </w:r>
    </w:p>
    <w:p w:rsidR="003F6DFF" w:rsidRPr="00A73D69" w:rsidRDefault="003F6DFF" w:rsidP="003F6DFF">
      <w:pPr>
        <w:pStyle w:val="NumriData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Nr. 131, datë 15.11.2013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</w:p>
    <w:p w:rsidR="003F6DFF" w:rsidRPr="00A73D69" w:rsidRDefault="003F6DFF" w:rsidP="003F6DFF">
      <w:pPr>
        <w:pStyle w:val="Titull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PËR LICENCIMIN E SHOQËRISË “BARDHGJANA” SHPK NË AKTIVITETIN E PRODHIMIT TË ENERGJISË ELEKTRIKE NGA HEC “BISAK”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Në mbështetje të nenit 8, pika 2, germa “a”, nenit 9 dhe nenit 13, pika 1, germa “a” të ligjit nr. 9072, datë 22.5.2003 “Për sektorin e energjisë elektrike”, të ndryshuar, nenit 4, pika 1, germa “a”, 5, pika 1, germa “a” dhe neneve 13 dhe 14,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 në mbledhjen e tij të datës 15.11.2013, pasi shqyrtoi aplikimin e paraqitur nga shoqëria “Bardhgjana” sh.p.k., si dhe relacionin e Drejtorisë së Licencimit dhe të Monitorimit të Tregut dhe Drejtorisë Juridike dhe të Mbrojtjes së Konsumatorit për licencimin në aktivitetin e prodhimit të energjisë elektrike të kësaj shoqërie,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konstatoi se: 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Aplikimi i shoqërisë “Bardhgjana” sh.p.k. plotëson tërësisht kërkesat e parashikuara nga ERE në rregulloren “Për procedurat e licencimit, modifikimit, transferimit të plotë/të pjesshëm dhe rinovimit të licencave”, si më poshtë: 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- Dokumentacioni financiar dhe fiskal (neni 9, pika 3) është paraqitur dhe plotësuar në mënyrë korrekte. 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Për gjithë sa më sipër, Bordi i Komisionerëve të ERE-s </w:t>
      </w:r>
    </w:p>
    <w:p w:rsidR="003F6DFF" w:rsidRPr="00A73D69" w:rsidRDefault="003F6DFF" w:rsidP="003F6DFF">
      <w:pPr>
        <w:pStyle w:val="VENDOS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Vendosi: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1. Të licencojë shoqërinë “Bardhgjana” sh.p.k. për licencim në aktivitetin e prodhimit të energjisë elektrike nga HEC “Bisak”, me fuqi 1,3 Mw.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2. Ngarkohet Drejtoria e Licencimit dhe e Monitorimit të Tregut të njoftojë aplikuesin për vendimin e Bordit të Komisionerëve të ERE-s.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hyn në fuqi menjëherë.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Ky vendim botohet në Fletoren Zyrtare.</w:t>
      </w:r>
    </w:p>
    <w:p w:rsidR="003F6DFF" w:rsidRPr="00A73D69" w:rsidRDefault="003F6DFF" w:rsidP="003F6DFF">
      <w:pPr>
        <w:pStyle w:val="Paragrafi"/>
        <w:rPr>
          <w:sz w:val="21"/>
          <w:szCs w:val="21"/>
          <w:lang w:val="sq-AL"/>
        </w:rPr>
      </w:pPr>
    </w:p>
    <w:p w:rsidR="003F6DFF" w:rsidRPr="00A73D69" w:rsidRDefault="003F6DFF" w:rsidP="003F6DFF">
      <w:pPr>
        <w:pStyle w:val="Autoriteti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 xml:space="preserve">KRYETARI </w:t>
      </w:r>
    </w:p>
    <w:p w:rsidR="003F6DFF" w:rsidRPr="00A73D69" w:rsidRDefault="003F6DFF" w:rsidP="003F6DFF">
      <w:pPr>
        <w:pStyle w:val="AutoritetiEmer"/>
        <w:rPr>
          <w:sz w:val="21"/>
          <w:szCs w:val="21"/>
          <w:lang w:val="sq-AL"/>
        </w:rPr>
      </w:pPr>
      <w:r w:rsidRPr="00A73D69">
        <w:rPr>
          <w:sz w:val="21"/>
          <w:szCs w:val="21"/>
          <w:lang w:val="sq-AL"/>
        </w:rPr>
        <w:t>Petrit Ahmeti</w:t>
      </w:r>
    </w:p>
    <w:sectPr w:rsidR="003F6DFF" w:rsidRPr="00A73D69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6DFF"/>
    <w:rsid w:val="00364F69"/>
    <w:rsid w:val="003F6DFF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73A46B-F9E9-429E-B68F-97A8DE47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6D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6D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6D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6D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6D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6D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6D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6D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6D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6D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6D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6D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6D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