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E67" w:rsidRPr="00A73D69" w:rsidRDefault="00D71E67" w:rsidP="00D71E67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A73D69">
        <w:rPr>
          <w:sz w:val="21"/>
          <w:szCs w:val="21"/>
          <w:lang w:val="sq-AL"/>
        </w:rPr>
        <w:t>VENDIM</w:t>
      </w:r>
    </w:p>
    <w:p w:rsidR="00D71E67" w:rsidRPr="00A73D69" w:rsidRDefault="00D71E67" w:rsidP="00D71E67">
      <w:pPr>
        <w:pStyle w:val="NumriData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Nr. 144, datë 22.11.2013</w:t>
      </w:r>
    </w:p>
    <w:p w:rsidR="00D71E67" w:rsidRPr="00A73D69" w:rsidRDefault="00D71E67" w:rsidP="00D71E67">
      <w:pPr>
        <w:pStyle w:val="Paragrafi"/>
        <w:rPr>
          <w:sz w:val="21"/>
          <w:szCs w:val="21"/>
          <w:lang w:val="sq-AL"/>
        </w:rPr>
      </w:pPr>
    </w:p>
    <w:p w:rsidR="00D71E67" w:rsidRPr="00A73D69" w:rsidRDefault="00D71E67" w:rsidP="00D71E67">
      <w:pPr>
        <w:pStyle w:val="Titull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MBI PEZULLIMIN E PROCEDIMIT TË TRANSFERIMIT TË LICENcËS SË PRODHIMIT DHE TREGTIMIT TË ENERGJISË ELEKTRIKE NGA SHOQËRIA </w:t>
      </w:r>
      <w:r>
        <w:rPr>
          <w:sz w:val="21"/>
          <w:szCs w:val="21"/>
          <w:lang w:val="sq-AL"/>
        </w:rPr>
        <w:t>“</w:t>
      </w:r>
      <w:r w:rsidRPr="00A73D69">
        <w:rPr>
          <w:sz w:val="21"/>
          <w:szCs w:val="21"/>
          <w:lang w:val="sq-AL"/>
        </w:rPr>
        <w:t>WONDER POWER</w:t>
      </w:r>
      <w:r>
        <w:rPr>
          <w:sz w:val="21"/>
          <w:szCs w:val="21"/>
          <w:lang w:val="sq-AL"/>
        </w:rPr>
        <w:t>”</w:t>
      </w:r>
      <w:r w:rsidRPr="00A73D69">
        <w:rPr>
          <w:sz w:val="21"/>
          <w:szCs w:val="21"/>
          <w:lang w:val="sq-AL"/>
        </w:rPr>
        <w:t xml:space="preserve"> SHA TE SHOQËRIA </w:t>
      </w:r>
      <w:r>
        <w:rPr>
          <w:sz w:val="21"/>
          <w:szCs w:val="21"/>
          <w:lang w:val="sq-AL"/>
        </w:rPr>
        <w:t>“</w:t>
      </w:r>
      <w:r w:rsidRPr="00A73D69">
        <w:rPr>
          <w:sz w:val="21"/>
          <w:szCs w:val="21"/>
          <w:lang w:val="sq-AL"/>
        </w:rPr>
        <w:t>BHP ENERGY</w:t>
      </w:r>
      <w:r>
        <w:rPr>
          <w:sz w:val="21"/>
          <w:szCs w:val="21"/>
          <w:lang w:val="sq-AL"/>
        </w:rPr>
        <w:t>”</w:t>
      </w:r>
      <w:r w:rsidRPr="00A73D69">
        <w:rPr>
          <w:sz w:val="21"/>
          <w:szCs w:val="21"/>
          <w:lang w:val="sq-AL"/>
        </w:rPr>
        <w:t xml:space="preserve"> SHPK</w:t>
      </w:r>
    </w:p>
    <w:p w:rsidR="00D71E67" w:rsidRPr="00A73D69" w:rsidRDefault="00D71E67" w:rsidP="00D71E67">
      <w:pPr>
        <w:pStyle w:val="Paragrafi"/>
        <w:rPr>
          <w:sz w:val="21"/>
          <w:szCs w:val="21"/>
          <w:lang w:val="sq-AL"/>
        </w:rPr>
      </w:pPr>
    </w:p>
    <w:p w:rsidR="00D71E67" w:rsidRPr="00A73D69" w:rsidRDefault="00D71E67" w:rsidP="00D71E67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Në mbështetje të nenit 9 të ligjit nr. 9072, datë 22.5.2003 “Për sektorin e energjisë elektrike”, të ndryshuar, vendimit nr. 62, regjistri i Gjykatës së Shkallës së Parë Administrative, ligjit nr. 49/2012 “Për organizimin dhe funksionimin e gjykatave administrative dhe gjykimin e mosmarrëveshjeve administrative”, Bordi i Komisionerëve të ERE-s, pasi shqyrtoi relacionin e përgatitur nga ana e Drejtorisë Juridike,</w:t>
      </w:r>
    </w:p>
    <w:p w:rsidR="00D71E67" w:rsidRPr="00A73D69" w:rsidRDefault="00D71E67" w:rsidP="00D71E67">
      <w:pPr>
        <w:pStyle w:val="Paragrafi"/>
        <w:rPr>
          <w:sz w:val="21"/>
          <w:szCs w:val="21"/>
          <w:lang w:val="sq-AL"/>
        </w:rPr>
      </w:pPr>
    </w:p>
    <w:p w:rsidR="00D71E67" w:rsidRPr="00A73D69" w:rsidRDefault="00D71E67" w:rsidP="00D71E67">
      <w:pPr>
        <w:pStyle w:val="VENDOS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Vendosi:</w:t>
      </w:r>
    </w:p>
    <w:p w:rsidR="00D71E67" w:rsidRPr="00A73D69" w:rsidRDefault="00D71E67" w:rsidP="00D71E67">
      <w:pPr>
        <w:pStyle w:val="Paragrafi"/>
        <w:rPr>
          <w:sz w:val="21"/>
          <w:szCs w:val="21"/>
          <w:lang w:val="sq-AL"/>
        </w:rPr>
      </w:pPr>
    </w:p>
    <w:p w:rsidR="00D71E67" w:rsidRPr="00A73D69" w:rsidRDefault="00D71E67" w:rsidP="00D71E67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1. Pezullimin e procedimit të shqyrtimit të transferimit të licencës së prodhimit dhe tregtimit të energjisë elektrike nga shoqëria </w:t>
      </w:r>
      <w:r>
        <w:rPr>
          <w:sz w:val="21"/>
          <w:szCs w:val="21"/>
          <w:lang w:val="sq-AL"/>
        </w:rPr>
        <w:t>“</w:t>
      </w:r>
      <w:r w:rsidRPr="00A73D69">
        <w:rPr>
          <w:sz w:val="21"/>
          <w:szCs w:val="21"/>
          <w:lang w:val="sq-AL"/>
        </w:rPr>
        <w:t>Wonder Power</w:t>
      </w:r>
      <w:r>
        <w:rPr>
          <w:sz w:val="21"/>
          <w:szCs w:val="21"/>
          <w:lang w:val="sq-AL"/>
        </w:rPr>
        <w:t>”</w:t>
      </w:r>
      <w:r w:rsidRPr="00A73D69">
        <w:rPr>
          <w:sz w:val="21"/>
          <w:szCs w:val="21"/>
          <w:lang w:val="sq-AL"/>
        </w:rPr>
        <w:t xml:space="preserve"> sh.a. te shoqëria </w:t>
      </w:r>
      <w:r>
        <w:rPr>
          <w:sz w:val="21"/>
          <w:szCs w:val="21"/>
          <w:lang w:val="sq-AL"/>
        </w:rPr>
        <w:t>“</w:t>
      </w:r>
      <w:r w:rsidRPr="00A73D69">
        <w:rPr>
          <w:sz w:val="21"/>
          <w:szCs w:val="21"/>
          <w:lang w:val="sq-AL"/>
        </w:rPr>
        <w:t>BHP Energy</w:t>
      </w:r>
      <w:r>
        <w:rPr>
          <w:sz w:val="21"/>
          <w:szCs w:val="21"/>
          <w:lang w:val="sq-AL"/>
        </w:rPr>
        <w:t>”</w:t>
      </w:r>
      <w:r w:rsidRPr="00A73D69">
        <w:rPr>
          <w:sz w:val="21"/>
          <w:szCs w:val="21"/>
          <w:lang w:val="sq-AL"/>
        </w:rPr>
        <w:t xml:space="preserve"> sh.p.k. </w:t>
      </w:r>
    </w:p>
    <w:p w:rsidR="00D71E67" w:rsidRPr="00A73D69" w:rsidRDefault="00D71E67" w:rsidP="00D71E67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2. Drejtoria Juridike dhe e Mbrojtjes së Konsumatorit të njoftojë shoqëritë </w:t>
      </w:r>
      <w:r>
        <w:rPr>
          <w:sz w:val="21"/>
          <w:szCs w:val="21"/>
          <w:lang w:val="sq-AL"/>
        </w:rPr>
        <w:t>“</w:t>
      </w:r>
      <w:r w:rsidRPr="00A73D69">
        <w:rPr>
          <w:sz w:val="21"/>
          <w:szCs w:val="21"/>
          <w:lang w:val="sq-AL"/>
        </w:rPr>
        <w:t>Wonder</w:t>
      </w:r>
      <w:r>
        <w:rPr>
          <w:sz w:val="21"/>
          <w:szCs w:val="21"/>
          <w:lang w:val="sq-AL"/>
        </w:rPr>
        <w:t>”</w:t>
      </w:r>
      <w:r w:rsidRPr="00A73D69">
        <w:rPr>
          <w:sz w:val="21"/>
          <w:szCs w:val="21"/>
          <w:lang w:val="sq-AL"/>
        </w:rPr>
        <w:t xml:space="preserve"> sh.a., </w:t>
      </w:r>
      <w:r>
        <w:rPr>
          <w:sz w:val="21"/>
          <w:szCs w:val="21"/>
          <w:lang w:val="sq-AL"/>
        </w:rPr>
        <w:t>“</w:t>
      </w:r>
      <w:r w:rsidRPr="00A73D69">
        <w:rPr>
          <w:sz w:val="21"/>
          <w:szCs w:val="21"/>
          <w:lang w:val="sq-AL"/>
        </w:rPr>
        <w:t>Wonder Power</w:t>
      </w:r>
      <w:r>
        <w:rPr>
          <w:sz w:val="21"/>
          <w:szCs w:val="21"/>
          <w:lang w:val="sq-AL"/>
        </w:rPr>
        <w:t>”</w:t>
      </w:r>
      <w:r w:rsidRPr="00A73D69">
        <w:rPr>
          <w:sz w:val="21"/>
          <w:szCs w:val="21"/>
          <w:lang w:val="sq-AL"/>
        </w:rPr>
        <w:t xml:space="preserve"> sh.a. dhe </w:t>
      </w:r>
      <w:r>
        <w:rPr>
          <w:sz w:val="21"/>
          <w:szCs w:val="21"/>
          <w:lang w:val="sq-AL"/>
        </w:rPr>
        <w:t>“</w:t>
      </w:r>
      <w:r w:rsidRPr="00A73D69">
        <w:rPr>
          <w:sz w:val="21"/>
          <w:szCs w:val="21"/>
          <w:lang w:val="sq-AL"/>
        </w:rPr>
        <w:t>BHP Energy</w:t>
      </w:r>
      <w:r>
        <w:rPr>
          <w:sz w:val="21"/>
          <w:szCs w:val="21"/>
          <w:lang w:val="sq-AL"/>
        </w:rPr>
        <w:t>”</w:t>
      </w:r>
      <w:r w:rsidRPr="00A73D69">
        <w:rPr>
          <w:sz w:val="21"/>
          <w:szCs w:val="21"/>
          <w:lang w:val="sq-AL"/>
        </w:rPr>
        <w:t xml:space="preserve"> sh.p.k., si dhe shoqërinë përmbarimore EPSA për vendimin e Bordit të Komisionerëve të ERE-s.</w:t>
      </w:r>
    </w:p>
    <w:p w:rsidR="00D71E67" w:rsidRPr="00A73D69" w:rsidRDefault="00D71E67" w:rsidP="00D71E67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Ky vendim hyn në fuqi menjëherë. </w:t>
      </w:r>
    </w:p>
    <w:p w:rsidR="00D71E67" w:rsidRPr="00A73D69" w:rsidRDefault="00D71E67" w:rsidP="00D71E67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Ky vendim botohet në Fletoren Zyrtare.</w:t>
      </w:r>
    </w:p>
    <w:p w:rsidR="00D71E67" w:rsidRPr="00A73D69" w:rsidRDefault="00D71E67" w:rsidP="00D71E67">
      <w:pPr>
        <w:pStyle w:val="Autoritet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KRYETARI </w:t>
      </w:r>
    </w:p>
    <w:p w:rsidR="00CA4BC0" w:rsidRDefault="00D71E67" w:rsidP="00D71E67">
      <w:pPr>
        <w:pStyle w:val="AutoritetiEmer"/>
      </w:pPr>
      <w:r w:rsidRPr="00A73D69">
        <w:rPr>
          <w:sz w:val="21"/>
          <w:szCs w:val="21"/>
          <w:lang w:val="sq-AL"/>
        </w:rPr>
        <w:t>Petrit Ahmeti</w:t>
      </w:r>
    </w:p>
    <w:sectPr w:rsidR="00CA4BC0" w:rsidSect="00B71939">
      <w:headerReference w:type="even" r:id="rId6"/>
      <w:footerReference w:type="even" r:id="rId7"/>
      <w:footerReference w:type="default" r:id="rId8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434F" w:rsidRDefault="00B8434F">
      <w:r>
        <w:separator/>
      </w:r>
    </w:p>
  </w:endnote>
  <w:endnote w:type="continuationSeparator" w:id="0">
    <w:p w:rsidR="00B8434F" w:rsidRDefault="00B84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7B50" w:rsidRPr="00CF0D8C" w:rsidRDefault="00247B50">
    <w:pPr>
      <w:pStyle w:val="Footer"/>
      <w:rPr>
        <w:rFonts w:ascii="CG Times" w:hAnsi="CG Times"/>
        <w:sz w:val="22"/>
        <w:szCs w:val="22"/>
      </w:rPr>
    </w:pPr>
    <w:r w:rsidRPr="00CF0D8C">
      <w:rPr>
        <w:rFonts w:ascii="CG Times" w:hAnsi="CG Times"/>
        <w:sz w:val="22"/>
        <w:szCs w:val="22"/>
      </w:rPr>
      <w:fldChar w:fldCharType="begin"/>
    </w:r>
    <w:r w:rsidRPr="00CF0D8C">
      <w:rPr>
        <w:rFonts w:ascii="CG Times" w:hAnsi="CG Times"/>
        <w:sz w:val="22"/>
        <w:szCs w:val="22"/>
      </w:rPr>
      <w:instrText xml:space="preserve"> PAGE   \* MERGEFORMAT </w:instrText>
    </w:r>
    <w:r w:rsidRPr="00CF0D8C">
      <w:rPr>
        <w:rFonts w:ascii="CG Times" w:hAnsi="CG Times"/>
        <w:sz w:val="22"/>
        <w:szCs w:val="22"/>
      </w:rPr>
      <w:fldChar w:fldCharType="separate"/>
    </w:r>
    <w:r>
      <w:rPr>
        <w:rFonts w:ascii="CG Times" w:hAnsi="CG Times"/>
        <w:noProof/>
        <w:sz w:val="22"/>
        <w:szCs w:val="22"/>
      </w:rPr>
      <w:t>8004</w:t>
    </w:r>
    <w:r w:rsidRPr="00CF0D8C">
      <w:rPr>
        <w:rFonts w:ascii="CG Times" w:hAnsi="CG Times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7B50" w:rsidRPr="00CF0D8C" w:rsidRDefault="00247B50">
    <w:pPr>
      <w:pStyle w:val="Footer"/>
      <w:jc w:val="right"/>
      <w:rPr>
        <w:rFonts w:ascii="CG Times" w:hAnsi="CG Times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434F" w:rsidRDefault="00B8434F">
      <w:r>
        <w:separator/>
      </w:r>
    </w:p>
  </w:footnote>
  <w:footnote w:type="continuationSeparator" w:id="0">
    <w:p w:rsidR="00B8434F" w:rsidRDefault="00B843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7B50" w:rsidRDefault="00F3774E" w:rsidP="00247B50">
    <w:pPr>
      <w:pStyle w:val="Header"/>
    </w:pPr>
    <w:r>
      <w:rPr>
        <w:noProof/>
      </w:rPr>
      <w:drawing>
        <wp:inline distT="0" distB="0" distL="0" distR="0">
          <wp:extent cx="1600200" cy="400050"/>
          <wp:effectExtent l="0" t="0" r="0" b="0"/>
          <wp:docPr id="1" name="Picture 1" descr="Flet Zy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let Zy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17" b="4980"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47B50" w:rsidRPr="00AE7784" w:rsidRDefault="00247B50" w:rsidP="00247B50">
    <w:pPr>
      <w:pStyle w:val="Header"/>
      <w:pBdr>
        <w:top w:val="single" w:sz="2" w:space="1" w:color="auto"/>
      </w:pBdr>
      <w:tabs>
        <w:tab w:val="clear" w:pos="9360"/>
      </w:tabs>
      <w:ind w:right="-1369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71E67"/>
    <w:rsid w:val="00247B50"/>
    <w:rsid w:val="00B71939"/>
    <w:rsid w:val="00B8434F"/>
    <w:rsid w:val="00CA4BC0"/>
    <w:rsid w:val="00D71E67"/>
    <w:rsid w:val="00F3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4BAA99-BCCE-40BF-B651-CA263CBB9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1E67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71E6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71E6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71E6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71E6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link w:val="NumriData"/>
    <w:locked/>
    <w:rsid w:val="00D71E6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71E6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link w:val="Paragrafi"/>
    <w:locked/>
    <w:rsid w:val="00D71E6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71E6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71E6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link w:val="VENDOSI"/>
    <w:locked/>
    <w:rsid w:val="00D71E6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link w:val="FooterChar"/>
    <w:rsid w:val="00D71E6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D71E67"/>
    <w:rPr>
      <w:rFonts w:ascii="Times New Roman" w:eastAsia="MS Mincho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rsid w:val="00D71E6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71E67"/>
    <w:rPr>
      <w:rFonts w:ascii="Times New Roman" w:eastAsia="MS Mincho" w:hAnsi="Times New Roman" w:cs="Times New Roman"/>
      <w:sz w:val="24"/>
      <w:szCs w:val="24"/>
    </w:rPr>
  </w:style>
  <w:style w:type="character" w:customStyle="1" w:styleId="TitulliChar">
    <w:name w:val="Titulli Char"/>
    <w:link w:val="Titulli"/>
    <w:rsid w:val="00D71E6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link w:val="Autoriteti"/>
    <w:locked/>
    <w:rsid w:val="00D71E6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link w:val="Akti"/>
    <w:rsid w:val="00D71E6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2019-03-18T14:26:00Z</dcterms:created>
  <dcterms:modified xsi:type="dcterms:W3CDTF">2019-03-18T14:26:00Z</dcterms:modified>
</cp:coreProperties>
</file>