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A66" w:rsidRPr="00DF0A23" w:rsidRDefault="00A36A66" w:rsidP="00A36A66">
      <w:pPr>
        <w:pStyle w:val="Akti"/>
        <w:keepNext w:val="0"/>
        <w:rPr>
          <w:sz w:val="21"/>
          <w:szCs w:val="21"/>
          <w:lang w:val="sq-AL"/>
        </w:rPr>
      </w:pPr>
      <w:r w:rsidRPr="00DF0A23">
        <w:rPr>
          <w:sz w:val="21"/>
          <w:szCs w:val="21"/>
          <w:lang w:val="sq-AL"/>
        </w:rPr>
        <w:t>Vendim</w:t>
      </w:r>
    </w:p>
    <w:p w:rsidR="00A36A66" w:rsidRPr="00DF0A23" w:rsidRDefault="00A36A66" w:rsidP="00A36A66">
      <w:pPr>
        <w:pStyle w:val="NumriData"/>
        <w:keepNext w:val="0"/>
        <w:rPr>
          <w:sz w:val="21"/>
          <w:szCs w:val="21"/>
          <w:lang w:val="sq-AL"/>
        </w:rPr>
      </w:pPr>
      <w:r w:rsidRPr="00DF0A23">
        <w:rPr>
          <w:sz w:val="21"/>
          <w:szCs w:val="21"/>
          <w:lang w:val="sq-AL"/>
        </w:rPr>
        <w:t>Nr. 6, datë 30.1.2014</w:t>
      </w:r>
    </w:p>
    <w:p w:rsidR="00A36A66" w:rsidRPr="000D10E3" w:rsidRDefault="00A36A66" w:rsidP="00A36A66">
      <w:pPr>
        <w:pStyle w:val="Paragrafi"/>
        <w:rPr>
          <w:sz w:val="14"/>
          <w:szCs w:val="14"/>
          <w:lang w:val="sq-AL"/>
        </w:rPr>
      </w:pPr>
    </w:p>
    <w:p w:rsidR="00A36A66" w:rsidRPr="00DF0A23" w:rsidRDefault="00A36A66" w:rsidP="00A36A66">
      <w:pPr>
        <w:pStyle w:val="Titulli"/>
        <w:keepNext w:val="0"/>
        <w:rPr>
          <w:sz w:val="21"/>
          <w:szCs w:val="21"/>
          <w:lang w:val="sq-AL"/>
        </w:rPr>
      </w:pPr>
      <w:r w:rsidRPr="00DF0A23">
        <w:rPr>
          <w:sz w:val="21"/>
          <w:szCs w:val="21"/>
          <w:lang w:val="sq-AL"/>
        </w:rPr>
        <w:t xml:space="preserve">MBI FILLIMIN E PROCEDURAVE PËR SHQYRTIMIN E KËRKESËS SË SHOQËRISË “KURUM INTERNATIONAL” SHA, PËR TRANSFERIMIN E ASETEVE TË HEC “ULËZ”-“SHKOPET”, “BISTRICA 1” DHE “BISTRICA 2” NË KUADËR TË MARRËVESHJES ME “IFC” </w:t>
      </w:r>
    </w:p>
    <w:p w:rsidR="00A36A66" w:rsidRPr="00742502" w:rsidRDefault="00A36A66" w:rsidP="00A36A66">
      <w:pPr>
        <w:pStyle w:val="Paragrafi"/>
        <w:rPr>
          <w:sz w:val="14"/>
          <w:szCs w:val="14"/>
          <w:lang w:val="sq-AL"/>
        </w:rPr>
      </w:pPr>
      <w:r w:rsidRPr="00DF0A23">
        <w:rPr>
          <w:sz w:val="21"/>
          <w:szCs w:val="21"/>
          <w:lang w:val="sq-AL"/>
        </w:rPr>
        <w:t xml:space="preserve"> </w:t>
      </w:r>
    </w:p>
    <w:p w:rsidR="00A36A66" w:rsidRPr="00C45D0B" w:rsidRDefault="00A36A66" w:rsidP="00A36A66">
      <w:pPr>
        <w:pStyle w:val="Paragrafi"/>
        <w:ind w:firstLine="284"/>
        <w:rPr>
          <w:spacing w:val="-6"/>
          <w:sz w:val="21"/>
          <w:szCs w:val="21"/>
          <w:lang w:val="sq-AL"/>
        </w:rPr>
      </w:pPr>
      <w:r w:rsidRPr="00C45D0B">
        <w:rPr>
          <w:spacing w:val="-6"/>
          <w:sz w:val="21"/>
          <w:szCs w:val="21"/>
          <w:lang w:val="sq-AL"/>
        </w:rPr>
        <w:t>Në mbështetje të neneve 9 dhe 20, pika 1 të ligjit nr. 9072, datë 22.5.2003 “Për sektorin e energjisë elektrike”, të ndryshuar; nenit 8 të “Rregullores së procedurave e të transferimit të aseteve të të licencuarve”, si dhe pikave 1.3 dhe 1.6 të licencës për prodhimin e energjisë elektrike, Bordi i Komisionerëve të ERE-s, në mbledhjen e datës 30.1.2014, pasi shqyrtoi relacionin e përgatitur nga Drejtoria e Licencimit dhe e Monitorimit të Tregut dhe Drejtorisë Juridike dhe të Mbrojtjes së Konsumatorit,</w:t>
      </w:r>
    </w:p>
    <w:p w:rsidR="00A36A66" w:rsidRDefault="00A36A66" w:rsidP="00A36A66">
      <w:pPr>
        <w:pStyle w:val="Paragrafi"/>
        <w:ind w:firstLine="284"/>
        <w:rPr>
          <w:spacing w:val="-4"/>
          <w:sz w:val="21"/>
          <w:szCs w:val="21"/>
          <w:lang w:val="sq-AL"/>
        </w:rPr>
      </w:pPr>
    </w:p>
    <w:p w:rsidR="00A36A66" w:rsidRDefault="00A36A66" w:rsidP="00A36A66">
      <w:pPr>
        <w:pStyle w:val="Paragrafi"/>
        <w:ind w:firstLine="284"/>
        <w:rPr>
          <w:spacing w:val="-4"/>
          <w:sz w:val="21"/>
          <w:szCs w:val="21"/>
          <w:lang w:val="sq-AL"/>
        </w:rPr>
      </w:pPr>
    </w:p>
    <w:p w:rsidR="00A36A66" w:rsidRPr="00C45D0B" w:rsidRDefault="00A36A66" w:rsidP="00A36A66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C45D0B">
        <w:rPr>
          <w:spacing w:val="-4"/>
          <w:sz w:val="21"/>
          <w:szCs w:val="21"/>
          <w:lang w:val="sq-AL"/>
        </w:rPr>
        <w:t>konstatoi se:</w:t>
      </w:r>
    </w:p>
    <w:p w:rsidR="00A36A66" w:rsidRPr="00C45D0B" w:rsidRDefault="00A36A66" w:rsidP="00A36A66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C45D0B">
        <w:rPr>
          <w:spacing w:val="-4"/>
          <w:sz w:val="21"/>
          <w:szCs w:val="21"/>
          <w:lang w:val="sq-AL"/>
        </w:rPr>
        <w:t>Nga verifikimi i dokumentacionit të paraqitur nga subjekti, rezulton se janë plotësuar sipas kërkesave ligjore, pikat si më poshtë:</w:t>
      </w:r>
    </w:p>
    <w:p w:rsidR="00A36A66" w:rsidRPr="00C45D0B" w:rsidRDefault="00A36A66" w:rsidP="00A36A66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C45D0B">
        <w:rPr>
          <w:spacing w:val="-4"/>
          <w:sz w:val="21"/>
          <w:szCs w:val="21"/>
          <w:lang w:val="sq-AL"/>
        </w:rPr>
        <w:t xml:space="preserve">- Neni 7, pika 1.1 dhe 1.2 </w:t>
      </w:r>
    </w:p>
    <w:p w:rsidR="00A36A66" w:rsidRPr="00C45D0B" w:rsidRDefault="00A36A66" w:rsidP="00A36A66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C45D0B">
        <w:rPr>
          <w:spacing w:val="-4"/>
          <w:sz w:val="21"/>
          <w:szCs w:val="21"/>
          <w:lang w:val="sq-AL"/>
        </w:rPr>
        <w:t>Emri dhe adresa e plotë e të licencuarit.</w:t>
      </w:r>
    </w:p>
    <w:p w:rsidR="00A36A66" w:rsidRPr="00C45D0B" w:rsidRDefault="00A36A66" w:rsidP="00A36A66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C45D0B">
        <w:rPr>
          <w:spacing w:val="-4"/>
          <w:sz w:val="21"/>
          <w:szCs w:val="21"/>
          <w:lang w:val="sq-AL"/>
        </w:rPr>
        <w:t xml:space="preserve">- Neni 7, pika 1.3/“a”, “b” </w:t>
      </w:r>
    </w:p>
    <w:p w:rsidR="00A36A66" w:rsidRPr="00C45D0B" w:rsidRDefault="00A36A66" w:rsidP="00A36A66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C45D0B">
        <w:rPr>
          <w:spacing w:val="-4"/>
          <w:sz w:val="21"/>
          <w:szCs w:val="21"/>
          <w:lang w:val="sq-AL"/>
        </w:rPr>
        <w:t xml:space="preserve">Përshkrimi i të licencuarit dhe informacioni lidhur me aktivitetin e tij. </w:t>
      </w:r>
    </w:p>
    <w:p w:rsidR="00A36A66" w:rsidRPr="00C45D0B" w:rsidRDefault="00A36A66" w:rsidP="00A36A66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C45D0B">
        <w:rPr>
          <w:spacing w:val="-4"/>
          <w:sz w:val="21"/>
          <w:szCs w:val="21"/>
          <w:lang w:val="sq-AL"/>
        </w:rPr>
        <w:t>- Neni 7, pika 1.3/“c”</w:t>
      </w:r>
    </w:p>
    <w:p w:rsidR="00A36A66" w:rsidRPr="00C45D0B" w:rsidRDefault="00A36A66" w:rsidP="00A36A66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C45D0B">
        <w:rPr>
          <w:spacing w:val="-4"/>
          <w:sz w:val="21"/>
          <w:szCs w:val="21"/>
          <w:lang w:val="sq-AL"/>
        </w:rPr>
        <w:t>Gjendja financiare në kohën kur paraqitet kërkesa dhe efekti i pritshëm pas transferimit të aseteve.</w:t>
      </w:r>
    </w:p>
    <w:p w:rsidR="00A36A66" w:rsidRPr="00C45D0B" w:rsidRDefault="00A36A66" w:rsidP="00A36A66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C45D0B">
        <w:rPr>
          <w:spacing w:val="-4"/>
          <w:sz w:val="21"/>
          <w:szCs w:val="21"/>
          <w:lang w:val="sq-AL"/>
        </w:rPr>
        <w:t xml:space="preserve">Janë plotësuar, gjithashtu, pika 1.3/“d”, “e”, “f”, “g”, “h” të nenit 7 të rregullores: </w:t>
      </w:r>
    </w:p>
    <w:p w:rsidR="00A36A66" w:rsidRPr="00C45D0B" w:rsidRDefault="00A36A66" w:rsidP="00A36A66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C45D0B">
        <w:rPr>
          <w:spacing w:val="-4"/>
          <w:sz w:val="21"/>
          <w:szCs w:val="21"/>
          <w:lang w:val="sq-AL"/>
        </w:rPr>
        <w:t xml:space="preserve">- Pika 1.3/“d” - Përshkrimin e kandidatit përfitues. </w:t>
      </w:r>
    </w:p>
    <w:p w:rsidR="00A36A66" w:rsidRPr="00C45D0B" w:rsidRDefault="00A36A66" w:rsidP="00A36A66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C45D0B">
        <w:rPr>
          <w:spacing w:val="-4"/>
          <w:sz w:val="21"/>
          <w:szCs w:val="21"/>
          <w:lang w:val="sq-AL"/>
        </w:rPr>
        <w:t>- Pika 1.3/“e” - Arsyet dhe shkaku ligjor i barrësimit - motivet.</w:t>
      </w:r>
    </w:p>
    <w:p w:rsidR="00A36A66" w:rsidRPr="00C45D0B" w:rsidRDefault="00A36A66" w:rsidP="00A36A66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C45D0B">
        <w:rPr>
          <w:spacing w:val="-4"/>
          <w:sz w:val="21"/>
          <w:szCs w:val="21"/>
          <w:lang w:val="sq-AL"/>
        </w:rPr>
        <w:t>- Pika 1.3/“f” - Efektet e pritshme të transferimit (dhënies peng/hipotekë) në aktivitetin e të licencuarit.</w:t>
      </w:r>
    </w:p>
    <w:p w:rsidR="00A36A66" w:rsidRPr="00B87A67" w:rsidRDefault="00A36A66" w:rsidP="00A36A66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C45D0B">
        <w:rPr>
          <w:spacing w:val="-4"/>
          <w:sz w:val="21"/>
          <w:szCs w:val="21"/>
          <w:lang w:val="sq-AL"/>
        </w:rPr>
        <w:t xml:space="preserve">- Pika 1.3/“g” - Efekti në furnizimin e rregullt e të qëndrueshëm të klientëve të licencuarit dhe në tarifat e aktivitetit të licencuar. </w:t>
      </w:r>
    </w:p>
    <w:p w:rsidR="00A36A66" w:rsidRPr="00B87A67" w:rsidRDefault="00A36A66" w:rsidP="00A36A66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B87A67">
        <w:rPr>
          <w:spacing w:val="-4"/>
          <w:sz w:val="21"/>
          <w:szCs w:val="21"/>
          <w:lang w:val="sq-AL"/>
        </w:rPr>
        <w:t>- Pika 1.3/“h” - Marrëveshja paraprake.</w:t>
      </w:r>
    </w:p>
    <w:p w:rsidR="00A36A66" w:rsidRPr="00B87A67" w:rsidRDefault="00A36A66" w:rsidP="00A36A66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B87A67">
        <w:rPr>
          <w:spacing w:val="-4"/>
          <w:sz w:val="21"/>
          <w:szCs w:val="21"/>
          <w:lang w:val="sq-AL"/>
        </w:rPr>
        <w:t>Për gjithë sa më sipër cituar, Bordi i Komisionerëve të ERE-s</w:t>
      </w:r>
    </w:p>
    <w:p w:rsidR="00A36A66" w:rsidRPr="00B87A67" w:rsidRDefault="00A36A66" w:rsidP="00A36A66">
      <w:pPr>
        <w:pStyle w:val="VENDOSI"/>
        <w:keepNext w:val="0"/>
        <w:ind w:firstLine="284"/>
        <w:rPr>
          <w:spacing w:val="-4"/>
          <w:sz w:val="10"/>
          <w:szCs w:val="10"/>
          <w:lang w:val="sq-AL"/>
        </w:rPr>
      </w:pPr>
    </w:p>
    <w:p w:rsidR="00A36A66" w:rsidRPr="00B87A67" w:rsidRDefault="00A36A66" w:rsidP="00A36A66">
      <w:pPr>
        <w:pStyle w:val="VENDOSI"/>
        <w:keepNext w:val="0"/>
        <w:ind w:firstLine="284"/>
        <w:rPr>
          <w:spacing w:val="-4"/>
          <w:sz w:val="21"/>
          <w:szCs w:val="21"/>
          <w:lang w:val="sq-AL"/>
        </w:rPr>
      </w:pPr>
      <w:r w:rsidRPr="00B87A67">
        <w:rPr>
          <w:spacing w:val="-4"/>
          <w:sz w:val="21"/>
          <w:szCs w:val="21"/>
          <w:lang w:val="sq-AL"/>
        </w:rPr>
        <w:t>Vendosi:</w:t>
      </w:r>
    </w:p>
    <w:p w:rsidR="00A36A66" w:rsidRPr="00B87A67" w:rsidRDefault="00A36A66" w:rsidP="00A36A66">
      <w:pPr>
        <w:widowControl w:val="0"/>
        <w:spacing w:after="0" w:line="240" w:lineRule="auto"/>
        <w:ind w:firstLine="284"/>
        <w:rPr>
          <w:spacing w:val="-4"/>
          <w:sz w:val="14"/>
          <w:szCs w:val="14"/>
          <w:lang w:val="sq-AL"/>
        </w:rPr>
      </w:pPr>
    </w:p>
    <w:p w:rsidR="00A36A66" w:rsidRPr="00B87A67" w:rsidRDefault="00A36A66" w:rsidP="00A36A66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B87A67">
        <w:rPr>
          <w:spacing w:val="-4"/>
          <w:sz w:val="21"/>
          <w:szCs w:val="21"/>
          <w:lang w:val="sq-AL"/>
        </w:rPr>
        <w:t xml:space="preserve">1. Të fillojë procedurat për shqyrtimin e kërkesës së shoqërisë “Kurum International” sh.a., për transferimin e aseteve të HEC “Ulëz”-“Shkopet”, “Bistrica 1” dhe “Bistrica 2” në kuadër të marrëveshjes me “IFC”. </w:t>
      </w:r>
    </w:p>
    <w:p w:rsidR="00A36A66" w:rsidRPr="00B87A67" w:rsidRDefault="00A36A66" w:rsidP="00A36A66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B87A67">
        <w:rPr>
          <w:spacing w:val="-4"/>
          <w:sz w:val="21"/>
          <w:szCs w:val="21"/>
          <w:lang w:val="sq-AL"/>
        </w:rPr>
        <w:t xml:space="preserve">2. Ngarkohet Drejtoria Juridike dhe e Mbrojtjes së Konsumatorit për njoftimin e shoqërisë “Kurum International” sh.a. për vendimin e Bordit të Komisionerëve të ERE-s. </w:t>
      </w:r>
    </w:p>
    <w:p w:rsidR="00A36A66" w:rsidRPr="00B87A67" w:rsidRDefault="00A36A66" w:rsidP="00A36A66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B87A67">
        <w:rPr>
          <w:spacing w:val="-4"/>
          <w:sz w:val="21"/>
          <w:szCs w:val="21"/>
          <w:lang w:val="sq-AL"/>
        </w:rPr>
        <w:t>Ky vendim hyn në fuqi menjëherë.</w:t>
      </w:r>
    </w:p>
    <w:p w:rsidR="00A36A66" w:rsidRPr="00B87A67" w:rsidRDefault="00A36A66" w:rsidP="00A36A66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B87A67">
        <w:rPr>
          <w:spacing w:val="-4"/>
          <w:sz w:val="21"/>
          <w:szCs w:val="21"/>
          <w:lang w:val="sq-AL"/>
        </w:rPr>
        <w:t>Ky vendim botohet në Fletoren Zyrtare.</w:t>
      </w:r>
    </w:p>
    <w:p w:rsidR="00A36A66" w:rsidRPr="00B87A67" w:rsidRDefault="00A36A66" w:rsidP="00A36A66">
      <w:pPr>
        <w:pStyle w:val="Autoriteti"/>
        <w:keepNext w:val="0"/>
        <w:rPr>
          <w:spacing w:val="-4"/>
          <w:sz w:val="14"/>
          <w:szCs w:val="14"/>
          <w:lang w:val="sq-AL"/>
        </w:rPr>
      </w:pPr>
    </w:p>
    <w:p w:rsidR="00A36A66" w:rsidRPr="00B87A67" w:rsidRDefault="00A36A66" w:rsidP="00A36A66">
      <w:pPr>
        <w:pStyle w:val="Autoriteti"/>
        <w:keepNext w:val="0"/>
        <w:rPr>
          <w:spacing w:val="-4"/>
          <w:sz w:val="21"/>
          <w:szCs w:val="21"/>
          <w:lang w:val="sq-AL"/>
        </w:rPr>
      </w:pPr>
      <w:r w:rsidRPr="00B87A67">
        <w:rPr>
          <w:spacing w:val="-4"/>
          <w:sz w:val="21"/>
          <w:szCs w:val="21"/>
          <w:lang w:val="sq-AL"/>
        </w:rPr>
        <w:t>Kryetari</w:t>
      </w:r>
    </w:p>
    <w:p w:rsidR="002145EB" w:rsidRPr="00A36A66" w:rsidRDefault="00A36A66" w:rsidP="00A36A66">
      <w:pPr>
        <w:jc w:val="right"/>
        <w:rPr>
          <w:b/>
        </w:rPr>
      </w:pPr>
      <w:r w:rsidRPr="00A36A66">
        <w:rPr>
          <w:b/>
          <w:spacing w:val="-4"/>
          <w:sz w:val="21"/>
          <w:szCs w:val="21"/>
          <w:lang w:val="sq-AL"/>
        </w:rPr>
        <w:t>Petrit Ahmeti</w:t>
      </w:r>
    </w:p>
    <w:sectPr w:rsidR="002145EB" w:rsidRPr="00A36A66" w:rsidSect="002145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9"/>
  <w:proofState w:spelling="clean" w:grammar="clean"/>
  <w:defaultTabStop w:val="720"/>
  <w:characterSpacingControl w:val="doNotCompress"/>
  <w:compat/>
  <w:rsids>
    <w:rsidRoot w:val="00A36A66"/>
    <w:rsid w:val="002145EB"/>
    <w:rsid w:val="00A36A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A6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36A66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A36A66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NumriData">
    <w:name w:val="Numri_Data"/>
    <w:next w:val="Normal"/>
    <w:link w:val="NumriDataChar"/>
    <w:rsid w:val="00A36A66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36A66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A36A66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A36A66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A36A66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A36A6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36A66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A36A66"/>
    <w:rPr>
      <w:rFonts w:ascii="CG Times" w:eastAsia="MS Mincho" w:hAnsi="CG Times" w:cs="CG Times"/>
      <w:b/>
      <w:bCs/>
      <w:caps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A36A66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A36A66"/>
    <w:rPr>
      <w:rFonts w:ascii="CG Times" w:eastAsia="MS Mincho" w:hAnsi="CG Times" w:cs="CG Times"/>
      <w:b/>
      <w:bCs/>
      <w:caps/>
      <w:color w:val="00000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1906</Characters>
  <Application>Microsoft Office Word</Application>
  <DocSecurity>0</DocSecurity>
  <Lines>15</Lines>
  <Paragraphs>4</Paragraphs>
  <ScaleCrop>false</ScaleCrop>
  <Company>Hewlett-Packard Company</Company>
  <LinksUpToDate>false</LinksUpToDate>
  <CharactersWithSpaces>2236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dc:description/>
  <cp:lastModifiedBy>nisida.fagu</cp:lastModifiedBy>
  <cp:revision>2</cp:revision>
  <dcterms:created xsi:type="dcterms:W3CDTF">2014-07-08T12:43:00Z</dcterms:created>
  <dcterms:modified xsi:type="dcterms:W3CDTF">2014-07-08T12:45:00Z</dcterms:modified>
</cp:coreProperties>
</file>