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6FC" w:rsidRPr="00B87A67" w:rsidRDefault="007D56FC" w:rsidP="007D56FC">
      <w:pPr>
        <w:pStyle w:val="Akti"/>
        <w:rPr>
          <w:spacing w:val="-4"/>
          <w:sz w:val="21"/>
          <w:szCs w:val="21"/>
          <w:lang w:val="sq-AL"/>
        </w:rPr>
      </w:pPr>
      <w:r w:rsidRPr="00B87A67">
        <w:rPr>
          <w:spacing w:val="-4"/>
          <w:sz w:val="21"/>
          <w:szCs w:val="21"/>
          <w:lang w:val="sq-AL"/>
        </w:rPr>
        <w:t>Vendim</w:t>
      </w:r>
    </w:p>
    <w:p w:rsidR="007D56FC" w:rsidRPr="00B87A67" w:rsidRDefault="007D56FC" w:rsidP="007D56FC">
      <w:pPr>
        <w:pStyle w:val="NumriData"/>
        <w:rPr>
          <w:spacing w:val="-4"/>
          <w:sz w:val="21"/>
          <w:szCs w:val="21"/>
          <w:lang w:val="sq-AL"/>
        </w:rPr>
      </w:pPr>
      <w:r w:rsidRPr="00B87A67">
        <w:rPr>
          <w:spacing w:val="-4"/>
          <w:sz w:val="21"/>
          <w:szCs w:val="21"/>
          <w:lang w:val="sq-AL"/>
        </w:rPr>
        <w:t>Nr. 7, datë 6.2.2014</w:t>
      </w:r>
    </w:p>
    <w:p w:rsidR="007D56FC" w:rsidRPr="00B87A67" w:rsidRDefault="007D56FC" w:rsidP="007D56FC">
      <w:pPr>
        <w:spacing w:after="0" w:line="240" w:lineRule="auto"/>
        <w:ind w:firstLine="284"/>
        <w:rPr>
          <w:rFonts w:ascii="CG Times" w:hAnsi="CG Times"/>
          <w:spacing w:val="-4"/>
          <w:sz w:val="21"/>
          <w:szCs w:val="21"/>
          <w:lang w:val="sq-AL"/>
        </w:rPr>
      </w:pPr>
    </w:p>
    <w:p w:rsidR="007D56FC" w:rsidRPr="00B87A67" w:rsidRDefault="007D56FC" w:rsidP="007D56FC">
      <w:pPr>
        <w:pStyle w:val="Titulli"/>
        <w:rPr>
          <w:spacing w:val="-4"/>
          <w:sz w:val="21"/>
          <w:szCs w:val="21"/>
          <w:lang w:val="sq-AL"/>
        </w:rPr>
      </w:pPr>
      <w:r w:rsidRPr="00B87A67">
        <w:rPr>
          <w:spacing w:val="-4"/>
          <w:sz w:val="21"/>
          <w:szCs w:val="21"/>
          <w:lang w:val="sq-AL"/>
        </w:rPr>
        <w:t xml:space="preserve">Për miratimin e kërkesës së shoqërisë kurum international shA, për transferimin e aseteve të hec “Ulëz”-“Shkopet”, “Bistrica 1” dhe </w:t>
      </w:r>
      <w:r>
        <w:rPr>
          <w:spacing w:val="-4"/>
          <w:sz w:val="21"/>
          <w:szCs w:val="21"/>
          <w:lang w:val="sq-AL"/>
        </w:rPr>
        <w:t>“</w:t>
      </w:r>
      <w:r w:rsidRPr="00B87A67">
        <w:rPr>
          <w:spacing w:val="-4"/>
          <w:sz w:val="21"/>
          <w:szCs w:val="21"/>
          <w:lang w:val="sq-AL"/>
        </w:rPr>
        <w:t>Bistrica 2” në kuadër të marrëveshjes me “ifc”, “Banka kombëtare</w:t>
      </w:r>
      <w:r>
        <w:rPr>
          <w:spacing w:val="-4"/>
          <w:sz w:val="21"/>
          <w:szCs w:val="21"/>
          <w:lang w:val="sq-AL"/>
        </w:rPr>
        <w:t xml:space="preserve"> TREGTARE</w:t>
      </w:r>
      <w:r w:rsidRPr="00B87A67">
        <w:rPr>
          <w:spacing w:val="-4"/>
          <w:sz w:val="21"/>
          <w:szCs w:val="21"/>
          <w:lang w:val="sq-AL"/>
        </w:rPr>
        <w:t xml:space="preserve"> sha”, “Black sea trade and development</w:t>
      </w:r>
      <w:r>
        <w:rPr>
          <w:spacing w:val="-4"/>
          <w:sz w:val="21"/>
          <w:szCs w:val="21"/>
          <w:lang w:val="sq-AL"/>
        </w:rPr>
        <w:t xml:space="preserve"> bank” and “raiffeisen bank</w:t>
      </w:r>
      <w:r w:rsidRPr="00B87A67">
        <w:rPr>
          <w:spacing w:val="-4"/>
          <w:sz w:val="21"/>
          <w:szCs w:val="21"/>
          <w:lang w:val="sq-AL"/>
        </w:rPr>
        <w:t xml:space="preserve"> sha”</w:t>
      </w:r>
    </w:p>
    <w:p w:rsidR="007D56FC" w:rsidRPr="00B87A67" w:rsidRDefault="007D56FC" w:rsidP="007D56FC">
      <w:pPr>
        <w:spacing w:after="0" w:line="240" w:lineRule="auto"/>
        <w:ind w:firstLine="284"/>
        <w:rPr>
          <w:rFonts w:ascii="CG Times" w:hAnsi="CG Times"/>
          <w:spacing w:val="-4"/>
          <w:sz w:val="21"/>
          <w:szCs w:val="21"/>
          <w:lang w:val="sq-AL"/>
        </w:rPr>
      </w:pP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Në mbështetje të neneve 9 dhe 20, pika 1, të ligjit nr. 9072, datë 22.5.2003 “Për sektorin e energjisë elektrike”, të ndryshuar, nenit 8 të “Rregullores të procedurave e të transferimit të aseteve të të licencuarve”, si dhe pikave 1.3 dhe 1.6 të licencës për prodhimin e energjisë elektrike, Bordi i Komisionerëve të ERE-s në mbledhjen e datës 6.2.2014, pasi shqyrtoi relacionin e përgatitur nga Drejtoria e Licencimit dhe Monitorimit të Tregut dhe Drejtoria Juridike dhe Mbrojtjes së Konsumatorit,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konstatoi se: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Nga verifikimi i dokumentacionit të paraqitur nga subjekti rezulton se janë plotësuar sipas kërkesave ligjore pikat si më poshtë: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- Neni 7, pika 1.1 dhe 1.2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Emri dhe adresa e plotë e të licencuarit: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- Neni 7, pika 1.3/ “a”, “b”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Përshkrimi i të licencuarit dhe informacioni lidhur me aktivitetin e tij.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Neni 7, pika 1.3 “c”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“Gjendja financiare në kohën kur paraqitet kërkesa dhe efekti i pritshëm pas transferimit të aseteve.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Janë plotësuar gjithashtu pika 1.3/ “d”, “e”, “f”, “g”, “h”, të nenit 7 të Rregullores: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- Pika 1.3/ “d” – Përshkrimin e kandidatit përfitues.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- Pika 1.3/ “e”-Arsyet dhe shkaku ligjor i barrësimit-motivet.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- Pika 1/3/ “f”-Efektet e pritshme të transferimit (dhënies peng/hipotekë) në aktivitetin e të licencuarit.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- Pika 1.3 “g” – Efekti në furnizimin e rregullt e të qëndrueshëm të klientëve të të licencuarit dhe në tarfiat e aktivitetit të licencuar.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- Pika 1.3 “h” - Marrëveshjet paraprake.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Për gjithë sa më sipër cituar, Bordi i Komisionerëve të ERE-s</w:t>
      </w:r>
    </w:p>
    <w:p w:rsidR="007D56FC" w:rsidRPr="00FC5194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6"/>
          <w:szCs w:val="14"/>
          <w:lang w:val="sq-AL"/>
        </w:rPr>
      </w:pPr>
    </w:p>
    <w:p w:rsidR="007D56FC" w:rsidRPr="00B87A67" w:rsidRDefault="007D56FC" w:rsidP="007D56FC">
      <w:pPr>
        <w:pStyle w:val="VENDOSI"/>
        <w:rPr>
          <w:spacing w:val="-4"/>
          <w:sz w:val="21"/>
          <w:szCs w:val="21"/>
          <w:lang w:val="sq-AL"/>
        </w:rPr>
      </w:pPr>
      <w:r w:rsidRPr="00B87A67">
        <w:rPr>
          <w:spacing w:val="-4"/>
          <w:sz w:val="21"/>
          <w:szCs w:val="21"/>
          <w:lang w:val="sq-AL"/>
        </w:rPr>
        <w:t>Vendosi: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14"/>
          <w:szCs w:val="14"/>
          <w:lang w:val="sq-AL"/>
        </w:rPr>
      </w:pP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1.</w:t>
      </w:r>
      <w:r>
        <w:rPr>
          <w:rFonts w:ascii="CG Times" w:hAnsi="CG Times"/>
          <w:spacing w:val="-4"/>
          <w:sz w:val="21"/>
          <w:szCs w:val="21"/>
          <w:lang w:val="sq-AL"/>
        </w:rPr>
        <w:t xml:space="preserve"> </w:t>
      </w:r>
      <w:r w:rsidRPr="00B87A67">
        <w:rPr>
          <w:rFonts w:ascii="CG Times" w:hAnsi="CG Times"/>
          <w:spacing w:val="-4"/>
          <w:sz w:val="21"/>
          <w:szCs w:val="21"/>
          <w:lang w:val="sq-AL"/>
        </w:rPr>
        <w:t xml:space="preserve">Të miratojë kërkesën nr. 87, prot, datë 20.1.2014, të shoqërisë </w:t>
      </w:r>
      <w:r>
        <w:rPr>
          <w:rFonts w:ascii="CG Times" w:hAnsi="CG Times"/>
          <w:spacing w:val="-4"/>
          <w:sz w:val="21"/>
          <w:szCs w:val="21"/>
          <w:lang w:val="sq-AL"/>
        </w:rPr>
        <w:t>“</w:t>
      </w:r>
      <w:r w:rsidRPr="00B87A67">
        <w:rPr>
          <w:rFonts w:ascii="CG Times" w:hAnsi="CG Times"/>
          <w:spacing w:val="-4"/>
          <w:sz w:val="21"/>
          <w:szCs w:val="21"/>
          <w:lang w:val="sq-AL"/>
        </w:rPr>
        <w:t xml:space="preserve">Kurum International sh.a.” për transferimin e aseteve të HEC “Ulëz”-“Shkopet”, “Bistrica 1” dhe </w:t>
      </w:r>
      <w:r>
        <w:rPr>
          <w:rFonts w:ascii="CG Times" w:hAnsi="CG Times"/>
          <w:spacing w:val="-4"/>
          <w:sz w:val="21"/>
          <w:szCs w:val="21"/>
          <w:lang w:val="sq-AL"/>
        </w:rPr>
        <w:t>“</w:t>
      </w:r>
      <w:r w:rsidRPr="00B87A67">
        <w:rPr>
          <w:rFonts w:ascii="CG Times" w:hAnsi="CG Times"/>
          <w:spacing w:val="-4"/>
          <w:sz w:val="21"/>
          <w:szCs w:val="21"/>
          <w:lang w:val="sq-AL"/>
        </w:rPr>
        <w:t>Bistrica 2” dhe miratimet e kërkuara në të, në kuadër të: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- Marrëveshjes së kushteve paraprake të datës 19.12.2013, lidhur me paketën siguruese të financimit, me përfitues kolateral “Raiffeisen Bank sh.a. ” në rolin e agjentit të kolateralit të huadhënësve kryesorë (“IFC”, “Banka Kombëtare</w:t>
      </w:r>
      <w:r>
        <w:rPr>
          <w:rFonts w:ascii="CG Times" w:hAnsi="CG Times"/>
          <w:spacing w:val="-4"/>
          <w:sz w:val="21"/>
          <w:szCs w:val="21"/>
          <w:lang w:val="sq-AL"/>
        </w:rPr>
        <w:t xml:space="preserve"> Tregtare</w:t>
      </w:r>
      <w:r w:rsidRPr="00B87A67">
        <w:rPr>
          <w:rFonts w:ascii="CG Times" w:hAnsi="CG Times"/>
          <w:spacing w:val="-4"/>
          <w:sz w:val="21"/>
          <w:szCs w:val="21"/>
          <w:lang w:val="sq-AL"/>
        </w:rPr>
        <w:t xml:space="preserve"> sh.a.”, “Black Sea Trade and Development Bank” and “Raiffeisen Bank sh.a.”), të rënë dakord nga palët në këtë dokument (në definicionin “Dokumentet e sigurisë”);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- Marrëveshjes së barrës siguruese mbi të gjitha asetet e luajtshme të prekshme, aktuale dhe të ardhshme, pjesë e HEC-eve të</w:t>
      </w:r>
      <w:r w:rsidRPr="00B87A67">
        <w:rPr>
          <w:rFonts w:ascii="CG Times" w:hAnsi="CG Times"/>
          <w:sz w:val="21"/>
          <w:szCs w:val="21"/>
          <w:lang w:val="sq-AL"/>
        </w:rPr>
        <w:t xml:space="preserve"> sipërpërmendur</w:t>
      </w:r>
      <w:r>
        <w:rPr>
          <w:rFonts w:ascii="CG Times" w:hAnsi="CG Times"/>
          <w:sz w:val="21"/>
          <w:szCs w:val="21"/>
          <w:lang w:val="sq-AL"/>
        </w:rPr>
        <w:t>a</w:t>
      </w:r>
      <w:r w:rsidRPr="00B87A67">
        <w:rPr>
          <w:rFonts w:ascii="CG Times" w:hAnsi="CG Times"/>
          <w:sz w:val="21"/>
          <w:szCs w:val="21"/>
          <w:lang w:val="sq-AL"/>
        </w:rPr>
        <w:t xml:space="preserve">, në pronësi të </w:t>
      </w:r>
      <w:r>
        <w:rPr>
          <w:rFonts w:ascii="CG Times" w:hAnsi="CG Times"/>
          <w:sz w:val="21"/>
          <w:szCs w:val="21"/>
          <w:lang w:val="sq-AL"/>
        </w:rPr>
        <w:t>“</w:t>
      </w:r>
      <w:r w:rsidRPr="00B87A67">
        <w:rPr>
          <w:rFonts w:ascii="CG Times" w:hAnsi="CG Times"/>
          <w:sz w:val="21"/>
          <w:szCs w:val="21"/>
          <w:lang w:val="sq-AL"/>
        </w:rPr>
        <w:t>Kurum International sh.a.”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z w:val="21"/>
          <w:szCs w:val="21"/>
          <w:lang w:val="sq-AL"/>
        </w:rPr>
      </w:pPr>
      <w:r w:rsidRPr="00B87A67">
        <w:rPr>
          <w:rFonts w:ascii="CG Times" w:hAnsi="CG Times"/>
          <w:sz w:val="21"/>
          <w:szCs w:val="21"/>
          <w:lang w:val="sq-AL"/>
        </w:rPr>
        <w:t>- Marrëveshjes së transferimit të të drejtave mbi licencën/at dhe kontratat e projektit dhe çdo të drejtë tjetër të “Kurum International sh.a.” sipas dokumenteve të projektit.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z w:val="21"/>
          <w:szCs w:val="21"/>
          <w:lang w:val="sq-AL"/>
        </w:rPr>
        <w:t xml:space="preserve">- Marrëveshjes hipotekore mbi të gjitha pasuritë e paluajtshme të “Kurum International sh.a.” pjesë e (i) HEC-eve të Bistricës 1 dhe </w:t>
      </w:r>
      <w:r w:rsidRPr="00B87A67">
        <w:rPr>
          <w:rFonts w:ascii="CG Times" w:hAnsi="CG Times"/>
          <w:spacing w:val="-4"/>
          <w:sz w:val="21"/>
          <w:szCs w:val="21"/>
          <w:lang w:val="sq-AL"/>
        </w:rPr>
        <w:t>Bistricës 2 dhe Ulëz-Shkopet dhe (ii) Fabrikës së Metalurgjisë së Çelikut, Elbasan;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6"/>
          <w:sz w:val="21"/>
          <w:szCs w:val="21"/>
          <w:lang w:val="sq-AL"/>
        </w:rPr>
      </w:pPr>
      <w:r w:rsidRPr="00B87A67">
        <w:rPr>
          <w:rFonts w:ascii="CG Times" w:hAnsi="CG Times"/>
          <w:spacing w:val="-6"/>
          <w:sz w:val="21"/>
          <w:szCs w:val="21"/>
          <w:lang w:val="sq-AL"/>
        </w:rPr>
        <w:t>- Marrëveshjes së kolateralit financiar mbi llogarinë bankare në zotërim të huamarrësit në të cilën do të paguhen: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6"/>
          <w:sz w:val="21"/>
          <w:szCs w:val="21"/>
          <w:lang w:val="sq-AL"/>
        </w:rPr>
      </w:pPr>
      <w:r w:rsidRPr="00B87A67">
        <w:rPr>
          <w:rFonts w:ascii="CG Times" w:hAnsi="CG Times"/>
          <w:spacing w:val="-6"/>
          <w:sz w:val="21"/>
          <w:szCs w:val="21"/>
          <w:lang w:val="sq-AL"/>
        </w:rPr>
        <w:t>a) të gjith</w:t>
      </w:r>
      <w:r>
        <w:rPr>
          <w:rFonts w:ascii="CG Times" w:hAnsi="CG Times"/>
          <w:spacing w:val="-6"/>
          <w:sz w:val="21"/>
          <w:szCs w:val="21"/>
          <w:lang w:val="sq-AL"/>
        </w:rPr>
        <w:t>a</w:t>
      </w:r>
      <w:r w:rsidRPr="00B87A67">
        <w:rPr>
          <w:rFonts w:ascii="CG Times" w:hAnsi="CG Times"/>
          <w:spacing w:val="-6"/>
          <w:sz w:val="21"/>
          <w:szCs w:val="21"/>
          <w:lang w:val="sq-AL"/>
        </w:rPr>
        <w:t xml:space="preserve"> të ardhurat e sigurimeve të rëna dakord nga palët; dhe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4"/>
          <w:sz w:val="21"/>
          <w:szCs w:val="21"/>
          <w:lang w:val="sq-AL"/>
        </w:rPr>
      </w:pPr>
      <w:r w:rsidRPr="00B87A67">
        <w:rPr>
          <w:rFonts w:ascii="CG Times" w:hAnsi="CG Times"/>
          <w:spacing w:val="-4"/>
          <w:sz w:val="21"/>
          <w:szCs w:val="21"/>
          <w:lang w:val="sq-AL"/>
        </w:rPr>
        <w:t>b) të gjith</w:t>
      </w:r>
      <w:r>
        <w:rPr>
          <w:rFonts w:ascii="CG Times" w:hAnsi="CG Times"/>
          <w:spacing w:val="-4"/>
          <w:sz w:val="21"/>
          <w:szCs w:val="21"/>
          <w:lang w:val="sq-AL"/>
        </w:rPr>
        <w:t>a</w:t>
      </w:r>
      <w:r w:rsidRPr="00B87A67">
        <w:rPr>
          <w:rFonts w:ascii="CG Times" w:hAnsi="CG Times"/>
          <w:spacing w:val="-4"/>
          <w:sz w:val="21"/>
          <w:szCs w:val="21"/>
          <w:lang w:val="sq-AL"/>
        </w:rPr>
        <w:t xml:space="preserve"> të ardhurat e pagueshme ndaj huamarrësit sipas dispozitave të projektit;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6"/>
          <w:sz w:val="21"/>
          <w:szCs w:val="21"/>
          <w:lang w:val="sq-AL"/>
        </w:rPr>
      </w:pPr>
      <w:r w:rsidRPr="00B87A67">
        <w:rPr>
          <w:rFonts w:ascii="CG Times" w:hAnsi="CG Times"/>
          <w:spacing w:val="-6"/>
          <w:sz w:val="21"/>
          <w:szCs w:val="21"/>
          <w:lang w:val="sq-AL"/>
        </w:rPr>
        <w:t>- Letrës së konfirmimit të ERE-s në përputhje me dakortësimin e palëve në marrëveshjen e kushteve paraprake të datës 19.12.2013, neni 8.16 dhe definicionin që i bëhet kësaj letre në këtë marrëveshje.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6"/>
          <w:sz w:val="21"/>
          <w:szCs w:val="21"/>
          <w:lang w:val="sq-AL"/>
        </w:rPr>
      </w:pPr>
      <w:r w:rsidRPr="00B87A67">
        <w:rPr>
          <w:rFonts w:ascii="CG Times" w:hAnsi="CG Times"/>
          <w:spacing w:val="-6"/>
          <w:sz w:val="21"/>
          <w:szCs w:val="21"/>
          <w:lang w:val="sq-AL"/>
        </w:rPr>
        <w:lastRenderedPageBreak/>
        <w:t>2. Ngarkohet Drejtoria Juridike dhe e Mbrojtjes së Konsumatorit për njoftimin e shoqërisë “Kurum International sh.a.” për vendimin e Bordit të Komisionerëve të ERE-s.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6"/>
          <w:sz w:val="21"/>
          <w:szCs w:val="21"/>
          <w:lang w:val="sq-AL"/>
        </w:rPr>
      </w:pPr>
      <w:r w:rsidRPr="00B87A67">
        <w:rPr>
          <w:rFonts w:ascii="CG Times" w:hAnsi="CG Times"/>
          <w:spacing w:val="-6"/>
          <w:sz w:val="21"/>
          <w:szCs w:val="21"/>
          <w:lang w:val="sq-AL"/>
        </w:rPr>
        <w:t>Ky vendim hyn në fuqi menjëherë.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pacing w:val="-6"/>
          <w:sz w:val="21"/>
          <w:szCs w:val="21"/>
          <w:lang w:val="sq-AL"/>
        </w:rPr>
      </w:pPr>
      <w:r w:rsidRPr="00B87A67">
        <w:rPr>
          <w:rFonts w:ascii="CG Times" w:hAnsi="CG Times"/>
          <w:spacing w:val="-6"/>
          <w:sz w:val="21"/>
          <w:szCs w:val="21"/>
          <w:lang w:val="sq-AL"/>
        </w:rPr>
        <w:t>Ky vendim botohet në Fletoren Zyrtare.</w:t>
      </w:r>
    </w:p>
    <w:p w:rsidR="007D56FC" w:rsidRPr="00B87A67" w:rsidRDefault="007D56FC" w:rsidP="007D56FC">
      <w:pPr>
        <w:spacing w:after="0" w:line="240" w:lineRule="auto"/>
        <w:ind w:firstLine="284"/>
        <w:jc w:val="both"/>
        <w:rPr>
          <w:rFonts w:ascii="CG Times" w:hAnsi="CG Times"/>
          <w:sz w:val="10"/>
          <w:szCs w:val="10"/>
          <w:lang w:val="sq-AL"/>
        </w:rPr>
      </w:pPr>
    </w:p>
    <w:p w:rsidR="007D56FC" w:rsidRPr="00B87A67" w:rsidRDefault="007D56FC" w:rsidP="007D56FC">
      <w:pPr>
        <w:pStyle w:val="Autoriteti"/>
        <w:keepNext w:val="0"/>
        <w:rPr>
          <w:sz w:val="21"/>
          <w:szCs w:val="21"/>
          <w:lang w:val="sq-AL"/>
        </w:rPr>
      </w:pPr>
      <w:r w:rsidRPr="00B87A67">
        <w:rPr>
          <w:sz w:val="21"/>
          <w:szCs w:val="21"/>
          <w:lang w:val="sq-AL"/>
        </w:rPr>
        <w:t>Kryetari</w:t>
      </w:r>
    </w:p>
    <w:p w:rsidR="007D56FC" w:rsidRPr="00B87A67" w:rsidRDefault="007D56FC" w:rsidP="007D56FC">
      <w:pPr>
        <w:pStyle w:val="AutoritetiEmer"/>
        <w:rPr>
          <w:sz w:val="21"/>
          <w:szCs w:val="21"/>
          <w:lang w:val="sq-AL"/>
        </w:rPr>
      </w:pPr>
      <w:r w:rsidRPr="00B87A67">
        <w:rPr>
          <w:sz w:val="21"/>
          <w:szCs w:val="21"/>
          <w:lang w:val="sq-AL"/>
        </w:rPr>
        <w:t>Petrit Ahmeti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7D56FC"/>
    <w:rsid w:val="002145EB"/>
    <w:rsid w:val="007D5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6F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D56F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7D56F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7D56F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7D56F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D56FC"/>
    <w:rPr>
      <w:rFonts w:ascii="CG Times" w:eastAsia="MS Mincho" w:hAnsi="CG Times" w:cs="CG Times"/>
      <w:b/>
      <w:bCs/>
      <w:lang w:val="en-GB"/>
    </w:rPr>
  </w:style>
  <w:style w:type="paragraph" w:customStyle="1" w:styleId="Titulli">
    <w:name w:val="Titulli"/>
    <w:next w:val="Normal"/>
    <w:link w:val="TitulliChar"/>
    <w:rsid w:val="007D56F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7D56F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D56FC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7D56FC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D56FC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7D56FC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7D56FC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3191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2014-07-08T12:47:00Z</dcterms:created>
  <dcterms:modified xsi:type="dcterms:W3CDTF">2014-07-08T12:47:00Z</dcterms:modified>
</cp:coreProperties>
</file>