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10" w:rsidRPr="008D192B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D72E10" w:rsidRPr="008D192B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35, datë 4.3.2015</w:t>
      </w:r>
    </w:p>
    <w:p w:rsidR="00D72E10" w:rsidRPr="008D192B" w:rsidRDefault="00D72E10" w:rsidP="00D72E10">
      <w:pPr>
        <w:pStyle w:val="Hapesira7"/>
        <w:rPr>
          <w:lang w:val="sq-AL"/>
        </w:rPr>
      </w:pPr>
    </w:p>
    <w:p w:rsidR="00D72E10" w:rsidRPr="008D192B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LICENCIMIN E SHOQËRISË “DEVOLL HIDROPOWER” SHA NË AKTIVITETIN E TREGTIMIT TË ENERGJISË ELEKTRIKE</w:t>
      </w:r>
    </w:p>
    <w:p w:rsidR="00D72E10" w:rsidRPr="008D192B" w:rsidRDefault="00D72E10" w:rsidP="00D72E10">
      <w:pPr>
        <w:pStyle w:val="Hapesira7"/>
        <w:rPr>
          <w:lang w:val="sq-AL"/>
        </w:rPr>
      </w:pPr>
    </w:p>
    <w:p w:rsidR="00D72E10" w:rsidRPr="00802FDD" w:rsidRDefault="00D72E10" w:rsidP="00D72E10">
      <w:pPr>
        <w:pStyle w:val="Paragrafi"/>
        <w:rPr>
          <w:lang w:val="sq-AL"/>
        </w:rPr>
      </w:pPr>
      <w:r w:rsidRPr="008D192B">
        <w:rPr>
          <w:spacing w:val="-4"/>
          <w:lang w:val="sq-AL"/>
        </w:rPr>
        <w:t xml:space="preserve"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 paraqitur nga shoqëria “Devoll Hidropower” </w:t>
      </w:r>
      <w:r w:rsidRPr="00802FDD">
        <w:rPr>
          <w:lang w:val="sq-AL"/>
        </w:rPr>
        <w:t>sh.a.,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D72E10" w:rsidRPr="00802FDD" w:rsidRDefault="00D72E10" w:rsidP="00D72E10">
      <w:pPr>
        <w:pStyle w:val="Paragrafi"/>
        <w:rPr>
          <w:lang w:val="sq-AL"/>
        </w:rPr>
      </w:pPr>
      <w:r w:rsidRPr="00802FDD">
        <w:rPr>
          <w:lang w:val="sq-AL"/>
        </w:rPr>
        <w:t xml:space="preserve">konstatoi se: 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“Devoll Hidropower” sh.a., plotëson tërësisht kërkesat e parashikuara nga ERE në rregulloren “Për procedurat e licencimit, modifikimit, transferimit të plotë/të pjesshëm dhe rinovimit të licencave”, si më poshtë: 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financiar dhe fiskal (neni 9, pika 3) është paraqitur dhe plotësuar në mënyrë korrekte.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Dokumentacioni teknik për aktivitetin e tregtimit të energjisë elektrike (neni 9, pika 4/10, germat “a”, “b” dhe “c”) është paraqitur dhe plotësuar në mënyrë korrekte. 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sipër, Bordi i Komisionerëve të ERE-s </w:t>
      </w:r>
    </w:p>
    <w:p w:rsidR="00D72E10" w:rsidRPr="008D192B" w:rsidRDefault="00D72E10" w:rsidP="00D72E10">
      <w:pPr>
        <w:pStyle w:val="Hapesira7"/>
        <w:rPr>
          <w:spacing w:val="-4"/>
          <w:lang w:val="sq-AL"/>
        </w:rPr>
      </w:pPr>
    </w:p>
    <w:p w:rsidR="00D72E10" w:rsidRPr="008D192B" w:rsidRDefault="00D72E10" w:rsidP="00D72E10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D72E10" w:rsidRPr="008D192B" w:rsidRDefault="00D72E10" w:rsidP="00D72E10">
      <w:pPr>
        <w:pStyle w:val="Hapesira7"/>
        <w:rPr>
          <w:spacing w:val="-4"/>
          <w:lang w:val="sq-AL"/>
        </w:rPr>
      </w:pP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Të licencojë shoqërinë “Devoll Hidropower” sh.a., në aktivitetin e tregtimit të energjisë elektrike për një afat 5-vjeçar.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hyn në fuqi menjëherë.</w:t>
      </w:r>
    </w:p>
    <w:p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botohet në Fletoren Zyrtare.</w:t>
      </w:r>
    </w:p>
    <w:p w:rsidR="00D72E10" w:rsidRPr="008D192B" w:rsidRDefault="00D72E10" w:rsidP="00D72E10">
      <w:pPr>
        <w:pStyle w:val="Hapesira7"/>
        <w:rPr>
          <w:spacing w:val="-4"/>
          <w:lang w:val="sq-AL"/>
        </w:rPr>
      </w:pPr>
    </w:p>
    <w:p w:rsidR="00D72E10" w:rsidRPr="008D192B" w:rsidRDefault="00D72E10" w:rsidP="00D72E10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KRYETARI </w:t>
      </w:r>
    </w:p>
    <w:p w:rsidR="00D72E10" w:rsidRPr="008D192B" w:rsidRDefault="00D72E10" w:rsidP="00D72E10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Petrit Ahmeti</w:t>
      </w:r>
    </w:p>
    <w:p w:rsidR="00FD57DC" w:rsidRDefault="00D72E1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D72E1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72E10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2E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2E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72E1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>Grizli777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2015-04-10T11:34:00Z</dcterms:created>
  <dcterms:modified xsi:type="dcterms:W3CDTF">2015-04-10T11:34:00Z</dcterms:modified>
</cp:coreProperties>
</file>