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9B3" w:rsidRPr="00E8113C" w:rsidRDefault="00CE39B3" w:rsidP="00CE39B3">
      <w:pPr>
        <w:pStyle w:val="Akti"/>
        <w:rPr>
          <w:lang w:val="sq-AL"/>
        </w:rPr>
      </w:pPr>
      <w:r w:rsidRPr="00E8113C">
        <w:rPr>
          <w:lang w:val="sq-AL"/>
        </w:rPr>
        <w:t>VENDIM</w:t>
      </w:r>
    </w:p>
    <w:p w:rsidR="00CE39B3" w:rsidRPr="00E8113C" w:rsidRDefault="00CE39B3" w:rsidP="00CE39B3">
      <w:pPr>
        <w:pStyle w:val="NumriData"/>
        <w:rPr>
          <w:lang w:val="sq-AL"/>
        </w:rPr>
      </w:pPr>
      <w:r w:rsidRPr="00E8113C">
        <w:rPr>
          <w:lang w:val="sq-AL"/>
        </w:rPr>
        <w:t>Nr. 37, datë</w:t>
      </w:r>
      <w:r>
        <w:rPr>
          <w:lang w:val="sq-AL"/>
        </w:rPr>
        <w:t xml:space="preserve"> 18.</w:t>
      </w:r>
      <w:r w:rsidRPr="00E8113C">
        <w:rPr>
          <w:lang w:val="sq-AL"/>
        </w:rPr>
        <w:t>3.2015</w:t>
      </w:r>
    </w:p>
    <w:p w:rsidR="00CE39B3" w:rsidRPr="00E8113C" w:rsidRDefault="00CE39B3" w:rsidP="00CE39B3">
      <w:pPr>
        <w:pStyle w:val="Hapesira7"/>
        <w:rPr>
          <w:lang w:val="sq-AL"/>
        </w:rPr>
      </w:pPr>
    </w:p>
    <w:p w:rsidR="00CE39B3" w:rsidRPr="00E8113C" w:rsidRDefault="00CE39B3" w:rsidP="00CE39B3">
      <w:pPr>
        <w:pStyle w:val="Titulli"/>
        <w:rPr>
          <w:lang w:val="sq-AL"/>
        </w:rPr>
      </w:pPr>
      <w:r w:rsidRPr="00E8113C">
        <w:rPr>
          <w:lang w:val="sq-AL"/>
        </w:rPr>
        <w:t>PËR LI</w:t>
      </w:r>
      <w:r>
        <w:rPr>
          <w:lang w:val="sq-AL"/>
        </w:rPr>
        <w:t>C</w:t>
      </w:r>
      <w:r w:rsidRPr="00E8113C">
        <w:rPr>
          <w:lang w:val="sq-AL"/>
        </w:rPr>
        <w:t>EN</w:t>
      </w:r>
      <w:r>
        <w:rPr>
          <w:lang w:val="sq-AL"/>
        </w:rPr>
        <w:t>C</w:t>
      </w:r>
      <w:r w:rsidRPr="00E8113C">
        <w:rPr>
          <w:lang w:val="sq-AL"/>
        </w:rPr>
        <w:t>IMIN E SHOQËRISË “ALBANIAN ENERGY SUPPLIER” SHPK NË AKTIVITETIN E TREGTIMIT TË ENERGJISË ELEKTRIKE</w:t>
      </w:r>
    </w:p>
    <w:p w:rsidR="00CE39B3" w:rsidRPr="00E8113C" w:rsidRDefault="00CE39B3" w:rsidP="00CE39B3">
      <w:pPr>
        <w:pStyle w:val="Hapesira7"/>
        <w:rPr>
          <w:lang w:val="sq-AL"/>
        </w:rPr>
      </w:pPr>
    </w:p>
    <w:p w:rsidR="00CE39B3" w:rsidRPr="006C4695" w:rsidRDefault="00CE39B3" w:rsidP="00CE39B3">
      <w:pPr>
        <w:pStyle w:val="Paragrafi"/>
        <w:rPr>
          <w:spacing w:val="-4"/>
          <w:lang w:val="sq-AL"/>
        </w:rPr>
      </w:pPr>
      <w:r w:rsidRPr="006C4695">
        <w:rPr>
          <w:spacing w:val="-4"/>
          <w:lang w:val="sq-AL"/>
        </w:rPr>
        <w:t>Në mbështetje të neneve 8, pika 2, germa “a”; 9 dhe 13, pika 1, germa “d”, të ligjit nr. 9072, datë 22.5.2003, “Për sektorin e energjisë elektrike”, të ndryshuar, neneve 4, pika 1, germa “g”; 5, pika 2; 8 dhe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18.3.2015, pasi shqyrtoi aplikimin e paraqitur nga shoqëria “Albanian Energy Supplier” sh.p.k., si dhe relacionin e Drejtorisë së Licencimit dhe të Monitorimit të Tregut dhe Drejtorisë Juridike dhe të Mbrojtjes së Konsumatorit, për licencimin në aktivitetin e tregtimit të energjisë elektrike të kësaj shoqërie,</w:t>
      </w:r>
    </w:p>
    <w:p w:rsidR="00CE39B3" w:rsidRPr="006C4695" w:rsidRDefault="00CE39B3" w:rsidP="00CE39B3">
      <w:pPr>
        <w:pStyle w:val="Paragrafi"/>
        <w:rPr>
          <w:spacing w:val="-4"/>
          <w:lang w:val="sq-AL"/>
        </w:rPr>
      </w:pPr>
      <w:r w:rsidRPr="006C4695">
        <w:rPr>
          <w:spacing w:val="-4"/>
          <w:lang w:val="sq-AL"/>
        </w:rPr>
        <w:t xml:space="preserve">konstatoi se: </w:t>
      </w:r>
    </w:p>
    <w:p w:rsidR="00CE39B3" w:rsidRPr="006C4695" w:rsidRDefault="00CE39B3" w:rsidP="00CE39B3">
      <w:pPr>
        <w:pStyle w:val="Paragrafi"/>
        <w:rPr>
          <w:spacing w:val="-4"/>
          <w:lang w:val="sq-AL"/>
        </w:rPr>
      </w:pPr>
      <w:r w:rsidRPr="006C4695">
        <w:rPr>
          <w:spacing w:val="-4"/>
          <w:lang w:val="sq-AL"/>
        </w:rPr>
        <w:t xml:space="preserve">Aplikimi i shoqërisë “Albanian Energy Supplier” sh.p.k., plotëson tërësisht kërkesat e parashikuara nga ERE në rregulloren “Për procedurat e licencimit, modifikimit, transferimit të plotë/të pjesshëm dhe rinovimit të licencave”, si më poshtë: </w:t>
      </w:r>
    </w:p>
    <w:p w:rsidR="00CE39B3" w:rsidRPr="006C4695" w:rsidRDefault="00CE39B3" w:rsidP="00CE39B3">
      <w:pPr>
        <w:pStyle w:val="Paragrafi"/>
        <w:rPr>
          <w:spacing w:val="-4"/>
          <w:lang w:val="sq-AL"/>
        </w:rPr>
      </w:pPr>
      <w:r w:rsidRPr="006C4695">
        <w:rPr>
          <w:spacing w:val="-4"/>
          <w:lang w:val="sq-AL"/>
        </w:rPr>
        <w:t xml:space="preserve">- formati i aplikimit (neni 9, pika 1) është paraqitur dhe plotësuar në mënyrë korrekte; </w:t>
      </w:r>
    </w:p>
    <w:p w:rsidR="00CE39B3" w:rsidRPr="00E8113C" w:rsidRDefault="00CE39B3" w:rsidP="00CE39B3">
      <w:pPr>
        <w:pStyle w:val="Paragrafi"/>
        <w:rPr>
          <w:lang w:val="sq-AL"/>
        </w:rPr>
      </w:pPr>
      <w:r w:rsidRPr="006C4695">
        <w:rPr>
          <w:spacing w:val="-4"/>
          <w:lang w:val="sq-AL"/>
        </w:rPr>
        <w:t>- dokumentacioni juridik, administrativ dhe pronësor (neni 9, pika 2) është paraqitur dhe</w:t>
      </w:r>
      <w:r w:rsidRPr="00E8113C">
        <w:rPr>
          <w:lang w:val="sq-AL"/>
        </w:rPr>
        <w:t xml:space="preserve"> plotësuar në mënyrë korrekte</w:t>
      </w:r>
      <w:r>
        <w:rPr>
          <w:lang w:val="sq-AL"/>
        </w:rPr>
        <w:t xml:space="preserve">; </w:t>
      </w:r>
    </w:p>
    <w:p w:rsidR="00CE39B3" w:rsidRPr="00E8113C" w:rsidRDefault="00CE39B3" w:rsidP="00CE39B3">
      <w:pPr>
        <w:pStyle w:val="Paragrafi"/>
        <w:rPr>
          <w:lang w:val="sq-AL"/>
        </w:rPr>
      </w:pPr>
      <w:r w:rsidRPr="00E8113C">
        <w:rPr>
          <w:lang w:val="sq-AL"/>
        </w:rPr>
        <w:t xml:space="preserve">- </w:t>
      </w:r>
      <w:r>
        <w:rPr>
          <w:lang w:val="sq-AL"/>
        </w:rPr>
        <w:t>d</w:t>
      </w:r>
      <w:r w:rsidRPr="00E8113C">
        <w:rPr>
          <w:lang w:val="sq-AL"/>
        </w:rPr>
        <w:t>okumentacioni financiar dhe fiskal (neni 9</w:t>
      </w:r>
      <w:r>
        <w:rPr>
          <w:lang w:val="sq-AL"/>
        </w:rPr>
        <w:t>,</w:t>
      </w:r>
      <w:r w:rsidRPr="00E8113C">
        <w:rPr>
          <w:lang w:val="sq-AL"/>
        </w:rPr>
        <w:t xml:space="preserve"> pika 3) është paraqitur dhe plotësuar në mënyrë korrekte</w:t>
      </w:r>
      <w:r>
        <w:rPr>
          <w:lang w:val="sq-AL"/>
        </w:rPr>
        <w:t>;</w:t>
      </w:r>
    </w:p>
    <w:p w:rsidR="00CE39B3" w:rsidRPr="00E8113C" w:rsidRDefault="00CE39B3" w:rsidP="00CE39B3">
      <w:pPr>
        <w:pStyle w:val="Paragrafi"/>
        <w:rPr>
          <w:lang w:val="sq-AL"/>
        </w:rPr>
      </w:pPr>
      <w:r w:rsidRPr="00E8113C">
        <w:rPr>
          <w:lang w:val="sq-AL"/>
        </w:rPr>
        <w:t xml:space="preserve">- </w:t>
      </w:r>
      <w:r>
        <w:rPr>
          <w:lang w:val="sq-AL"/>
        </w:rPr>
        <w:t>d</w:t>
      </w:r>
      <w:r w:rsidRPr="00E8113C">
        <w:rPr>
          <w:lang w:val="sq-AL"/>
        </w:rPr>
        <w:t>okumentacioni teknik për aktivitetin e tregtimit t</w:t>
      </w:r>
      <w:r>
        <w:rPr>
          <w:lang w:val="sq-AL"/>
        </w:rPr>
        <w:t>ë</w:t>
      </w:r>
      <w:r w:rsidRPr="00E8113C">
        <w:rPr>
          <w:lang w:val="sq-AL"/>
        </w:rPr>
        <w:t xml:space="preserve"> energjisë elektrike (neni 9, pika 4/10</w:t>
      </w:r>
      <w:r>
        <w:rPr>
          <w:lang w:val="sq-AL"/>
        </w:rPr>
        <w:t>,</w:t>
      </w:r>
      <w:r w:rsidRPr="00E8113C">
        <w:rPr>
          <w:lang w:val="sq-AL"/>
        </w:rPr>
        <w:t xml:space="preserve"> </w:t>
      </w:r>
      <w:r>
        <w:rPr>
          <w:lang w:val="sq-AL"/>
        </w:rPr>
        <w:t>germ</w:t>
      </w:r>
      <w:r w:rsidRPr="00E8113C">
        <w:rPr>
          <w:lang w:val="sq-AL"/>
        </w:rPr>
        <w:t>at “a”, “b” dhe “c”) është paraqitur dhe plotësuar në mënyrë korrekte.</w:t>
      </w:r>
      <w:r>
        <w:rPr>
          <w:lang w:val="sq-AL"/>
        </w:rPr>
        <w:t xml:space="preserve"> </w:t>
      </w:r>
    </w:p>
    <w:p w:rsidR="00CE39B3" w:rsidRPr="00E8113C" w:rsidRDefault="00CE39B3" w:rsidP="00CE39B3">
      <w:pPr>
        <w:pStyle w:val="Paragrafi"/>
        <w:rPr>
          <w:lang w:val="sq-AL"/>
        </w:rPr>
      </w:pPr>
      <w:r w:rsidRPr="00E8113C">
        <w:rPr>
          <w:lang w:val="sq-AL"/>
        </w:rPr>
        <w:t xml:space="preserve">Për gjithë sa më sipër, Bordi i Komisionerëve të ERE-s </w:t>
      </w:r>
    </w:p>
    <w:p w:rsidR="00CE39B3" w:rsidRPr="00E8113C" w:rsidRDefault="00CE39B3" w:rsidP="00CE39B3">
      <w:pPr>
        <w:pStyle w:val="Vendosi"/>
        <w:rPr>
          <w:lang w:val="sq-AL"/>
        </w:rPr>
      </w:pPr>
      <w:r w:rsidRPr="00E8113C">
        <w:rPr>
          <w:lang w:val="sq-AL"/>
        </w:rPr>
        <w:t>Vendosi:</w:t>
      </w:r>
    </w:p>
    <w:p w:rsidR="00CE39B3" w:rsidRPr="00E8113C" w:rsidRDefault="00CE39B3" w:rsidP="00CE39B3">
      <w:pPr>
        <w:pStyle w:val="Hapesira7"/>
        <w:rPr>
          <w:lang w:val="sq-AL"/>
        </w:rPr>
      </w:pPr>
    </w:p>
    <w:p w:rsidR="00CE39B3" w:rsidRPr="00E8113C" w:rsidRDefault="00CE39B3" w:rsidP="00CE39B3">
      <w:pPr>
        <w:pStyle w:val="Paragrafi"/>
        <w:rPr>
          <w:lang w:val="sq-AL"/>
        </w:rPr>
      </w:pPr>
      <w:r w:rsidRPr="00E8113C">
        <w:rPr>
          <w:lang w:val="sq-AL"/>
        </w:rPr>
        <w:t>1. Të licencojë shoqërinë “</w:t>
      </w:r>
      <w:r>
        <w:rPr>
          <w:lang w:val="sq-AL"/>
        </w:rPr>
        <w:t>A</w:t>
      </w:r>
      <w:r w:rsidRPr="00E8113C">
        <w:rPr>
          <w:lang w:val="sq-AL"/>
        </w:rPr>
        <w:t xml:space="preserve">lbanian Energy Supplier” sh.p.k., në aktivitetin e tregtimit të energjisë </w:t>
      </w:r>
      <w:r>
        <w:rPr>
          <w:lang w:val="sq-AL"/>
        </w:rPr>
        <w:t>Elektrike për një afat 5-</w:t>
      </w:r>
      <w:r w:rsidRPr="00E8113C">
        <w:rPr>
          <w:lang w:val="sq-AL"/>
        </w:rPr>
        <w:t>vjeçar.</w:t>
      </w:r>
    </w:p>
    <w:p w:rsidR="00CE39B3" w:rsidRPr="00E8113C" w:rsidRDefault="00CE39B3" w:rsidP="00CE39B3">
      <w:pPr>
        <w:pStyle w:val="Paragrafi"/>
        <w:rPr>
          <w:lang w:val="sq-AL"/>
        </w:rPr>
      </w:pPr>
      <w:r w:rsidRPr="00E8113C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E8113C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E8113C">
        <w:rPr>
          <w:lang w:val="sq-AL"/>
        </w:rPr>
        <w:t>Monitorimit të Tregut të njoftojë aplikuesin për vendimin e Bordit të Komisionerëve të ERE-s.</w:t>
      </w:r>
    </w:p>
    <w:p w:rsidR="00CE39B3" w:rsidRPr="00E8113C" w:rsidRDefault="00CE39B3" w:rsidP="00CE39B3">
      <w:pPr>
        <w:pStyle w:val="Paragrafi"/>
        <w:rPr>
          <w:lang w:val="sq-AL"/>
        </w:rPr>
      </w:pPr>
      <w:r w:rsidRPr="00E8113C">
        <w:rPr>
          <w:lang w:val="sq-AL"/>
        </w:rPr>
        <w:t>Ky vendim hyn në fuqi menjëherë.</w:t>
      </w:r>
    </w:p>
    <w:p w:rsidR="00CE39B3" w:rsidRPr="00E8113C" w:rsidRDefault="00CE39B3" w:rsidP="00CE39B3">
      <w:pPr>
        <w:pStyle w:val="Paragrafi"/>
        <w:rPr>
          <w:lang w:val="sq-AL"/>
        </w:rPr>
      </w:pPr>
      <w:r w:rsidRPr="00E8113C">
        <w:rPr>
          <w:lang w:val="sq-AL"/>
        </w:rPr>
        <w:t>Ky vendim botohet në Fletoren Zyrtare.</w:t>
      </w:r>
    </w:p>
    <w:p w:rsidR="00CE39B3" w:rsidRPr="00E8113C" w:rsidRDefault="00CE39B3" w:rsidP="00CE39B3">
      <w:pPr>
        <w:pStyle w:val="Hapesira7"/>
        <w:rPr>
          <w:lang w:val="sq-AL"/>
        </w:rPr>
      </w:pPr>
    </w:p>
    <w:p w:rsidR="00CE39B3" w:rsidRPr="00E8113C" w:rsidRDefault="00CE39B3" w:rsidP="00CE39B3">
      <w:pPr>
        <w:pStyle w:val="Autoriteti"/>
        <w:rPr>
          <w:lang w:val="sq-AL"/>
        </w:rPr>
      </w:pPr>
      <w:r w:rsidRPr="00E8113C">
        <w:rPr>
          <w:lang w:val="sq-AL"/>
        </w:rPr>
        <w:t>KRYETAR</w:t>
      </w:r>
    </w:p>
    <w:p w:rsidR="00CE39B3" w:rsidRPr="00E8113C" w:rsidRDefault="00CE39B3" w:rsidP="00CE39B3">
      <w:pPr>
        <w:pStyle w:val="AutoritetiEmer"/>
        <w:rPr>
          <w:lang w:val="sq-AL"/>
        </w:rPr>
      </w:pPr>
      <w:r w:rsidRPr="00E8113C">
        <w:rPr>
          <w:lang w:val="sq-AL"/>
        </w:rPr>
        <w:t>Petrit Ahmeti</w:t>
      </w:r>
    </w:p>
    <w:p w:rsidR="00FD57DC" w:rsidRDefault="00CE39B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CE39B3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D6A42"/>
    <w:rsid w:val="00CE39B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39B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E39B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39B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E39B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E39B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E39B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E39B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E39B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E39B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E39B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E39B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E39B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E39B3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E39B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Company>Grizli777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2015-04-28T08:41:00Z</dcterms:created>
  <dcterms:modified xsi:type="dcterms:W3CDTF">2015-04-28T08:41:00Z</dcterms:modified>
</cp:coreProperties>
</file>