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80D" w:rsidRPr="009028EE" w:rsidRDefault="00B6180D" w:rsidP="00B6180D">
      <w:pPr>
        <w:pStyle w:val="Akti"/>
        <w:rPr>
          <w:lang w:val="sq-AL"/>
        </w:rPr>
      </w:pPr>
      <w:r w:rsidRPr="009028EE">
        <w:rPr>
          <w:lang w:val="sq-AL"/>
        </w:rPr>
        <w:t>VENDIM</w:t>
      </w:r>
    </w:p>
    <w:p w:rsidR="00B6180D" w:rsidRPr="009028EE" w:rsidRDefault="00B6180D" w:rsidP="00B6180D">
      <w:pPr>
        <w:pStyle w:val="NumriData"/>
        <w:rPr>
          <w:lang w:val="sq-AL"/>
        </w:rPr>
      </w:pPr>
      <w:r w:rsidRPr="009028EE">
        <w:rPr>
          <w:lang w:val="sq-AL"/>
        </w:rPr>
        <w:t xml:space="preserve"> Nr. 53, datë 17.4.2015</w:t>
      </w:r>
    </w:p>
    <w:p w:rsidR="00B6180D" w:rsidRPr="009028EE" w:rsidRDefault="00B6180D" w:rsidP="00B6180D">
      <w:pPr>
        <w:pStyle w:val="Hapesira7"/>
        <w:rPr>
          <w:lang w:val="sq-AL"/>
        </w:rPr>
      </w:pPr>
    </w:p>
    <w:p w:rsidR="00B6180D" w:rsidRPr="009028EE" w:rsidRDefault="00B6180D" w:rsidP="00B6180D">
      <w:pPr>
        <w:pStyle w:val="Titulli"/>
        <w:rPr>
          <w:lang w:val="sq-AL"/>
        </w:rPr>
      </w:pPr>
      <w:r w:rsidRPr="009028EE">
        <w:rPr>
          <w:lang w:val="sq-AL"/>
        </w:rPr>
        <w:t>PËR DISA NDRYSHIME NË RREGULLOREN E LIDHJEVE TË REJA NË SISTEMIN E SHPËRNDARJES</w:t>
      </w:r>
    </w:p>
    <w:p w:rsidR="00B6180D" w:rsidRPr="009028EE" w:rsidRDefault="00B6180D" w:rsidP="00B6180D">
      <w:pPr>
        <w:pStyle w:val="Hapesira7"/>
        <w:rPr>
          <w:lang w:val="sq-AL"/>
        </w:rPr>
      </w:pPr>
    </w:p>
    <w:p w:rsidR="00B6180D" w:rsidRPr="004A1B47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Në mbështetje të nenit 9, të ligjit nr. 9072, datë 22.5.2003, “Për sektorin e energjisë elektrike”, të ndryshuar, nenit 26 të “Rregullave të praktikës dhe procedurave të ERE-s”, miratuar me vendimin nr. 21, datë 18.3.2009, të Bordit të Komisionerëve të ERE-s, Bordi i Komisionerëve i ERE-s, në mbledhjen e tij të datës 17.4.2015, pasi shqyrtoi relacionin e paraqitur nga grupi i punës për disa ndryshime në “Rregulloren e lidhjeve të reja në sistemin e shpërndarjes”, miratuar me vendim të Bordit të Komisionerëve të ERE-s nr. 22, datë 25.2.2012,</w:t>
      </w:r>
    </w:p>
    <w:p w:rsidR="00B6180D" w:rsidRPr="004A1B47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duke konsideruar që:</w:t>
      </w:r>
    </w:p>
    <w:p w:rsidR="00B6180D" w:rsidRPr="004A1B47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- aktet nënligjore të miratuara nga ERE nuk mund të prevalojnë mbi ligjin (konkretisht ligji nr. 8734, datë 1.2.2001, “Për garantimin e sigurisë së punës të pajisjeve dhe të instalimeve elektrike”) e nuk duhet të cenojnë hierarkinë e rregullave; </w:t>
      </w:r>
    </w:p>
    <w:p w:rsidR="00B6180D" w:rsidRPr="004A1B47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- duke marrë në konsideratë dhe “Rekomandimet e Komisionerit për të drejtën e informimit dhe mbrojtjen e të dhënave personale”, sipas urdhrit nr. 28, datë 11.4.2014 të Komisionerit, me qëllim që aktet e ERE-s të mos cenojnë rregullimet sipas akteve të tjera ligjore në fuqi; </w:t>
      </w:r>
    </w:p>
    <w:p w:rsidR="00B6180D" w:rsidRPr="009028EE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- duke pasur parasysh që sektori i energjisë së</w:t>
      </w:r>
      <w:r w:rsidRPr="009028EE">
        <w:rPr>
          <w:spacing w:val="-4"/>
          <w:lang w:val="sq-AL"/>
        </w:rPr>
        <w:t xml:space="preserve"> shpejti pritet të rregullohet me një ligj të ri, i cili do të kërkojë hartimin e akteve të reja nënligjore për t’u implementuar. </w:t>
      </w:r>
    </w:p>
    <w:p w:rsidR="00B6180D" w:rsidRDefault="00B6180D" w:rsidP="00B6180D">
      <w:pPr>
        <w:pStyle w:val="Paragrafi"/>
        <w:rPr>
          <w:lang w:val="sq-AL"/>
        </w:rPr>
      </w:pPr>
    </w:p>
    <w:p w:rsidR="00B6180D" w:rsidRPr="009028EE" w:rsidRDefault="00B6180D" w:rsidP="00B6180D">
      <w:pPr>
        <w:pStyle w:val="Paragrafi"/>
        <w:rPr>
          <w:lang w:val="sq-AL"/>
        </w:rPr>
      </w:pPr>
      <w:r w:rsidRPr="009028EE">
        <w:rPr>
          <w:lang w:val="sq-AL"/>
        </w:rPr>
        <w:t xml:space="preserve">Për gjithë sa më sipër cituar, Bordi i Komisionerëve i ERE-s </w:t>
      </w:r>
    </w:p>
    <w:p w:rsidR="00B6180D" w:rsidRPr="004A1B47" w:rsidRDefault="00B6180D" w:rsidP="00B6180D">
      <w:pPr>
        <w:pStyle w:val="Hapesira7"/>
        <w:ind w:firstLine="0"/>
        <w:rPr>
          <w:spacing w:val="-4"/>
          <w:sz w:val="12"/>
          <w:lang w:val="sq-AL"/>
        </w:rPr>
      </w:pPr>
    </w:p>
    <w:p w:rsidR="00B6180D" w:rsidRPr="009028EE" w:rsidRDefault="00B6180D" w:rsidP="00B6180D">
      <w:pPr>
        <w:pStyle w:val="Vendosi"/>
        <w:rPr>
          <w:spacing w:val="-4"/>
          <w:szCs w:val="28"/>
          <w:lang w:val="sq-AL"/>
        </w:rPr>
      </w:pPr>
      <w:r w:rsidRPr="009028EE">
        <w:rPr>
          <w:spacing w:val="-4"/>
          <w:szCs w:val="28"/>
          <w:lang w:val="sq-AL"/>
        </w:rPr>
        <w:t>Vendosi:</w:t>
      </w:r>
    </w:p>
    <w:p w:rsidR="00B6180D" w:rsidRPr="009028EE" w:rsidRDefault="00B6180D" w:rsidP="00B6180D">
      <w:pPr>
        <w:pStyle w:val="Hapesira7"/>
        <w:rPr>
          <w:spacing w:val="-4"/>
          <w:lang w:val="sq-AL"/>
        </w:rPr>
      </w:pPr>
    </w:p>
    <w:p w:rsidR="00B6180D" w:rsidRPr="004A1B47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1. Të mos miratojë ndryshimet e propozuara nga OSHEE sh.a., për sa i përket përjashtimit nga rregullorja të klauzolave që parashikojnë marrjen e miratimit paraprak nga IQT-ja.</w:t>
      </w:r>
    </w:p>
    <w:p w:rsidR="00B6180D" w:rsidRPr="004A1B47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2. Të mos miratojë ndryshimet e propozuara nga OSHEE sh.a., për të reflektuar ndryshime të tjera në “Rregulloren e lidhjeve të reja”.</w:t>
      </w:r>
    </w:p>
    <w:p w:rsidR="00B6180D" w:rsidRPr="004A1B47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3. Të miratojë ndryshimin e propozuar nga Komisioneri për Mbrojtjen e të Dhënave Personale, pika 3.1, klauzola 6, si vijon:</w:t>
      </w:r>
    </w:p>
    <w:p w:rsidR="00B6180D" w:rsidRPr="004A1B47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“Vërtetim i pronësisë së objektit nëpërmjet dokumenteve të regjistrimit të pronës, të tilla si: akt shitjeje, akt qiraje, akt dhurimi ose akt ndarje prone të patundshme. I gjithë informacioni i lidhjes së re, si dhe kontrata e furnizimit të klientit ruhen nga kompania OSHEE, në mënyrë elektronike dhe dokumentare, në përputhje me përcaktimet e ligjit nr. 9887, datë 10.3.2008, i ndryshuar, “Për mbrojtjen e të dhënave personale” dhe akteve të tjera ligjore në fuqi për mbrojtjen, përpunimin e ligjshëm të të dhënave personale dhe të drejtës së informimit mbi to”. </w:t>
      </w:r>
    </w:p>
    <w:p w:rsidR="00B6180D" w:rsidRPr="004A1B47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4. Ngarkohet Drejtoria Juridike dhe e Mbrojtjes së Konsumatorit për njoftimin e palëve.</w:t>
      </w:r>
    </w:p>
    <w:p w:rsidR="00B6180D" w:rsidRPr="004A1B47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Ky vendim hyn në fuqi menjëherë.</w:t>
      </w:r>
    </w:p>
    <w:p w:rsidR="00B6180D" w:rsidRPr="004A1B47" w:rsidRDefault="00B6180D" w:rsidP="00B6180D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Ky vendim botohet në Fletoren Zyrtare</w:t>
      </w:r>
    </w:p>
    <w:p w:rsidR="00B6180D" w:rsidRPr="009028EE" w:rsidRDefault="00B6180D" w:rsidP="00B6180D">
      <w:pPr>
        <w:pStyle w:val="Hapesira7"/>
        <w:rPr>
          <w:lang w:val="sq-AL"/>
        </w:rPr>
      </w:pPr>
    </w:p>
    <w:p w:rsidR="00B6180D" w:rsidRPr="009028EE" w:rsidRDefault="00B6180D" w:rsidP="00B6180D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B6180D" w:rsidRPr="009028EE" w:rsidRDefault="00B6180D" w:rsidP="00B6180D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B6180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B6180D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6180D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180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6180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6180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6180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180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6180D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6180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6180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6180D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6180D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6180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6180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6180D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6180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2246</Characters>
  <Application>Microsoft Office Word</Application>
  <DocSecurity>0</DocSecurity>
  <Lines>18</Lines>
  <Paragraphs>5</Paragraphs>
  <ScaleCrop>false</ScaleCrop>
  <Company>Grizli777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2015-06-01T11:58:00Z</dcterms:created>
  <dcterms:modified xsi:type="dcterms:W3CDTF">2015-06-01T11:58:00Z</dcterms:modified>
</cp:coreProperties>
</file>