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C59" w:rsidRPr="00B30EBE" w:rsidRDefault="00E74C59" w:rsidP="00E74C59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VENDIM</w:t>
      </w:r>
    </w:p>
    <w:p w:rsidR="00E74C59" w:rsidRPr="00B30EBE" w:rsidRDefault="00E74C59" w:rsidP="00E74C59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Nr. 75, datë 8.6.2015</w:t>
      </w:r>
    </w:p>
    <w:p w:rsidR="00E74C59" w:rsidRPr="00B30EBE" w:rsidRDefault="00E74C59" w:rsidP="00E74C59">
      <w:pPr>
        <w:pStyle w:val="Hapesira7"/>
        <w:rPr>
          <w:spacing w:val="-4"/>
          <w:lang w:val="sq-AL"/>
        </w:rPr>
      </w:pPr>
    </w:p>
    <w:p w:rsidR="00E74C59" w:rsidRPr="00B30EBE" w:rsidRDefault="00E74C59" w:rsidP="00E74C59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PËR MIRATIMIN E MODIFIKIMIT TË LICENCËS ME NR. 138, SERIA PV11K PËR PRODHIMIN E ENERGJISË ELEKTRIKE NGA HEC-et E “PELLGUT TË OKSHTUNIT”, ME FUQI TOTALE TË INSTALUAR 31.489 MW, TË SHOQËRISË “DITEKO” SHPK, TË MIRATUAR ME VENDIMIN E BORDIT TË KOMISIONERËVE TË ERE-s NR. 114, DATË 16.11.2011</w:t>
      </w:r>
    </w:p>
    <w:p w:rsidR="00E74C59" w:rsidRPr="00B30EBE" w:rsidRDefault="00E74C59" w:rsidP="00E74C59">
      <w:pPr>
        <w:pStyle w:val="Hapesira7"/>
        <w:rPr>
          <w:spacing w:val="-4"/>
          <w:lang w:val="sq-AL"/>
        </w:rPr>
      </w:pPr>
    </w:p>
    <w:p w:rsidR="00E74C59" w:rsidRPr="00B30EBE" w:rsidRDefault="00E74C59" w:rsidP="00E74C59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Në mbështetje të neneve 9 dhe 19, të ligjit nr. 9072, datë 22.5.2003, “Për sektorin e energjisë elektrike”, të ndryshuar; pikave 2.3 dhe 2.4, të licencës së prodhimit të energjisë elektrike nr. 138, seria PV11K; të neneve 13; 14, pika 2; 15, pikat 1, 2/b, 3 dhe 4; 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8.6.2015, pasi lexoi relacionin e Drejtorisë së Licencimit dhe të Monitorimit të Tregut dhe Drejtorisë Juridike dhe të Mbrojtjes së Konsumatorit, </w:t>
      </w:r>
    </w:p>
    <w:p w:rsidR="00E74C59" w:rsidRPr="00B30EBE" w:rsidRDefault="00E74C59" w:rsidP="00E74C59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konstatoi se: </w:t>
      </w:r>
    </w:p>
    <w:p w:rsidR="00E74C59" w:rsidRPr="00B30EBE" w:rsidRDefault="00E74C59" w:rsidP="00E74C59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Aplikimi i shoqërisë “Diteko” sh.p.k., plotëson tërësisht kërkesat ligjore të parashikuara nga rregullorja “Për procedurat e licencimit, modifikimit, transferimit të plotë/të pjesshëm dhe rinovimit të licencave”, si më poshtë: </w:t>
      </w:r>
    </w:p>
    <w:p w:rsidR="00E74C59" w:rsidRPr="00B30EBE" w:rsidRDefault="00E74C59" w:rsidP="00E74C59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- Neni 15, pika 4, germa “a”: Informacioni me shkrim ku janë shpjeguar arsyet e kërkesës për modifikimin e licencës, i plotësuar në mënyrë korrekte.</w:t>
      </w:r>
    </w:p>
    <w:p w:rsidR="00E74C59" w:rsidRPr="00B30EBE" w:rsidRDefault="00E74C59" w:rsidP="00E74C59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Neni 15, pika 4, germa “b”: Është paraqitur vendimi me shkrim i organeve drejtuese të të licencuarit, të cilat shprehin vullnetin për të kërkuar modifikimin e licencës.</w:t>
      </w:r>
    </w:p>
    <w:p w:rsidR="00E74C59" w:rsidRPr="00B30EBE" w:rsidRDefault="00E74C59" w:rsidP="00E74C59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- Është paraqitur projekti i ri, i miratuar nga MEI, me shkresën nr. 131/8 prot., datë 8.7.2014, për një shfrytëzim optimal të prurjeve të lumit Zalli i Okshtunit, ku janë bërë disa ndryshime në skemën e shfrytëzimit të kaskadës, e cila tashmë përbëhet nga 7 HEC-e dhe jo nga 11 HEC-e. </w:t>
      </w:r>
    </w:p>
    <w:p w:rsidR="00E74C59" w:rsidRPr="00B30EBE" w:rsidRDefault="00E74C59" w:rsidP="00E74C59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Për gjithë sa më sipër cituar, Bordi i Komisionerëve i ERE-s</w:t>
      </w:r>
    </w:p>
    <w:p w:rsidR="00E74C59" w:rsidRPr="00B30EBE" w:rsidRDefault="00E74C59" w:rsidP="00E74C59">
      <w:pPr>
        <w:pStyle w:val="Hapesira7"/>
        <w:rPr>
          <w:lang w:val="sq-AL"/>
        </w:rPr>
      </w:pPr>
    </w:p>
    <w:p w:rsidR="00E74C59" w:rsidRPr="00B30EBE" w:rsidRDefault="00E74C59" w:rsidP="00E74C59">
      <w:pPr>
        <w:pStyle w:val="Paragrafi"/>
        <w:jc w:val="center"/>
        <w:rPr>
          <w:spacing w:val="-4"/>
          <w:lang w:val="sq-AL"/>
        </w:rPr>
      </w:pPr>
      <w:r w:rsidRPr="00B30EBE">
        <w:rPr>
          <w:spacing w:val="-4"/>
          <w:lang w:val="sq-AL"/>
        </w:rPr>
        <w:t>VENDOSI:</w:t>
      </w:r>
    </w:p>
    <w:p w:rsidR="00E74C59" w:rsidRPr="00B30EBE" w:rsidRDefault="00E74C59" w:rsidP="00E74C59">
      <w:pPr>
        <w:pStyle w:val="Hapesira7"/>
        <w:rPr>
          <w:lang w:val="sq-AL"/>
        </w:rPr>
      </w:pPr>
    </w:p>
    <w:p w:rsidR="00E74C59" w:rsidRPr="00B30EBE" w:rsidRDefault="00E74C59" w:rsidP="00E74C59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1. Modifikimin e licencës së shoqërisë “Diteko” sh.p.k., me nr. 138, seria PV11K, për prodhimin e energjisë elektrike nga HEC-et e “Pellgut të Okshtunit”, me fuqi totale të instaluar 31.489 MW, miratuar me vendimin e Bordit të Komisionerëve të ERE-s, nr. 141, datë 16.11.2011.</w:t>
      </w:r>
    </w:p>
    <w:p w:rsidR="00E74C59" w:rsidRPr="00B30EBE" w:rsidRDefault="00E74C59" w:rsidP="00E74C59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2. Fuqia e instaluar e HEC-eve të “Pellgut të Okshtunit”, nga 31.489 MW të bëhet 33.28 MW, sipas emërtimeve dhe fuqive si më poshtë: HEC “Borove”, me fuqi të instaluar 1.92 MW, HEC “Zabzun”, me fuqi të instaluar 0.3 MW, HEC “Sebisht + Prodan 1”, me fuqi të instaluar 3.8 MW, HEC “Prodan 2”, me fuqi të instaluar 1 MW, HEC “Okshtun Ekologjik”, me fuqi të instaluar 0.45 MW, HEC “Okshtun + Ternove + Lubalesh 1”, me fuqi të instaluar 14.95 MW dhe HEC “Lubalesh 2 + Gjorice”, me fuqi të instaluar 10.86 MW.  </w:t>
      </w:r>
    </w:p>
    <w:p w:rsidR="00E74C59" w:rsidRPr="00B30EBE" w:rsidRDefault="00E74C59" w:rsidP="00E74C59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3. Ngarkohet Drejtoria e Licencimit dhe e Monitorimit të Tregut të njoftojë aplikuesin për vendimin e Bordit të Komisionerëve të ERE-s.  </w:t>
      </w:r>
    </w:p>
    <w:p w:rsidR="00E74C59" w:rsidRPr="00B30EBE" w:rsidRDefault="00E74C59" w:rsidP="00E74C59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Ky vendim hyn në fuqi menjëherë.</w:t>
      </w:r>
    </w:p>
    <w:p w:rsidR="00E74C59" w:rsidRPr="00B30EBE" w:rsidRDefault="00E74C59" w:rsidP="00E74C59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Ky vendim botohet në Fletoren Zyrtare.</w:t>
      </w:r>
    </w:p>
    <w:p w:rsidR="00E74C59" w:rsidRPr="00741ADE" w:rsidRDefault="00E74C59" w:rsidP="00E74C59">
      <w:pPr>
        <w:pStyle w:val="Paragrafi"/>
        <w:jc w:val="right"/>
        <w:rPr>
          <w:spacing w:val="-4"/>
          <w:sz w:val="14"/>
          <w:lang w:val="sq-AL"/>
        </w:rPr>
      </w:pPr>
    </w:p>
    <w:p w:rsidR="00E74C59" w:rsidRPr="00B30EBE" w:rsidRDefault="00E74C59" w:rsidP="00E74C59">
      <w:pPr>
        <w:pStyle w:val="Paragrafi"/>
        <w:jc w:val="right"/>
        <w:rPr>
          <w:spacing w:val="-4"/>
          <w:lang w:val="sq-AL"/>
        </w:rPr>
      </w:pPr>
      <w:r w:rsidRPr="00B30EBE">
        <w:rPr>
          <w:spacing w:val="-4"/>
          <w:lang w:val="sq-AL"/>
        </w:rPr>
        <w:t>KRYETARI</w:t>
      </w:r>
    </w:p>
    <w:p w:rsidR="00FD57DC" w:rsidRPr="007E266A" w:rsidRDefault="00E74C59" w:rsidP="007E266A">
      <w:pPr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7E266A">
        <w:rPr>
          <w:rFonts w:ascii="Garamond" w:hAnsi="Garamond"/>
          <w:b/>
          <w:spacing w:val="-4"/>
          <w:sz w:val="24"/>
          <w:szCs w:val="24"/>
          <w:lang w:val="sq-AL"/>
        </w:rPr>
        <w:t>Petrit Ahmeti</w:t>
      </w:r>
    </w:p>
    <w:sectPr w:rsidR="00FD57DC" w:rsidRPr="007E266A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74C59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6575E"/>
    <w:rsid w:val="007A33AA"/>
    <w:rsid w:val="007E266A"/>
    <w:rsid w:val="00912120"/>
    <w:rsid w:val="009D67BE"/>
    <w:rsid w:val="00A3508F"/>
    <w:rsid w:val="00B441A3"/>
    <w:rsid w:val="00D27DAF"/>
    <w:rsid w:val="00E12DC7"/>
    <w:rsid w:val="00E74C59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C59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4C5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74C5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74C5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2019-01-30T11:38:00Z</cp:lastPrinted>
  <dcterms:created xsi:type="dcterms:W3CDTF">2015-07-20T09:31:00Z</dcterms:created>
  <dcterms:modified xsi:type="dcterms:W3CDTF">2019-01-30T11:38:00Z</dcterms:modified>
</cp:coreProperties>
</file>