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1DC" w:rsidRPr="00CF6FDA" w:rsidRDefault="007821DC" w:rsidP="007821DC">
      <w:pPr>
        <w:pStyle w:val="Akti"/>
        <w:rPr>
          <w:lang w:val="sq-AL"/>
        </w:rPr>
      </w:pPr>
      <w:r w:rsidRPr="00CF6FDA">
        <w:rPr>
          <w:lang w:val="sq-AL"/>
        </w:rPr>
        <w:t xml:space="preserve">VENDIM </w:t>
      </w:r>
    </w:p>
    <w:p w:rsidR="007821DC" w:rsidRPr="00CF6FDA" w:rsidRDefault="007821DC" w:rsidP="007821DC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162,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7821DC" w:rsidRPr="00CF6FDA" w:rsidRDefault="007821DC" w:rsidP="007821DC">
      <w:pPr>
        <w:pStyle w:val="Hapesira7"/>
        <w:rPr>
          <w:lang w:val="sq-AL"/>
        </w:rPr>
      </w:pPr>
    </w:p>
    <w:p w:rsidR="007821DC" w:rsidRPr="00CF6FDA" w:rsidRDefault="007821DC" w:rsidP="007821DC">
      <w:pPr>
        <w:pStyle w:val="Titulli"/>
        <w:rPr>
          <w:lang w:val="sq-AL"/>
        </w:rPr>
      </w:pPr>
      <w:r w:rsidRPr="00CF6FDA">
        <w:rPr>
          <w:lang w:val="sq-AL"/>
        </w:rPr>
        <w:t xml:space="preserve">MBI FILLIMIN E PROCEDURAVE PËR SHQYRTIMIN E KËRKESËS SË SHOQËRISË </w:t>
      </w:r>
      <w:r>
        <w:rPr>
          <w:lang w:val="sq-AL"/>
        </w:rPr>
        <w:t>“</w:t>
      </w:r>
      <w:r w:rsidRPr="00CF6FDA">
        <w:rPr>
          <w:lang w:val="sq-AL"/>
        </w:rPr>
        <w:t>KISI – BIO - ENERGJI</w:t>
      </w:r>
      <w:r>
        <w:rPr>
          <w:lang w:val="sq-AL"/>
        </w:rPr>
        <w:t>”</w:t>
      </w:r>
      <w:r w:rsidRPr="00CF6FDA">
        <w:rPr>
          <w:lang w:val="sq-AL"/>
        </w:rPr>
        <w:t xml:space="preserve"> SHPK, PËR LËNIEN PENG TË ASETEVE TË SAJ SI KOLATERAL PRANË </w:t>
      </w:r>
      <w:r>
        <w:rPr>
          <w:lang w:val="sq-AL"/>
        </w:rPr>
        <w:t>“</w:t>
      </w:r>
      <w:r w:rsidRPr="00CF6FDA">
        <w:rPr>
          <w:lang w:val="sq-AL"/>
        </w:rPr>
        <w:t>RAIFFEISEN BANK</w:t>
      </w:r>
      <w:r>
        <w:rPr>
          <w:lang w:val="sq-AL"/>
        </w:rPr>
        <w:t>”</w:t>
      </w:r>
    </w:p>
    <w:p w:rsidR="007821DC" w:rsidRPr="00CF6FDA" w:rsidRDefault="007821DC" w:rsidP="007821DC">
      <w:pPr>
        <w:pStyle w:val="Hapesira7"/>
        <w:rPr>
          <w:lang w:val="sq-AL"/>
        </w:rPr>
      </w:pP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Në mbështetje të neneve 16, 44, të </w:t>
      </w:r>
      <w:r>
        <w:rPr>
          <w:lang w:val="sq-AL"/>
        </w:rPr>
        <w:t>l</w:t>
      </w:r>
      <w:r w:rsidRPr="00CF6FDA">
        <w:rPr>
          <w:lang w:val="sq-AL"/>
        </w:rPr>
        <w:t xml:space="preserve">igjit </w:t>
      </w:r>
      <w:r>
        <w:rPr>
          <w:lang w:val="sq-AL"/>
        </w:rPr>
        <w:t>n</w:t>
      </w:r>
      <w:r w:rsidRPr="00CF6FDA">
        <w:rPr>
          <w:lang w:val="sq-AL"/>
        </w:rPr>
        <w:t xml:space="preserve">r. 43/2015, </w:t>
      </w:r>
      <w:r>
        <w:rPr>
          <w:lang w:val="sq-AL"/>
        </w:rPr>
        <w:t>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neneve 6, 7 dhe 8, të </w:t>
      </w:r>
      <w:r>
        <w:rPr>
          <w:lang w:val="sq-AL"/>
        </w:rPr>
        <w:t>r</w:t>
      </w:r>
      <w:r w:rsidRPr="00CF6FDA">
        <w:rPr>
          <w:lang w:val="sq-AL"/>
        </w:rPr>
        <w:t xml:space="preserve">regullores </w:t>
      </w:r>
      <w:r>
        <w:rPr>
          <w:lang w:val="sq-AL"/>
        </w:rPr>
        <w:t>“P</w:t>
      </w:r>
      <w:r w:rsidRPr="00CF6FDA">
        <w:rPr>
          <w:lang w:val="sq-AL"/>
        </w:rPr>
        <w:t xml:space="preserve">ër procedurat e transferimit të aseteve nga të </w:t>
      </w:r>
      <w:r>
        <w:rPr>
          <w:lang w:val="sq-AL"/>
        </w:rPr>
        <w:t>licencuarit”</w:t>
      </w:r>
      <w:r w:rsidRPr="00CF6FDA">
        <w:rPr>
          <w:lang w:val="sq-AL"/>
        </w:rPr>
        <w:t>, miratuar me vendimin nr. 89, datë 13.12.2006, të Bordit të Komisionerëve të ERE-s, pikave 1.3 dhe 1.6</w:t>
      </w:r>
      <w:r>
        <w:rPr>
          <w:lang w:val="sq-AL"/>
        </w:rPr>
        <w:t>,</w:t>
      </w:r>
      <w:r w:rsidRPr="00CF6FDA">
        <w:rPr>
          <w:lang w:val="sq-AL"/>
        </w:rPr>
        <w:t xml:space="preserve"> të licencës</w:t>
      </w:r>
      <w:r>
        <w:rPr>
          <w:lang w:val="sq-AL"/>
        </w:rPr>
        <w:t>“</w:t>
      </w:r>
      <w:r w:rsidRPr="00CF6FDA">
        <w:rPr>
          <w:lang w:val="sq-AL"/>
        </w:rPr>
        <w:t>Për prodhimin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Bordi i Entit Rregullator </w:t>
      </w:r>
      <w:r>
        <w:rPr>
          <w:lang w:val="sq-AL"/>
        </w:rPr>
        <w:t>i</w:t>
      </w:r>
      <w:r w:rsidRPr="00CF6FDA">
        <w:rPr>
          <w:lang w:val="sq-AL"/>
        </w:rPr>
        <w:t xml:space="preserve"> Energjisë (ERE),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kërkesën për lënien peng të aseteve të shoqërisë </w:t>
      </w:r>
      <w:r>
        <w:rPr>
          <w:lang w:val="sq-AL"/>
        </w:rPr>
        <w:t>“</w:t>
      </w:r>
      <w:r w:rsidRPr="00CF6FDA">
        <w:rPr>
          <w:lang w:val="sq-AL"/>
        </w:rPr>
        <w:t>Kisi – Bio - Energji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si kolateral pranë </w:t>
      </w:r>
      <w:r>
        <w:rPr>
          <w:lang w:val="sq-AL"/>
        </w:rPr>
        <w:t>“</w:t>
      </w:r>
      <w:r w:rsidRPr="00CF6FDA">
        <w:rPr>
          <w:lang w:val="sq-AL"/>
        </w:rPr>
        <w:t>Raiffeisen Bank</w:t>
      </w:r>
      <w:r>
        <w:rPr>
          <w:lang w:val="sq-AL"/>
        </w:rPr>
        <w:t>”</w:t>
      </w:r>
      <w:r w:rsidRPr="00CF6FDA">
        <w:rPr>
          <w:lang w:val="sq-AL"/>
        </w:rPr>
        <w:t xml:space="preserve">, si dhe relacionin e Drejtorisë së Licencimit dhe Monitorimit të Tregut dhe Drejtorisë Juridike dhe Mbrojtjes së Konsumatorit, </w:t>
      </w:r>
    </w:p>
    <w:p w:rsidR="007821DC" w:rsidRPr="00CF6FDA" w:rsidRDefault="007821DC" w:rsidP="007821DC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>onstatoi se: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CF6FDA">
        <w:rPr>
          <w:lang w:val="sq-AL"/>
        </w:rPr>
        <w:t>Kisi – Bio - Energji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plotëson pjesërisht kërkesat e parashikuara nga ERE në </w:t>
      </w:r>
      <w:r>
        <w:rPr>
          <w:lang w:val="sq-AL"/>
        </w:rPr>
        <w:t>r</w:t>
      </w:r>
      <w:r w:rsidRPr="00CF6FDA">
        <w:rPr>
          <w:lang w:val="sq-AL"/>
        </w:rPr>
        <w:t xml:space="preserve">regulloren </w:t>
      </w:r>
      <w:r>
        <w:rPr>
          <w:lang w:val="sq-AL"/>
        </w:rPr>
        <w:t>“P</w:t>
      </w:r>
      <w:r w:rsidRPr="00CF6FDA">
        <w:rPr>
          <w:lang w:val="sq-AL"/>
        </w:rPr>
        <w:t>ër procedurat e transferimit të aseteve nga të licencuarit</w:t>
      </w:r>
      <w:r>
        <w:rPr>
          <w:lang w:val="sq-AL"/>
        </w:rPr>
        <w:t>”,</w:t>
      </w:r>
      <w:r w:rsidRPr="00CF6FDA">
        <w:rPr>
          <w:lang w:val="sq-AL"/>
        </w:rPr>
        <w:t xml:space="preserve"> si më poshtë: 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N</w:t>
      </w:r>
      <w:r w:rsidRPr="00CF6FDA">
        <w:rPr>
          <w:lang w:val="sq-AL"/>
        </w:rPr>
        <w:t>eni 7, pikat 1.1 dhe 1.2</w:t>
      </w:r>
      <w:r>
        <w:rPr>
          <w:lang w:val="sq-AL"/>
        </w:rPr>
        <w:t xml:space="preserve"> </w:t>
      </w:r>
      <w:r w:rsidRPr="00CF6FDA">
        <w:rPr>
          <w:lang w:val="sq-AL"/>
        </w:rPr>
        <w:t>(</w:t>
      </w:r>
      <w:r>
        <w:rPr>
          <w:lang w:val="sq-AL"/>
        </w:rPr>
        <w:t>j</w:t>
      </w:r>
      <w:r w:rsidRPr="00CF6FDA">
        <w:rPr>
          <w:lang w:val="sq-AL"/>
        </w:rPr>
        <w:t>anë paraqitur në mënyrë korrekte)</w:t>
      </w:r>
      <w:r>
        <w:rPr>
          <w:lang w:val="sq-AL"/>
        </w:rPr>
        <w:t>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N</w:t>
      </w:r>
      <w:r w:rsidRPr="00CF6FDA">
        <w:rPr>
          <w:lang w:val="sq-AL"/>
        </w:rPr>
        <w:t xml:space="preserve">eni 7, pika 1.3, </w:t>
      </w:r>
      <w:r>
        <w:rPr>
          <w:lang w:val="sq-AL"/>
        </w:rPr>
        <w:t>germ</w:t>
      </w:r>
      <w:r w:rsidRPr="00CF6FDA">
        <w:rPr>
          <w:lang w:val="sq-AL"/>
        </w:rPr>
        <w:t xml:space="preserve">at </w:t>
      </w:r>
      <w:r>
        <w:rPr>
          <w:lang w:val="sq-AL"/>
        </w:rPr>
        <w:t>“</w:t>
      </w:r>
      <w:r w:rsidRPr="00CF6FDA">
        <w:rPr>
          <w:lang w:val="sq-AL"/>
        </w:rPr>
        <w:t>b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e</w:t>
      </w:r>
      <w:r>
        <w:rPr>
          <w:lang w:val="sq-AL"/>
        </w:rPr>
        <w:t xml:space="preserve">” </w:t>
      </w:r>
      <w:r w:rsidRPr="00CF6FDA">
        <w:rPr>
          <w:lang w:val="sq-AL"/>
        </w:rPr>
        <w:t>(</w:t>
      </w:r>
      <w:r>
        <w:rPr>
          <w:lang w:val="sq-AL"/>
        </w:rPr>
        <w:t>j</w:t>
      </w:r>
      <w:r w:rsidRPr="00CF6FDA">
        <w:rPr>
          <w:lang w:val="sq-AL"/>
        </w:rPr>
        <w:t>anë paraqitur në mënyrë korrekte)</w:t>
      </w:r>
      <w:r>
        <w:rPr>
          <w:lang w:val="sq-AL"/>
        </w:rPr>
        <w:t>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N</w:t>
      </w:r>
      <w:r w:rsidRPr="00CF6FDA">
        <w:rPr>
          <w:lang w:val="sq-AL"/>
        </w:rPr>
        <w:t>eni 7, pika</w:t>
      </w:r>
      <w:r>
        <w:rPr>
          <w:lang w:val="sq-AL"/>
        </w:rPr>
        <w:t>t</w:t>
      </w:r>
      <w:r w:rsidRPr="00CF6FDA">
        <w:rPr>
          <w:lang w:val="sq-AL"/>
        </w:rPr>
        <w:t xml:space="preserve"> 2, 3, 4 dhe 5</w:t>
      </w:r>
      <w:r>
        <w:rPr>
          <w:lang w:val="sq-AL"/>
        </w:rPr>
        <w:t xml:space="preserve"> </w:t>
      </w:r>
      <w:r w:rsidRPr="00CF6FDA">
        <w:rPr>
          <w:lang w:val="sq-AL"/>
        </w:rPr>
        <w:t>(</w:t>
      </w:r>
      <w:r>
        <w:rPr>
          <w:lang w:val="sq-AL"/>
        </w:rPr>
        <w:t>k</w:t>
      </w:r>
      <w:r w:rsidRPr="00CF6FDA">
        <w:rPr>
          <w:lang w:val="sq-AL"/>
        </w:rPr>
        <w:t>y informacion është paraqitur dhe plotësuar në mënyrë korrekte)</w:t>
      </w:r>
      <w:r>
        <w:rPr>
          <w:lang w:val="sq-AL"/>
        </w:rPr>
        <w:t>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>Për mungesën e dokumentacionit</w:t>
      </w:r>
      <w:r>
        <w:rPr>
          <w:lang w:val="sq-AL"/>
        </w:rPr>
        <w:t>,</w:t>
      </w:r>
      <w:r w:rsidRPr="00CF6FDA">
        <w:rPr>
          <w:lang w:val="sq-AL"/>
        </w:rPr>
        <w:t xml:space="preserve"> që ka të bëjë me: nenin 7, pika 1.3, </w:t>
      </w:r>
      <w:r>
        <w:rPr>
          <w:lang w:val="sq-AL"/>
        </w:rPr>
        <w:t>germ</w:t>
      </w:r>
      <w:r w:rsidRPr="00CF6FDA">
        <w:rPr>
          <w:lang w:val="sq-AL"/>
        </w:rPr>
        <w:t>at</w:t>
      </w:r>
      <w:r>
        <w:rPr>
          <w:lang w:val="sq-AL"/>
        </w:rPr>
        <w:t xml:space="preserve"> “</w:t>
      </w:r>
      <w:r w:rsidRPr="00CF6FDA">
        <w:rPr>
          <w:lang w:val="sq-AL"/>
        </w:rPr>
        <w:t>a</w:t>
      </w:r>
      <w:r>
        <w:rPr>
          <w:lang w:val="sq-AL"/>
        </w:rPr>
        <w:t>”</w:t>
      </w:r>
      <w:r w:rsidRPr="00CF6FDA">
        <w:rPr>
          <w:lang w:val="sq-AL"/>
        </w:rPr>
        <w:t>,</w:t>
      </w:r>
      <w:r>
        <w:rPr>
          <w:lang w:val="sq-AL"/>
        </w:rPr>
        <w:t xml:space="preserve"> “</w:t>
      </w:r>
      <w:r w:rsidRPr="00CF6FDA">
        <w:rPr>
          <w:lang w:val="sq-AL"/>
        </w:rPr>
        <w:t>c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d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f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g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h</w:t>
      </w:r>
      <w:r>
        <w:rPr>
          <w:lang w:val="sq-AL"/>
        </w:rPr>
        <w:t>”,</w:t>
      </w:r>
      <w:r w:rsidRPr="00CF6FDA">
        <w:rPr>
          <w:lang w:val="sq-AL"/>
        </w:rPr>
        <w:t>do të njoftohet subjekti</w:t>
      </w:r>
      <w:r>
        <w:rPr>
          <w:lang w:val="sq-AL"/>
        </w:rPr>
        <w:t>,</w:t>
      </w:r>
      <w:r w:rsidRPr="00CF6FDA">
        <w:rPr>
          <w:lang w:val="sq-AL"/>
        </w:rPr>
        <w:t xml:space="preserve"> që në bazë të nenit 9 të Rregullores së Transferimit të </w:t>
      </w:r>
      <w:r>
        <w:rPr>
          <w:lang w:val="sq-AL"/>
        </w:rPr>
        <w:t>A</w:t>
      </w:r>
      <w:r w:rsidRPr="00CF6FDA">
        <w:rPr>
          <w:lang w:val="sq-AL"/>
        </w:rPr>
        <w:t>seteve, t</w:t>
      </w:r>
      <w:r>
        <w:rPr>
          <w:lang w:val="sq-AL"/>
        </w:rPr>
        <w:t>’</w:t>
      </w:r>
      <w:r w:rsidRPr="00CF6FDA">
        <w:rPr>
          <w:lang w:val="sq-AL"/>
        </w:rPr>
        <w:t>i paraqesë ato brenda afatit të caktuar.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>Për gjithë sa më sipër cituar, Bordi i ERE-s</w:t>
      </w:r>
    </w:p>
    <w:p w:rsidR="007821DC" w:rsidRPr="00CF6FDA" w:rsidRDefault="007821DC" w:rsidP="007821DC">
      <w:pPr>
        <w:pStyle w:val="Hapesira7"/>
        <w:rPr>
          <w:lang w:val="sq-AL"/>
        </w:rPr>
      </w:pPr>
    </w:p>
    <w:p w:rsidR="007821DC" w:rsidRDefault="007821DC" w:rsidP="007821DC">
      <w:pPr>
        <w:pStyle w:val="Vendosi"/>
        <w:rPr>
          <w:lang w:val="sq-AL"/>
        </w:rPr>
      </w:pPr>
    </w:p>
    <w:p w:rsidR="007821DC" w:rsidRPr="00CF6FDA" w:rsidRDefault="007821DC" w:rsidP="007821DC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7821DC" w:rsidRPr="00CF6FDA" w:rsidRDefault="007821DC" w:rsidP="007821DC">
      <w:pPr>
        <w:pStyle w:val="Hapesira7"/>
        <w:rPr>
          <w:lang w:val="sq-AL"/>
        </w:rPr>
      </w:pP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1. Të fillojë procedurat për shqyrtimin e kërkesës së shoqërisë </w:t>
      </w:r>
      <w:r>
        <w:rPr>
          <w:lang w:val="sq-AL"/>
        </w:rPr>
        <w:t>“</w:t>
      </w:r>
      <w:r w:rsidRPr="00CF6FDA">
        <w:rPr>
          <w:lang w:val="sq-AL"/>
        </w:rPr>
        <w:t>Kisi – Bio - Energji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për lënie peng si kolateral të aseteve të shoqërisë pranë </w:t>
      </w:r>
      <w:r>
        <w:rPr>
          <w:lang w:val="sq-AL"/>
        </w:rPr>
        <w:t>“</w:t>
      </w:r>
      <w:r w:rsidRPr="00CF6FDA">
        <w:rPr>
          <w:lang w:val="sq-AL"/>
        </w:rPr>
        <w:t>Raiffeisen Bank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>2. Ngarkohet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 dhe Monitorimit të Tregut të njoftojë aplikuesin lidhur me </w:t>
      </w:r>
      <w:r>
        <w:rPr>
          <w:lang w:val="sq-AL"/>
        </w:rPr>
        <w:t>v</w:t>
      </w:r>
      <w:r w:rsidRPr="00CF6FDA">
        <w:rPr>
          <w:lang w:val="sq-AL"/>
        </w:rPr>
        <w:t>endimin e Bordit të Komisionerëve të ERE-s.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menjëherë.</w:t>
      </w:r>
    </w:p>
    <w:p w:rsidR="007821DC" w:rsidRPr="00CF6FDA" w:rsidRDefault="007821DC" w:rsidP="007821DC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botohet në Fletoren Zyrtare. </w:t>
      </w:r>
    </w:p>
    <w:p w:rsidR="007821DC" w:rsidRPr="00CF6FDA" w:rsidRDefault="007821DC" w:rsidP="007821DC">
      <w:pPr>
        <w:pStyle w:val="Hapesira7"/>
        <w:rPr>
          <w:lang w:val="sq-AL"/>
        </w:rPr>
      </w:pPr>
    </w:p>
    <w:p w:rsidR="007821DC" w:rsidRPr="00CF6FDA" w:rsidRDefault="007821DC" w:rsidP="007821DC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7821DC" w:rsidRPr="00CF6FDA" w:rsidRDefault="007821DC" w:rsidP="007821DC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</w:p>
    <w:p w:rsidR="00C038B6" w:rsidRDefault="007821D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DC"/>
    <w:rsid w:val="002D1BDF"/>
    <w:rsid w:val="00462D66"/>
    <w:rsid w:val="0078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21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821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21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821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21D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821D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821D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21D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21D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21D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21D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21D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821D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821D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21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821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21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821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21D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821D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821D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21D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21D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21D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21D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21D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821D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821D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2016-01-21T13:36:00Z</dcterms:created>
  <dcterms:modified xsi:type="dcterms:W3CDTF">2016-01-21T13:37:00Z</dcterms:modified>
</cp:coreProperties>
</file>