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368" w:rsidRPr="00CF6FDA" w:rsidRDefault="00310368" w:rsidP="00310368">
      <w:pPr>
        <w:pStyle w:val="Akti"/>
        <w:rPr>
          <w:lang w:val="sq-AL"/>
        </w:rPr>
      </w:pPr>
      <w:r w:rsidRPr="00CF6FDA">
        <w:rPr>
          <w:lang w:val="sq-AL"/>
        </w:rPr>
        <w:t xml:space="preserve">VENDIM </w:t>
      </w:r>
    </w:p>
    <w:p w:rsidR="00310368" w:rsidRPr="00CF6FDA" w:rsidRDefault="00310368" w:rsidP="00310368">
      <w:pPr>
        <w:pStyle w:val="NumriData"/>
        <w:rPr>
          <w:lang w:val="sq-AL"/>
        </w:rPr>
      </w:pPr>
      <w:bookmarkStart w:id="0" w:name="_GoBack"/>
      <w:r w:rsidRPr="00CF6FDA">
        <w:rPr>
          <w:lang w:val="sq-AL"/>
        </w:rPr>
        <w:t xml:space="preserve">Nr. 163, </w:t>
      </w:r>
      <w:r>
        <w:rPr>
          <w:lang w:val="sq-AL"/>
        </w:rPr>
        <w:t>d</w:t>
      </w:r>
      <w:r w:rsidRPr="00CF6FDA">
        <w:rPr>
          <w:lang w:val="sq-AL"/>
        </w:rPr>
        <w:t>atë 28.12.2015</w:t>
      </w:r>
    </w:p>
    <w:bookmarkEnd w:id="0"/>
    <w:p w:rsidR="00310368" w:rsidRPr="00CF6FDA" w:rsidRDefault="00310368" w:rsidP="00310368">
      <w:pPr>
        <w:pStyle w:val="Hapesira7"/>
        <w:rPr>
          <w:lang w:val="sq-AL"/>
        </w:rPr>
      </w:pPr>
    </w:p>
    <w:p w:rsidR="00310368" w:rsidRPr="00CF6FDA" w:rsidRDefault="00310368" w:rsidP="00310368">
      <w:pPr>
        <w:pStyle w:val="Titulli"/>
        <w:rPr>
          <w:lang w:val="sq-AL"/>
        </w:rPr>
      </w:pPr>
      <w:r w:rsidRPr="00CF6FDA">
        <w:rPr>
          <w:lang w:val="sq-AL"/>
        </w:rPr>
        <w:t xml:space="preserve">MBI FILLIMIN E PROCEDURAVE PËR SHQYRTIMIN E KËRKESËS SË SHOQËRISË </w:t>
      </w:r>
      <w:r>
        <w:rPr>
          <w:lang w:val="sq-AL"/>
        </w:rPr>
        <w:t>“</w:t>
      </w:r>
      <w:r w:rsidRPr="00CF6FDA">
        <w:rPr>
          <w:lang w:val="sq-AL"/>
        </w:rPr>
        <w:t>HEC TERVOLI</w:t>
      </w:r>
      <w:r>
        <w:rPr>
          <w:lang w:val="sq-AL"/>
        </w:rPr>
        <w:t>”</w:t>
      </w:r>
      <w:r w:rsidRPr="00CF6FDA">
        <w:rPr>
          <w:lang w:val="sq-AL"/>
        </w:rPr>
        <w:t xml:space="preserve"> SHPK, PËR LËNIEN PENG TË ASETEVE TË SAJ SI KOLATERAL PRANË </w:t>
      </w:r>
      <w:r>
        <w:rPr>
          <w:lang w:val="sq-AL"/>
        </w:rPr>
        <w:t>“</w:t>
      </w:r>
      <w:r w:rsidRPr="00CF6FDA">
        <w:rPr>
          <w:lang w:val="sq-AL"/>
        </w:rPr>
        <w:t>RAIFFEISEN BANK</w:t>
      </w:r>
      <w:r>
        <w:rPr>
          <w:lang w:val="sq-AL"/>
        </w:rPr>
        <w:t>”</w:t>
      </w:r>
    </w:p>
    <w:p w:rsidR="00310368" w:rsidRPr="00CF6FDA" w:rsidRDefault="00310368" w:rsidP="00310368">
      <w:pPr>
        <w:pStyle w:val="Hapesira7"/>
        <w:rPr>
          <w:lang w:val="sq-AL"/>
        </w:rPr>
      </w:pPr>
    </w:p>
    <w:p w:rsidR="00310368" w:rsidRPr="00CF6FDA" w:rsidRDefault="00310368" w:rsidP="00310368">
      <w:pPr>
        <w:pStyle w:val="Paragrafi"/>
        <w:rPr>
          <w:lang w:val="sq-AL"/>
        </w:rPr>
      </w:pPr>
      <w:r w:rsidRPr="00CF6FDA">
        <w:rPr>
          <w:lang w:val="sq-AL"/>
        </w:rPr>
        <w:t>Në mbështetje të neneve 16 dhe 44</w:t>
      </w:r>
      <w:r>
        <w:rPr>
          <w:lang w:val="sq-AL"/>
        </w:rPr>
        <w:t>,</w:t>
      </w:r>
      <w:r w:rsidRPr="00CF6FDA">
        <w:rPr>
          <w:lang w:val="sq-AL"/>
        </w:rPr>
        <w:t xml:space="preserve"> të ligjit nr. 43/2015, </w:t>
      </w:r>
      <w:r>
        <w:rPr>
          <w:lang w:val="sq-AL"/>
        </w:rPr>
        <w:t>“</w:t>
      </w:r>
      <w:r w:rsidRPr="00CF6FDA">
        <w:rPr>
          <w:lang w:val="sq-AL"/>
        </w:rPr>
        <w:t>Për sektorin e energjisë elektrike</w:t>
      </w:r>
      <w:r>
        <w:rPr>
          <w:lang w:val="sq-AL"/>
        </w:rPr>
        <w:t>”</w:t>
      </w:r>
      <w:r w:rsidRPr="00CF6FDA">
        <w:rPr>
          <w:lang w:val="sq-AL"/>
        </w:rPr>
        <w:t xml:space="preserve">, neneve 6, 7 dhe 8, të </w:t>
      </w:r>
      <w:r>
        <w:rPr>
          <w:lang w:val="sq-AL"/>
        </w:rPr>
        <w:t>r</w:t>
      </w:r>
      <w:r w:rsidRPr="00CF6FDA">
        <w:rPr>
          <w:lang w:val="sq-AL"/>
        </w:rPr>
        <w:t xml:space="preserve">regullores </w:t>
      </w:r>
      <w:r>
        <w:rPr>
          <w:lang w:val="sq-AL"/>
        </w:rPr>
        <w:t>“P</w:t>
      </w:r>
      <w:r w:rsidRPr="00CF6FDA">
        <w:rPr>
          <w:lang w:val="sq-AL"/>
        </w:rPr>
        <w:t>ër procedurat e transferimit të aseteve nga të licencuarit</w:t>
      </w:r>
      <w:r>
        <w:rPr>
          <w:lang w:val="sq-AL"/>
        </w:rPr>
        <w:t>”</w:t>
      </w:r>
      <w:r w:rsidRPr="00CF6FDA">
        <w:rPr>
          <w:lang w:val="sq-AL"/>
        </w:rPr>
        <w:t>, miratuar me vendimin nr. 89, datë 13.12.2006, të Bordit të Komisionerëve të ERE-s, pikave 1.3 dhe 1.6 të licencës</w:t>
      </w:r>
      <w:r>
        <w:rPr>
          <w:lang w:val="sq-AL"/>
        </w:rPr>
        <w:t>“</w:t>
      </w:r>
      <w:r w:rsidRPr="00CF6FDA">
        <w:rPr>
          <w:lang w:val="sq-AL"/>
        </w:rPr>
        <w:t>Për prodhimin e energjisë elektrike</w:t>
      </w:r>
      <w:r>
        <w:rPr>
          <w:lang w:val="sq-AL"/>
        </w:rPr>
        <w:t>”</w:t>
      </w:r>
      <w:r w:rsidRPr="00CF6FDA">
        <w:rPr>
          <w:lang w:val="sq-AL"/>
        </w:rPr>
        <w:t xml:space="preserve">, Bordi i Entit Rregullator </w:t>
      </w:r>
      <w:r>
        <w:rPr>
          <w:lang w:val="sq-AL"/>
        </w:rPr>
        <w:t>i</w:t>
      </w:r>
      <w:r w:rsidRPr="00CF6FDA">
        <w:rPr>
          <w:lang w:val="sq-AL"/>
        </w:rPr>
        <w:t xml:space="preserve"> Energjisë (ERE), në mbledhjen e tij të datës 28.12.2015, </w:t>
      </w:r>
      <w:r>
        <w:rPr>
          <w:lang w:val="sq-AL"/>
        </w:rPr>
        <w:t>pasi</w:t>
      </w:r>
      <w:r w:rsidRPr="00CF6FDA">
        <w:rPr>
          <w:lang w:val="sq-AL"/>
        </w:rPr>
        <w:t xml:space="preserve"> shqyrtoi kërkesën për lënien peng të aseteve të shoqërisë </w:t>
      </w:r>
      <w:r>
        <w:rPr>
          <w:lang w:val="sq-AL"/>
        </w:rPr>
        <w:t>“</w:t>
      </w:r>
      <w:r w:rsidRPr="00CF6FDA">
        <w:rPr>
          <w:lang w:val="sq-AL"/>
        </w:rPr>
        <w:t>HEC Tervoli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.,</w:t>
      </w:r>
      <w:r w:rsidRPr="00CF6FDA">
        <w:rPr>
          <w:lang w:val="sq-AL"/>
        </w:rPr>
        <w:t xml:space="preserve"> si kolateral nga pranë </w:t>
      </w:r>
      <w:r>
        <w:rPr>
          <w:lang w:val="sq-AL"/>
        </w:rPr>
        <w:t>“</w:t>
      </w:r>
      <w:r w:rsidRPr="00CF6FDA">
        <w:rPr>
          <w:lang w:val="sq-AL"/>
        </w:rPr>
        <w:t>Raiffeisen Bank</w:t>
      </w:r>
      <w:r>
        <w:rPr>
          <w:lang w:val="sq-AL"/>
        </w:rPr>
        <w:t>”</w:t>
      </w:r>
      <w:r w:rsidRPr="00CF6FDA">
        <w:rPr>
          <w:lang w:val="sq-AL"/>
        </w:rPr>
        <w:t xml:space="preserve">, si dhe relacionin e Drejtorisë së Licencimit dhe Monitorimit të Tregut dhe Drejtorisë Juridike dhe Mbrojtjes së Konsumatorit, </w:t>
      </w:r>
    </w:p>
    <w:p w:rsidR="00310368" w:rsidRPr="00CF6FDA" w:rsidRDefault="00310368" w:rsidP="00310368">
      <w:pPr>
        <w:pStyle w:val="Paragrafi"/>
        <w:rPr>
          <w:lang w:val="sq-AL"/>
        </w:rPr>
      </w:pPr>
      <w:r>
        <w:rPr>
          <w:lang w:val="sq-AL"/>
        </w:rPr>
        <w:t>k</w:t>
      </w:r>
      <w:r w:rsidRPr="00CF6FDA">
        <w:rPr>
          <w:lang w:val="sq-AL"/>
        </w:rPr>
        <w:t>onstatoi se:</w:t>
      </w:r>
    </w:p>
    <w:p w:rsidR="00310368" w:rsidRPr="00CF6FDA" w:rsidRDefault="00310368" w:rsidP="00310368">
      <w:pPr>
        <w:pStyle w:val="Paragrafi"/>
        <w:rPr>
          <w:lang w:val="sq-AL"/>
        </w:rPr>
      </w:pPr>
      <w:r w:rsidRPr="00CF6FDA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CF6FDA">
        <w:rPr>
          <w:lang w:val="sq-AL"/>
        </w:rPr>
        <w:t>HEC Tervoli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.,</w:t>
      </w:r>
      <w:r w:rsidRPr="00CF6FDA">
        <w:rPr>
          <w:lang w:val="sq-AL"/>
        </w:rPr>
        <w:t xml:space="preserve"> plotëson pjesërisht kërkesat e parashikuara nga ERE në </w:t>
      </w:r>
      <w:r>
        <w:rPr>
          <w:lang w:val="sq-AL"/>
        </w:rPr>
        <w:t>r</w:t>
      </w:r>
      <w:r w:rsidRPr="00CF6FDA">
        <w:rPr>
          <w:lang w:val="sq-AL"/>
        </w:rPr>
        <w:t xml:space="preserve">regulloren </w:t>
      </w:r>
      <w:r>
        <w:rPr>
          <w:lang w:val="sq-AL"/>
        </w:rPr>
        <w:t>“P</w:t>
      </w:r>
      <w:r w:rsidRPr="00CF6FDA">
        <w:rPr>
          <w:lang w:val="sq-AL"/>
        </w:rPr>
        <w:t>ër procedurat e transferimit të aseteve nga të licencuarit</w:t>
      </w:r>
      <w:r>
        <w:rPr>
          <w:lang w:val="sq-AL"/>
        </w:rPr>
        <w:t>”,</w:t>
      </w:r>
      <w:r w:rsidRPr="00CF6FDA">
        <w:rPr>
          <w:lang w:val="sq-AL"/>
        </w:rPr>
        <w:t xml:space="preserve"> si më poshtë: </w:t>
      </w:r>
    </w:p>
    <w:p w:rsidR="00310368" w:rsidRPr="00CF6FDA" w:rsidRDefault="00310368" w:rsidP="00310368">
      <w:pPr>
        <w:pStyle w:val="Paragrafi"/>
        <w:rPr>
          <w:lang w:val="sq-AL"/>
        </w:rPr>
      </w:pPr>
      <w:r w:rsidRPr="00CF6FDA">
        <w:rPr>
          <w:lang w:val="sq-AL"/>
        </w:rPr>
        <w:t xml:space="preserve">- </w:t>
      </w:r>
      <w:r>
        <w:rPr>
          <w:lang w:val="sq-AL"/>
        </w:rPr>
        <w:t>N</w:t>
      </w:r>
      <w:r w:rsidRPr="00CF6FDA">
        <w:rPr>
          <w:lang w:val="sq-AL"/>
        </w:rPr>
        <w:t>eni 7, pikat 1.1 dhe 1.2</w:t>
      </w:r>
      <w:r>
        <w:rPr>
          <w:lang w:val="sq-AL"/>
        </w:rPr>
        <w:t xml:space="preserve"> </w:t>
      </w:r>
      <w:r w:rsidRPr="00CF6FDA">
        <w:rPr>
          <w:lang w:val="sq-AL"/>
        </w:rPr>
        <w:t>(</w:t>
      </w:r>
      <w:r>
        <w:rPr>
          <w:lang w:val="sq-AL"/>
        </w:rPr>
        <w:t>j</w:t>
      </w:r>
      <w:r w:rsidRPr="00CF6FDA">
        <w:rPr>
          <w:lang w:val="sq-AL"/>
        </w:rPr>
        <w:t>anë paraqitur në mënyrë korrekte)</w:t>
      </w:r>
      <w:r>
        <w:rPr>
          <w:lang w:val="sq-AL"/>
        </w:rPr>
        <w:t>.</w:t>
      </w:r>
    </w:p>
    <w:p w:rsidR="00310368" w:rsidRPr="00CF6FDA" w:rsidRDefault="00310368" w:rsidP="00310368">
      <w:pPr>
        <w:pStyle w:val="Paragrafi"/>
        <w:rPr>
          <w:lang w:val="sq-AL"/>
        </w:rPr>
      </w:pPr>
      <w:r w:rsidRPr="00CF6FDA">
        <w:rPr>
          <w:lang w:val="sq-AL"/>
        </w:rPr>
        <w:t xml:space="preserve">- </w:t>
      </w:r>
      <w:r>
        <w:rPr>
          <w:lang w:val="sq-AL"/>
        </w:rPr>
        <w:t>N</w:t>
      </w:r>
      <w:r w:rsidRPr="00CF6FDA">
        <w:rPr>
          <w:lang w:val="sq-AL"/>
        </w:rPr>
        <w:t xml:space="preserve">eni 7, pika 1.3, </w:t>
      </w:r>
      <w:r>
        <w:rPr>
          <w:lang w:val="sq-AL"/>
        </w:rPr>
        <w:t>germ</w:t>
      </w:r>
      <w:r w:rsidRPr="00CF6FDA">
        <w:rPr>
          <w:lang w:val="sq-AL"/>
        </w:rPr>
        <w:t xml:space="preserve">at </w:t>
      </w:r>
      <w:r>
        <w:rPr>
          <w:lang w:val="sq-AL"/>
        </w:rPr>
        <w:t>“</w:t>
      </w:r>
      <w:r w:rsidRPr="00CF6FDA">
        <w:rPr>
          <w:lang w:val="sq-AL"/>
        </w:rPr>
        <w:t>b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e</w:t>
      </w:r>
      <w:r>
        <w:rPr>
          <w:lang w:val="sq-AL"/>
        </w:rPr>
        <w:t xml:space="preserve">” </w:t>
      </w:r>
      <w:r w:rsidRPr="00CF6FDA">
        <w:rPr>
          <w:lang w:val="sq-AL"/>
        </w:rPr>
        <w:t>(</w:t>
      </w:r>
      <w:r>
        <w:rPr>
          <w:lang w:val="sq-AL"/>
        </w:rPr>
        <w:t>j</w:t>
      </w:r>
      <w:r w:rsidRPr="00CF6FDA">
        <w:rPr>
          <w:lang w:val="sq-AL"/>
        </w:rPr>
        <w:t>anë paraqitur në mënyrë korrekte)</w:t>
      </w:r>
      <w:r>
        <w:rPr>
          <w:lang w:val="sq-AL"/>
        </w:rPr>
        <w:t>.</w:t>
      </w:r>
    </w:p>
    <w:p w:rsidR="00310368" w:rsidRPr="00CF6FDA" w:rsidRDefault="00310368" w:rsidP="00310368">
      <w:pPr>
        <w:pStyle w:val="Paragrafi"/>
        <w:rPr>
          <w:lang w:val="sq-AL"/>
        </w:rPr>
      </w:pPr>
      <w:r w:rsidRPr="00CF6FDA">
        <w:rPr>
          <w:lang w:val="sq-AL"/>
        </w:rPr>
        <w:t xml:space="preserve">- </w:t>
      </w:r>
      <w:r>
        <w:rPr>
          <w:lang w:val="sq-AL"/>
        </w:rPr>
        <w:t>N</w:t>
      </w:r>
      <w:r w:rsidRPr="00CF6FDA">
        <w:rPr>
          <w:lang w:val="sq-AL"/>
        </w:rPr>
        <w:t>eni 7, pika 2, 3, 4 dhe 5</w:t>
      </w:r>
      <w:r>
        <w:rPr>
          <w:lang w:val="sq-AL"/>
        </w:rPr>
        <w:t xml:space="preserve"> </w:t>
      </w:r>
      <w:r w:rsidRPr="00CF6FDA">
        <w:rPr>
          <w:lang w:val="sq-AL"/>
        </w:rPr>
        <w:t>(</w:t>
      </w:r>
      <w:r>
        <w:rPr>
          <w:lang w:val="sq-AL"/>
        </w:rPr>
        <w:t>k</w:t>
      </w:r>
      <w:r w:rsidRPr="00CF6FDA">
        <w:rPr>
          <w:lang w:val="sq-AL"/>
        </w:rPr>
        <w:t>y informacion është paraqitur dhe plotësuar në mënyrë korrekte)</w:t>
      </w:r>
      <w:r>
        <w:rPr>
          <w:lang w:val="sq-AL"/>
        </w:rPr>
        <w:t>.</w:t>
      </w:r>
    </w:p>
    <w:p w:rsidR="00310368" w:rsidRPr="00CF6FDA" w:rsidRDefault="00310368" w:rsidP="00310368">
      <w:pPr>
        <w:pStyle w:val="Paragrafi"/>
        <w:rPr>
          <w:lang w:val="sq-AL"/>
        </w:rPr>
      </w:pPr>
      <w:r w:rsidRPr="00CF6FDA">
        <w:rPr>
          <w:lang w:val="sq-AL"/>
        </w:rPr>
        <w:t xml:space="preserve">Për mungesën e dokumentacionit që ka të bëjë me: nenin 7, pika 1.3, </w:t>
      </w:r>
      <w:r>
        <w:rPr>
          <w:lang w:val="sq-AL"/>
        </w:rPr>
        <w:t>germ</w:t>
      </w:r>
      <w:r w:rsidRPr="00CF6FDA">
        <w:rPr>
          <w:lang w:val="sq-AL"/>
        </w:rPr>
        <w:t>at</w:t>
      </w:r>
      <w:r>
        <w:rPr>
          <w:lang w:val="sq-AL"/>
        </w:rPr>
        <w:t xml:space="preserve"> “</w:t>
      </w:r>
      <w:r w:rsidRPr="00CF6FDA">
        <w:rPr>
          <w:lang w:val="sq-AL"/>
        </w:rPr>
        <w:t>a</w:t>
      </w:r>
      <w:r>
        <w:rPr>
          <w:lang w:val="sq-AL"/>
        </w:rPr>
        <w:t>”</w:t>
      </w:r>
      <w:r w:rsidRPr="00CF6FDA">
        <w:rPr>
          <w:lang w:val="sq-AL"/>
        </w:rPr>
        <w:t>,</w:t>
      </w:r>
      <w:r>
        <w:rPr>
          <w:lang w:val="sq-AL"/>
        </w:rPr>
        <w:t xml:space="preserve"> “</w:t>
      </w:r>
      <w:r w:rsidRPr="00CF6FDA">
        <w:rPr>
          <w:lang w:val="sq-AL"/>
        </w:rPr>
        <w:t>c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d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f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g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“</w:t>
      </w:r>
      <w:r w:rsidRPr="00CF6FDA">
        <w:rPr>
          <w:lang w:val="sq-AL"/>
        </w:rPr>
        <w:t>h</w:t>
      </w:r>
      <w:r>
        <w:rPr>
          <w:lang w:val="sq-AL"/>
        </w:rPr>
        <w:t xml:space="preserve">”, </w:t>
      </w:r>
      <w:r w:rsidRPr="00CF6FDA">
        <w:rPr>
          <w:lang w:val="sq-AL"/>
        </w:rPr>
        <w:t xml:space="preserve">do të njoftohet subjekti që në bazë të nenit 9 të </w:t>
      </w:r>
      <w:r>
        <w:rPr>
          <w:lang w:val="sq-AL"/>
        </w:rPr>
        <w:t>r</w:t>
      </w:r>
      <w:r w:rsidRPr="00CF6FDA">
        <w:rPr>
          <w:lang w:val="sq-AL"/>
        </w:rPr>
        <w:t>regullore</w:t>
      </w:r>
      <w:r>
        <w:rPr>
          <w:lang w:val="sq-AL"/>
        </w:rPr>
        <w:t>s “P</w:t>
      </w:r>
      <w:r w:rsidRPr="00CF6FDA">
        <w:rPr>
          <w:lang w:val="sq-AL"/>
        </w:rPr>
        <w:t>ër procedurat e transferimit të aseteve nga të licencuarit</w:t>
      </w:r>
      <w:r>
        <w:rPr>
          <w:lang w:val="sq-AL"/>
        </w:rPr>
        <w:t>”</w:t>
      </w:r>
      <w:r w:rsidRPr="00CF6FDA">
        <w:rPr>
          <w:lang w:val="sq-AL"/>
        </w:rPr>
        <w:t>, t</w:t>
      </w:r>
      <w:r>
        <w:rPr>
          <w:lang w:val="sq-AL"/>
        </w:rPr>
        <w:t>’</w:t>
      </w:r>
      <w:r w:rsidRPr="00CF6FDA">
        <w:rPr>
          <w:lang w:val="sq-AL"/>
        </w:rPr>
        <w:t>i paraqesë ato brenda afatit të caktuar.</w:t>
      </w:r>
    </w:p>
    <w:p w:rsidR="00310368" w:rsidRPr="00CF6FDA" w:rsidRDefault="00310368" w:rsidP="00310368">
      <w:pPr>
        <w:pStyle w:val="Paragrafi"/>
        <w:rPr>
          <w:lang w:val="sq-AL"/>
        </w:rPr>
      </w:pPr>
      <w:r w:rsidRPr="00CF6FDA">
        <w:rPr>
          <w:lang w:val="sq-AL"/>
        </w:rPr>
        <w:t>Për gjithë sa më sipër cituar, Bordi i ERE-s</w:t>
      </w:r>
    </w:p>
    <w:p w:rsidR="00310368" w:rsidRPr="00605E2A" w:rsidRDefault="00310368" w:rsidP="00310368">
      <w:pPr>
        <w:pStyle w:val="Hapesira7"/>
        <w:rPr>
          <w:sz w:val="12"/>
          <w:lang w:val="sq-AL"/>
        </w:rPr>
      </w:pPr>
    </w:p>
    <w:p w:rsidR="00310368" w:rsidRPr="00605E2A" w:rsidRDefault="00310368" w:rsidP="00310368">
      <w:pPr>
        <w:pStyle w:val="Vendosi"/>
        <w:rPr>
          <w:sz w:val="22"/>
          <w:lang w:val="sq-AL"/>
        </w:rPr>
      </w:pPr>
      <w:r w:rsidRPr="00CF6FDA">
        <w:rPr>
          <w:lang w:val="sq-AL"/>
        </w:rPr>
        <w:t>VEN</w:t>
      </w:r>
      <w:r w:rsidRPr="00605E2A">
        <w:rPr>
          <w:sz w:val="22"/>
          <w:lang w:val="sq-AL"/>
        </w:rPr>
        <w:t>DOSI:</w:t>
      </w:r>
    </w:p>
    <w:p w:rsidR="00310368" w:rsidRPr="00CF6FDA" w:rsidRDefault="00310368" w:rsidP="00310368">
      <w:pPr>
        <w:pStyle w:val="Hapesira7"/>
        <w:rPr>
          <w:lang w:val="sq-AL"/>
        </w:rPr>
      </w:pPr>
    </w:p>
    <w:p w:rsidR="00310368" w:rsidRPr="00CF6FDA" w:rsidRDefault="00310368" w:rsidP="00310368">
      <w:pPr>
        <w:pStyle w:val="Paragrafi"/>
        <w:rPr>
          <w:lang w:val="sq-AL"/>
        </w:rPr>
      </w:pPr>
      <w:r w:rsidRPr="00CF6FDA">
        <w:rPr>
          <w:lang w:val="sq-AL"/>
        </w:rPr>
        <w:t xml:space="preserve">1. Të fillojë procedurat për shqyrtimin e kërkesës së shoqërisë </w:t>
      </w:r>
      <w:r>
        <w:rPr>
          <w:lang w:val="sq-AL"/>
        </w:rPr>
        <w:t>“</w:t>
      </w:r>
      <w:r w:rsidRPr="00CF6FDA">
        <w:rPr>
          <w:lang w:val="sq-AL"/>
        </w:rPr>
        <w:t>HEC Tervoli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.,</w:t>
      </w:r>
      <w:r w:rsidRPr="00CF6FDA">
        <w:rPr>
          <w:lang w:val="sq-AL"/>
        </w:rPr>
        <w:t xml:space="preserve"> për lënie peng si kolateral të aseteve të shoqërisë pranë </w:t>
      </w:r>
      <w:r>
        <w:rPr>
          <w:lang w:val="sq-AL"/>
        </w:rPr>
        <w:t>“</w:t>
      </w:r>
      <w:r w:rsidRPr="00CF6FDA">
        <w:rPr>
          <w:lang w:val="sq-AL"/>
        </w:rPr>
        <w:t>Raiffeisen Bank</w:t>
      </w:r>
      <w:r>
        <w:rPr>
          <w:lang w:val="sq-AL"/>
        </w:rPr>
        <w:t>”</w:t>
      </w:r>
      <w:r w:rsidRPr="00CF6FDA">
        <w:rPr>
          <w:lang w:val="sq-AL"/>
        </w:rPr>
        <w:t>.</w:t>
      </w:r>
    </w:p>
    <w:p w:rsidR="00310368" w:rsidRPr="00CF6FDA" w:rsidRDefault="00310368" w:rsidP="00310368">
      <w:pPr>
        <w:pStyle w:val="Paragrafi"/>
        <w:rPr>
          <w:lang w:val="sq-AL"/>
        </w:rPr>
      </w:pPr>
      <w:r w:rsidRPr="00CF6FDA">
        <w:rPr>
          <w:lang w:val="sq-AL"/>
        </w:rPr>
        <w:t>2. Ngarkohet Drejtoria e L</w:t>
      </w:r>
      <w:r>
        <w:rPr>
          <w:lang w:val="sq-AL"/>
        </w:rPr>
        <w:t>icenc</w:t>
      </w:r>
      <w:r w:rsidRPr="00CF6FDA">
        <w:rPr>
          <w:lang w:val="sq-AL"/>
        </w:rPr>
        <w:t xml:space="preserve">imit dhe Monitorimit të Tregut të njoftojë aplikuesin lidhur me </w:t>
      </w:r>
      <w:r>
        <w:rPr>
          <w:lang w:val="sq-AL"/>
        </w:rPr>
        <w:t>v</w:t>
      </w:r>
      <w:r w:rsidRPr="00CF6FDA">
        <w:rPr>
          <w:lang w:val="sq-AL"/>
        </w:rPr>
        <w:t>endimin e Bordit të Komisionerëve të ERE-s.</w:t>
      </w:r>
    </w:p>
    <w:p w:rsidR="00310368" w:rsidRPr="00CF6FDA" w:rsidRDefault="00310368" w:rsidP="00310368">
      <w:pPr>
        <w:pStyle w:val="Paragrafi"/>
        <w:rPr>
          <w:lang w:val="sq-AL"/>
        </w:rPr>
      </w:pPr>
      <w:r w:rsidRPr="00CF6FDA">
        <w:rPr>
          <w:lang w:val="sq-AL"/>
        </w:rPr>
        <w:t>Ky vendim hyn në fuqi menjëherë.</w:t>
      </w:r>
    </w:p>
    <w:p w:rsidR="00310368" w:rsidRPr="00CF6FDA" w:rsidRDefault="00310368" w:rsidP="00310368">
      <w:pPr>
        <w:pStyle w:val="Paragrafi"/>
        <w:rPr>
          <w:lang w:val="sq-AL"/>
        </w:rPr>
      </w:pPr>
      <w:r w:rsidRPr="00CF6FDA">
        <w:rPr>
          <w:lang w:val="sq-AL"/>
        </w:rPr>
        <w:t xml:space="preserve">Ky vendim botohet në Fletoren Zyrtare. </w:t>
      </w:r>
    </w:p>
    <w:p w:rsidR="00310368" w:rsidRPr="00605E2A" w:rsidRDefault="00310368" w:rsidP="00310368">
      <w:pPr>
        <w:pStyle w:val="Hapesira7"/>
        <w:rPr>
          <w:sz w:val="12"/>
          <w:lang w:val="sq-AL"/>
        </w:rPr>
      </w:pPr>
    </w:p>
    <w:p w:rsidR="00310368" w:rsidRPr="00CF6FDA" w:rsidRDefault="00310368" w:rsidP="00310368">
      <w:pPr>
        <w:pStyle w:val="Autoriteti"/>
        <w:rPr>
          <w:lang w:val="sq-AL"/>
        </w:rPr>
      </w:pPr>
      <w:r w:rsidRPr="00CF6FDA">
        <w:rPr>
          <w:lang w:val="sq-AL"/>
        </w:rPr>
        <w:t xml:space="preserve">KRYETARI </w:t>
      </w:r>
    </w:p>
    <w:p w:rsidR="00310368" w:rsidRPr="00CF6FDA" w:rsidRDefault="00310368" w:rsidP="00310368">
      <w:pPr>
        <w:pStyle w:val="AutoritetiEmer"/>
        <w:rPr>
          <w:lang w:val="sq-AL"/>
        </w:rPr>
      </w:pPr>
      <w:r w:rsidRPr="00CF6FDA">
        <w:rPr>
          <w:lang w:val="sq-AL"/>
        </w:rPr>
        <w:t>Petrit Ahmet</w:t>
      </w:r>
    </w:p>
    <w:p w:rsidR="00C038B6" w:rsidRDefault="00310368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68"/>
    <w:rsid w:val="002D1BDF"/>
    <w:rsid w:val="00310368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03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103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036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103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036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1036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1036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1036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1036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1036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1036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1036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1036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1036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103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1036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1036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1036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036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1036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1036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1036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1036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1036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1036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1036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1036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1036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2016-01-21T13:37:00Z</dcterms:created>
  <dcterms:modified xsi:type="dcterms:W3CDTF">2016-01-21T13:37:00Z</dcterms:modified>
</cp:coreProperties>
</file>