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454" w:rsidRPr="00E36F40" w:rsidRDefault="000A7454" w:rsidP="000A7454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0A7454" w:rsidRPr="00E36F40" w:rsidRDefault="000A7454" w:rsidP="000A7454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33, datë 9.3.2016</w:t>
      </w:r>
    </w:p>
    <w:bookmarkEnd w:id="0"/>
    <w:p w:rsidR="000A7454" w:rsidRPr="00EB7659" w:rsidRDefault="000A7454" w:rsidP="000A7454">
      <w:pPr>
        <w:pStyle w:val="Hapesira7"/>
        <w:rPr>
          <w:spacing w:val="-4"/>
          <w:sz w:val="12"/>
          <w:lang w:val="sq-AL"/>
        </w:rPr>
      </w:pPr>
    </w:p>
    <w:p w:rsidR="000A7454" w:rsidRPr="00E36F40" w:rsidRDefault="000A7454" w:rsidP="000A7454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PËR FILLIMIN E PROCEDURAVE PËR LICENCIMIN E SHOQËRISË “</w:t>
      </w:r>
      <w:proofErr w:type="spellStart"/>
      <w:r w:rsidRPr="00E36F40">
        <w:rPr>
          <w:spacing w:val="-4"/>
          <w:lang w:val="sq-AL"/>
        </w:rPr>
        <w:t>PHOENIX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PETROLEUM</w:t>
      </w:r>
      <w:proofErr w:type="spellEnd"/>
      <w:r w:rsidRPr="00E36F40">
        <w:rPr>
          <w:spacing w:val="-4"/>
          <w:lang w:val="sq-AL"/>
        </w:rPr>
        <w:t>” SHA NË AKTIVITETIN E TREGTIMIT TË GAZIT NATYROR</w:t>
      </w:r>
    </w:p>
    <w:p w:rsidR="000A7454" w:rsidRPr="00EB7659" w:rsidRDefault="000A7454" w:rsidP="000A7454">
      <w:pPr>
        <w:pStyle w:val="Hapesira7"/>
        <w:rPr>
          <w:spacing w:val="-4"/>
          <w:sz w:val="12"/>
          <w:lang w:val="sq-AL"/>
        </w:rPr>
      </w:pPr>
    </w:p>
    <w:p w:rsidR="000A7454" w:rsidRPr="00EB7659" w:rsidRDefault="000A7454" w:rsidP="000A7454">
      <w:pPr>
        <w:pStyle w:val="Paragrafi"/>
        <w:rPr>
          <w:lang w:val="sq-AL"/>
        </w:rPr>
      </w:pPr>
      <w:r w:rsidRPr="00EB7659">
        <w:rPr>
          <w:lang w:val="sq-AL"/>
        </w:rPr>
        <w:t>Në mbështetje të nenit 4, pikat 50, 105, 107; nenit 22, pika 2, germa “ç”; nenit 83, të ligjit nr. 102/2015, “Për sektorin e gazit natyror”; neneve 4, pika 1, germa “ç”; 8, 9, pika 1, germat “a”, “b”, “c”, “d”, “e”; pika 2, germa “e” dhe nenin 10, pika 1, të Rregullave dhe Procedurave për Licencimin, Ndryshimin, Transferimin e Pjesshëm ose të Plotë, Heqjen dhe Rinovimin e Licencave në sektorin e gazit natyror, Bordi i Entit Rregullator të Energjisë (ERE), në mbledhjen e tij të datës 9.3.2016, mbasi shqyrtoi aplikimin e paraqitur nga shoqëria “</w:t>
      </w:r>
      <w:proofErr w:type="spellStart"/>
      <w:r w:rsidRPr="00EB7659">
        <w:rPr>
          <w:lang w:val="sq-AL"/>
        </w:rPr>
        <w:t>Phoenix</w:t>
      </w:r>
      <w:proofErr w:type="spellEnd"/>
      <w:r w:rsidRPr="00EB7659">
        <w:rPr>
          <w:lang w:val="sq-AL"/>
        </w:rPr>
        <w:t xml:space="preserve"> </w:t>
      </w:r>
      <w:proofErr w:type="spellStart"/>
      <w:r w:rsidRPr="00EB7659">
        <w:rPr>
          <w:lang w:val="sq-AL"/>
        </w:rPr>
        <w:t>Petroleum</w:t>
      </w:r>
      <w:proofErr w:type="spellEnd"/>
      <w:r w:rsidRPr="00EB7659">
        <w:rPr>
          <w:lang w:val="sq-AL"/>
        </w:rPr>
        <w:t xml:space="preserve">” </w:t>
      </w:r>
      <w:proofErr w:type="spellStart"/>
      <w:r w:rsidRPr="00EB7659">
        <w:rPr>
          <w:lang w:val="sq-AL"/>
        </w:rPr>
        <w:t>sh.a</w:t>
      </w:r>
      <w:proofErr w:type="spellEnd"/>
      <w:r w:rsidRPr="00EB7659">
        <w:rPr>
          <w:lang w:val="sq-AL"/>
        </w:rPr>
        <w:t>., si dhe relacionin e Drejtorisë së Licencimit dhe Monitorimit të Tregut për licencimin në aktivitetin e tregtimit të energjisë elektrike të shoqërisë “</w:t>
      </w:r>
      <w:proofErr w:type="spellStart"/>
      <w:r w:rsidRPr="00EB7659">
        <w:rPr>
          <w:lang w:val="sq-AL"/>
        </w:rPr>
        <w:t>Phoenix</w:t>
      </w:r>
      <w:proofErr w:type="spellEnd"/>
      <w:r w:rsidRPr="00EB7659">
        <w:rPr>
          <w:lang w:val="sq-AL"/>
        </w:rPr>
        <w:t xml:space="preserve"> </w:t>
      </w:r>
      <w:proofErr w:type="spellStart"/>
      <w:r w:rsidRPr="00EB7659">
        <w:rPr>
          <w:lang w:val="sq-AL"/>
        </w:rPr>
        <w:t>Petroleum</w:t>
      </w:r>
      <w:proofErr w:type="spellEnd"/>
      <w:r w:rsidRPr="00EB7659">
        <w:rPr>
          <w:lang w:val="sq-AL"/>
        </w:rPr>
        <w:t xml:space="preserve">” </w:t>
      </w:r>
      <w:proofErr w:type="spellStart"/>
      <w:r w:rsidRPr="00EB7659">
        <w:rPr>
          <w:lang w:val="sq-AL"/>
        </w:rPr>
        <w:t>sh.a</w:t>
      </w:r>
      <w:proofErr w:type="spellEnd"/>
      <w:r w:rsidRPr="00EB7659">
        <w:rPr>
          <w:lang w:val="sq-AL"/>
        </w:rPr>
        <w:t>.,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 se: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Formati dhe dokumentacioni për aplikim (neni 9, pika 1, germat “a”, “b”, “c”) janë plotësuar në mënyre korrekte.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ligjor, administrativ dhe pronësor (neni 9, pika 1, germat “d”/“i”, “d”/“</w:t>
      </w:r>
      <w:proofErr w:type="spellStart"/>
      <w:r w:rsidRPr="00E36F40">
        <w:rPr>
          <w:spacing w:val="-4"/>
          <w:lang w:val="sq-AL"/>
        </w:rPr>
        <w:t>ii</w:t>
      </w:r>
      <w:proofErr w:type="spellEnd"/>
      <w:r w:rsidRPr="00E36F40">
        <w:rPr>
          <w:spacing w:val="-4"/>
          <w:lang w:val="sq-AL"/>
        </w:rPr>
        <w:t>”, “d”/“</w:t>
      </w:r>
      <w:proofErr w:type="spellStart"/>
      <w:r w:rsidRPr="00E36F40">
        <w:rPr>
          <w:spacing w:val="-4"/>
          <w:lang w:val="sq-AL"/>
        </w:rPr>
        <w:t>iv</w:t>
      </w:r>
      <w:proofErr w:type="spellEnd"/>
      <w:r w:rsidRPr="00E36F40">
        <w:rPr>
          <w:spacing w:val="-4"/>
          <w:lang w:val="sq-AL"/>
        </w:rPr>
        <w:t>”, “d”/“v”, “d”/“</w:t>
      </w:r>
      <w:proofErr w:type="spellStart"/>
      <w:r w:rsidRPr="00E36F40">
        <w:rPr>
          <w:spacing w:val="-4"/>
          <w:lang w:val="sq-AL"/>
        </w:rPr>
        <w:t>vi</w:t>
      </w:r>
      <w:proofErr w:type="spellEnd"/>
      <w:r w:rsidRPr="00E36F40">
        <w:rPr>
          <w:spacing w:val="-4"/>
          <w:lang w:val="sq-AL"/>
        </w:rPr>
        <w:t xml:space="preserve">”) është plotësuar në mënyre korrekte. 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dhe garancitë financiare dhe fiskale (neni 9, pika 1, germa “e”/“i”, “e”/“</w:t>
      </w:r>
      <w:proofErr w:type="spellStart"/>
      <w:r w:rsidRPr="00E36F40">
        <w:rPr>
          <w:spacing w:val="-4"/>
          <w:lang w:val="sq-AL"/>
        </w:rPr>
        <w:t>ii</w:t>
      </w:r>
      <w:proofErr w:type="spellEnd"/>
      <w:r w:rsidRPr="00E36F40">
        <w:rPr>
          <w:spacing w:val="-4"/>
          <w:lang w:val="sq-AL"/>
        </w:rPr>
        <w:t>”, “e”/ “</w:t>
      </w:r>
      <w:proofErr w:type="spellStart"/>
      <w:r w:rsidRPr="00E36F40">
        <w:rPr>
          <w:spacing w:val="-4"/>
          <w:lang w:val="sq-AL"/>
        </w:rPr>
        <w:t>iii</w:t>
      </w:r>
      <w:proofErr w:type="spellEnd"/>
      <w:r w:rsidRPr="00E36F40">
        <w:rPr>
          <w:spacing w:val="-4"/>
          <w:lang w:val="sq-AL"/>
        </w:rPr>
        <w:t>”, “e”/“v”, “e”/“</w:t>
      </w:r>
      <w:proofErr w:type="spellStart"/>
      <w:r w:rsidRPr="00E36F40">
        <w:rPr>
          <w:spacing w:val="-4"/>
          <w:lang w:val="sq-AL"/>
        </w:rPr>
        <w:t>vi</w:t>
      </w:r>
      <w:proofErr w:type="spellEnd"/>
      <w:r w:rsidRPr="00E36F40">
        <w:rPr>
          <w:spacing w:val="-4"/>
          <w:lang w:val="sq-AL"/>
        </w:rPr>
        <w:t>”) janë plotësuar në mënyrë korrekte.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Dokumentacioni specifik për llojin e licencës (neni 9, pika 2, germa “e”/“i”) është plotësuar në mënyrë korrekte.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Dokumentet specifike për llojin e licencës (neni 9, pika 2, germa “e”/“</w:t>
      </w:r>
      <w:proofErr w:type="spellStart"/>
      <w:r w:rsidRPr="00E36F40">
        <w:rPr>
          <w:spacing w:val="-4"/>
          <w:lang w:val="sq-AL"/>
        </w:rPr>
        <w:t>ii</w:t>
      </w:r>
      <w:proofErr w:type="spellEnd"/>
      <w:r w:rsidRPr="00E36F40">
        <w:rPr>
          <w:spacing w:val="-4"/>
          <w:lang w:val="sq-AL"/>
        </w:rPr>
        <w:t>”, “e”/“</w:t>
      </w:r>
      <w:proofErr w:type="spellStart"/>
      <w:r w:rsidRPr="00E36F40">
        <w:rPr>
          <w:spacing w:val="-4"/>
          <w:lang w:val="sq-AL"/>
        </w:rPr>
        <w:t>iii</w:t>
      </w:r>
      <w:proofErr w:type="spellEnd"/>
      <w:r w:rsidRPr="00E36F40">
        <w:rPr>
          <w:spacing w:val="-4"/>
          <w:lang w:val="sq-AL"/>
        </w:rPr>
        <w:t>”) janë plotësuar në mënyrë korrekte.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Për gjithë sa më sipër cituar, Bordi i ERE-s</w:t>
      </w:r>
    </w:p>
    <w:p w:rsidR="000A7454" w:rsidRPr="00EB7659" w:rsidRDefault="000A7454" w:rsidP="000A7454">
      <w:pPr>
        <w:pStyle w:val="Hapesira7"/>
        <w:rPr>
          <w:spacing w:val="-4"/>
          <w:sz w:val="12"/>
          <w:lang w:val="sq-AL"/>
        </w:rPr>
      </w:pPr>
    </w:p>
    <w:p w:rsidR="000A7454" w:rsidRPr="00E36F40" w:rsidRDefault="000A7454" w:rsidP="000A7454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0A7454" w:rsidRPr="00EB7659" w:rsidRDefault="000A7454" w:rsidP="000A7454">
      <w:pPr>
        <w:pStyle w:val="Hapesira7"/>
        <w:rPr>
          <w:spacing w:val="-4"/>
          <w:sz w:val="6"/>
          <w:lang w:val="sq-AL"/>
        </w:rPr>
      </w:pP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1. Të fillojë procedurat për licencimin e shoqërisë “</w:t>
      </w:r>
      <w:proofErr w:type="spellStart"/>
      <w:r w:rsidRPr="00E36F40">
        <w:rPr>
          <w:spacing w:val="-4"/>
          <w:lang w:val="sq-AL"/>
        </w:rPr>
        <w:t>Phoenix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Petroleum</w:t>
      </w:r>
      <w:proofErr w:type="spellEnd"/>
      <w:r w:rsidRPr="00E36F40">
        <w:rPr>
          <w:spacing w:val="-4"/>
          <w:lang w:val="sq-AL"/>
        </w:rPr>
        <w:t xml:space="preserve">”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në aktivitetin e tregtimit të gazit natyror.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e Licencimit, e Monitorimit të Tregut dhe të </w:t>
      </w:r>
      <w:proofErr w:type="spellStart"/>
      <w:r w:rsidRPr="00E36F40">
        <w:rPr>
          <w:spacing w:val="-4"/>
          <w:lang w:val="sq-AL"/>
        </w:rPr>
        <w:t>të</w:t>
      </w:r>
      <w:proofErr w:type="spellEnd"/>
      <w:r w:rsidRPr="00E36F40">
        <w:rPr>
          <w:spacing w:val="-4"/>
          <w:lang w:val="sq-AL"/>
        </w:rPr>
        <w:t xml:space="preserve"> Licencuarve të njoftojë </w:t>
      </w:r>
      <w:proofErr w:type="spellStart"/>
      <w:r w:rsidRPr="00E36F40">
        <w:rPr>
          <w:spacing w:val="-4"/>
          <w:lang w:val="sq-AL"/>
        </w:rPr>
        <w:t>aplikuesin</w:t>
      </w:r>
      <w:proofErr w:type="spellEnd"/>
      <w:r w:rsidRPr="00E36F40">
        <w:rPr>
          <w:spacing w:val="-4"/>
          <w:lang w:val="sq-AL"/>
        </w:rPr>
        <w:t xml:space="preserve"> për vendimin e Bordit të ERE-s. 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hyn në fuqi menjëherë. </w:t>
      </w:r>
    </w:p>
    <w:p w:rsidR="000A7454" w:rsidRPr="00E36F40" w:rsidRDefault="000A7454" w:rsidP="000A7454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botohet në Fletoren Zyrtare. </w:t>
      </w:r>
    </w:p>
    <w:p w:rsidR="000A7454" w:rsidRPr="00E36F40" w:rsidRDefault="000A7454" w:rsidP="000A7454">
      <w:pPr>
        <w:pStyle w:val="Hapesira7"/>
        <w:rPr>
          <w:spacing w:val="-4"/>
          <w:lang w:val="sq-AL"/>
        </w:rPr>
      </w:pPr>
    </w:p>
    <w:p w:rsidR="000A7454" w:rsidRPr="00E36F40" w:rsidRDefault="000A7454" w:rsidP="000A7454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0A7454" w:rsidRPr="00E36F40" w:rsidRDefault="000A7454" w:rsidP="000A7454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spacing w:val="-4"/>
          <w:lang w:val="sq-AL"/>
        </w:rPr>
        <w:t xml:space="preserve"> </w:t>
      </w: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54"/>
    <w:rsid w:val="000A7454"/>
    <w:rsid w:val="0011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74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745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74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74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745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745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74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A745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A745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745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745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A745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2016-03-24T14:24:00Z</dcterms:created>
  <dcterms:modified xsi:type="dcterms:W3CDTF">2016-03-24T14:24:00Z</dcterms:modified>
</cp:coreProperties>
</file>