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3E8" w:rsidRPr="00CA0597" w:rsidRDefault="004573E8" w:rsidP="004573E8">
      <w:pPr>
        <w:pStyle w:val="NeniTitull"/>
        <w:rPr>
          <w:spacing w:val="-4"/>
          <w:lang w:val="sq-AL"/>
        </w:rPr>
      </w:pPr>
      <w:r w:rsidRPr="00CA0597">
        <w:rPr>
          <w:spacing w:val="-4"/>
          <w:lang w:val="sq-AL"/>
        </w:rPr>
        <w:t xml:space="preserve">VENDIM </w:t>
      </w:r>
    </w:p>
    <w:p w:rsidR="004573E8" w:rsidRPr="00CA0597" w:rsidRDefault="004573E8" w:rsidP="004573E8">
      <w:pPr>
        <w:pStyle w:val="NeniTitull"/>
        <w:rPr>
          <w:spacing w:val="-4"/>
          <w:lang w:val="sq-AL"/>
        </w:rPr>
      </w:pPr>
      <w:bookmarkStart w:id="0" w:name="_GoBack"/>
      <w:r w:rsidRPr="00CA0597">
        <w:rPr>
          <w:spacing w:val="-4"/>
          <w:lang w:val="sq-AL"/>
        </w:rPr>
        <w:t>Nr. 80, datë 9.6.2016</w:t>
      </w:r>
    </w:p>
    <w:bookmarkEnd w:id="0"/>
    <w:p w:rsidR="004573E8" w:rsidRPr="00CA0597" w:rsidRDefault="004573E8" w:rsidP="004573E8">
      <w:pPr>
        <w:pStyle w:val="Hapesira7"/>
        <w:rPr>
          <w:lang w:val="sq-AL"/>
        </w:rPr>
      </w:pPr>
    </w:p>
    <w:p w:rsidR="004573E8" w:rsidRPr="00CA0597" w:rsidRDefault="004573E8" w:rsidP="004573E8">
      <w:pPr>
        <w:pStyle w:val="NeniTitull"/>
        <w:rPr>
          <w:spacing w:val="-4"/>
          <w:lang w:val="sq-AL"/>
        </w:rPr>
      </w:pPr>
      <w:r w:rsidRPr="00CA0597">
        <w:rPr>
          <w:spacing w:val="-4"/>
          <w:lang w:val="sq-AL"/>
        </w:rPr>
        <w:t>MBI LICENCIMIN E SHOQËRISË “DEVOLL HYDROPOWER” SHA NË AKTIVITETIN E PRODHIMIT TË ENERGJISË ELEKTRIKE NGA HEC “BANJ</w:t>
      </w:r>
      <w:r>
        <w:rPr>
          <w:spacing w:val="-4"/>
          <w:lang w:val="sq-AL"/>
        </w:rPr>
        <w:t>Ë</w:t>
      </w:r>
      <w:r w:rsidRPr="00CA0597">
        <w:rPr>
          <w:spacing w:val="-4"/>
          <w:lang w:val="sq-AL"/>
        </w:rPr>
        <w:t xml:space="preserve">”, ME FUQI TË INSTALUAR 73,000 kw DHE “MOGLICË”, ME FUQI TË INSTALUAR 182, 500 kw DHE FUQI TOTALE TË INSTALUAR 255,500 kw </w:t>
      </w:r>
    </w:p>
    <w:p w:rsidR="004573E8" w:rsidRPr="00CA0597" w:rsidRDefault="004573E8" w:rsidP="004573E8">
      <w:pPr>
        <w:pStyle w:val="Hapesira7"/>
        <w:rPr>
          <w:lang w:val="sq-AL"/>
        </w:rPr>
      </w:pPr>
    </w:p>
    <w:p w:rsidR="004573E8" w:rsidRPr="00CA0597" w:rsidRDefault="004573E8" w:rsidP="004573E8">
      <w:pPr>
        <w:pStyle w:val="Paragraf02"/>
        <w:rPr>
          <w:spacing w:val="-4"/>
          <w:lang w:val="sq-AL"/>
        </w:rPr>
      </w:pPr>
      <w:r w:rsidRPr="00CA0597">
        <w:rPr>
          <w:spacing w:val="-4"/>
          <w:lang w:val="sq-AL"/>
        </w:rPr>
        <w:t>Në mbështetje të neneve 16</w:t>
      </w:r>
      <w:r>
        <w:rPr>
          <w:spacing w:val="-4"/>
          <w:lang w:val="sq-AL"/>
        </w:rPr>
        <w:t>,</w:t>
      </w:r>
      <w:r w:rsidRPr="00CA0597">
        <w:rPr>
          <w:spacing w:val="-4"/>
          <w:lang w:val="sq-AL"/>
        </w:rPr>
        <w:t xml:space="preserve"> 37, pika 2, germa “a” dhe 110, të ligjit nr. 43/2015, “Për sektorin e energjisë elektrike”, neneve 4, pika 1, germa “a”; 5, pika 1, germa “a”; 13 të rregullores “Për procedurat e licencimit, modifikimit, transferimit të plotë/të pjesshëm dhe rinovimit të licencave”, të miratuar me vendimin e Bordit të ERE-s nr. 108, datë 9.9.2008, Bordi i Entit Rregullator të Energjisë (ERE), në mbledhjen e tij të datës 9.6.2016, mbasi shqyrtoi aplikimin e paraqitur nga shoqëria “Devoll Hydropower” sh.a., si dhe relacionin e Drejtorisë së Licencimit dhe</w:t>
      </w:r>
      <w:r>
        <w:rPr>
          <w:spacing w:val="-4"/>
          <w:lang w:val="sq-AL"/>
        </w:rPr>
        <w:t xml:space="preserve"> të</w:t>
      </w:r>
      <w:r w:rsidRPr="00CA0597">
        <w:rPr>
          <w:spacing w:val="-4"/>
          <w:lang w:val="sq-AL"/>
        </w:rPr>
        <w:t xml:space="preserve"> Monitorimit të Tregut për licencimin në aktivitetin e prodhimit të energjisë elektrike të kësaj shoqërie nga HEC “Banjë”, me fuqi të instaluar 73,000 kw dhe “Moglicë”, me fuqi të instaluar 182,500 kw, me fuqi totale të instaluar 255,500 kw, </w:t>
      </w:r>
    </w:p>
    <w:p w:rsidR="004573E8" w:rsidRPr="00CA0597" w:rsidRDefault="004573E8" w:rsidP="004573E8">
      <w:pPr>
        <w:pStyle w:val="Paragraf02"/>
        <w:rPr>
          <w:spacing w:val="-4"/>
          <w:lang w:val="sq-AL"/>
        </w:rPr>
      </w:pPr>
      <w:r w:rsidRPr="00CA0597">
        <w:rPr>
          <w:spacing w:val="-4"/>
          <w:lang w:val="sq-AL"/>
        </w:rPr>
        <w:t>konstatoi se:</w:t>
      </w:r>
    </w:p>
    <w:p w:rsidR="004573E8" w:rsidRPr="00CA0597" w:rsidRDefault="004573E8" w:rsidP="004573E8">
      <w:pPr>
        <w:pStyle w:val="Paragraf02"/>
        <w:rPr>
          <w:spacing w:val="-4"/>
          <w:lang w:val="sq-AL"/>
        </w:rPr>
      </w:pPr>
      <w:r w:rsidRPr="00CA0597">
        <w:rPr>
          <w:spacing w:val="-4"/>
          <w:lang w:val="sq-AL"/>
        </w:rPr>
        <w:t>Aplikimi i shoqërisë “Devoll Hydropower” sh.a., plotëson kërkesat e parashikuara nga ERE në rregulloren “Për procedurat e licencimit, modifi</w:t>
      </w:r>
      <w:r>
        <w:rPr>
          <w:spacing w:val="-4"/>
          <w:lang w:val="sq-AL"/>
        </w:rPr>
        <w:t>-</w:t>
      </w:r>
      <w:r w:rsidRPr="00CA0597">
        <w:rPr>
          <w:spacing w:val="-4"/>
          <w:lang w:val="sq-AL"/>
        </w:rPr>
        <w:t xml:space="preserve">kimit, transferimit të plotë/të pjesshëm dhe rinovimit të licencave”, si më poshtë: </w:t>
      </w:r>
    </w:p>
    <w:p w:rsidR="004573E8" w:rsidRPr="00CA0597" w:rsidRDefault="004573E8" w:rsidP="004573E8">
      <w:pPr>
        <w:pStyle w:val="Paragraf02"/>
        <w:rPr>
          <w:spacing w:val="-4"/>
          <w:lang w:val="sq-AL"/>
        </w:rPr>
      </w:pPr>
      <w:r w:rsidRPr="00CA0597">
        <w:rPr>
          <w:spacing w:val="-4"/>
          <w:lang w:val="sq-AL"/>
        </w:rPr>
        <w:t xml:space="preserve">- Formati i aplikimit (neni 9, pika 1) është plotësuar në mënyrë korrekte; </w:t>
      </w:r>
    </w:p>
    <w:p w:rsidR="004573E8" w:rsidRPr="00CA0597" w:rsidRDefault="004573E8" w:rsidP="004573E8">
      <w:pPr>
        <w:pStyle w:val="Paragraf02"/>
        <w:rPr>
          <w:spacing w:val="-4"/>
          <w:lang w:val="sq-AL"/>
        </w:rPr>
      </w:pPr>
      <w:r w:rsidRPr="00CA0597">
        <w:rPr>
          <w:spacing w:val="-4"/>
          <w:lang w:val="sq-AL"/>
        </w:rPr>
        <w:t xml:space="preserve">- </w:t>
      </w:r>
      <w:r>
        <w:rPr>
          <w:spacing w:val="-4"/>
          <w:lang w:val="sq-AL"/>
        </w:rPr>
        <w:t>Dokumentacioni</w:t>
      </w:r>
      <w:r w:rsidRPr="00CA0597">
        <w:rPr>
          <w:spacing w:val="-4"/>
          <w:lang w:val="sq-AL"/>
        </w:rPr>
        <w:t xml:space="preserve"> juridik, administrativ dhe pronësor (neni 9, pika 2) është plotësuar në mënyrë korrekte;</w:t>
      </w:r>
    </w:p>
    <w:p w:rsidR="004573E8" w:rsidRPr="00CA0597" w:rsidRDefault="004573E8" w:rsidP="004573E8">
      <w:pPr>
        <w:pStyle w:val="Paragraf02"/>
        <w:rPr>
          <w:spacing w:val="-4"/>
          <w:lang w:val="sq-AL"/>
        </w:rPr>
      </w:pPr>
      <w:r w:rsidRPr="00CA0597">
        <w:rPr>
          <w:spacing w:val="-4"/>
          <w:lang w:val="sq-AL"/>
        </w:rPr>
        <w:t>- Dokumentacioni financiar dhe fiskal (neni 9, pika 3, germat “a”, “b”, “c” dhe “d”) është plotësuar në mënyrë korrekte. Shoqëria është në proces apelimi të masës gjobë, të vendosur nga Drejtoria e Përgjithshme e Tatimeve;</w:t>
      </w:r>
    </w:p>
    <w:p w:rsidR="004573E8" w:rsidRPr="00CA0597" w:rsidRDefault="004573E8" w:rsidP="004573E8">
      <w:pPr>
        <w:pStyle w:val="Paragraf02"/>
        <w:rPr>
          <w:spacing w:val="-4"/>
          <w:lang w:val="sq-AL"/>
        </w:rPr>
      </w:pPr>
      <w:r w:rsidRPr="00CA0597">
        <w:rPr>
          <w:spacing w:val="-4"/>
          <w:lang w:val="sq-AL"/>
        </w:rPr>
        <w:t>- Dokumentacioni teknik-ekonomik (neni 9, pikat 4.1.1, 4.1.2, 4.1.3, 4.1.4 dhe 4.1.5) është plotësuar në mënyrë korrekte.</w:t>
      </w:r>
    </w:p>
    <w:p w:rsidR="004573E8" w:rsidRPr="00CA0597" w:rsidRDefault="004573E8" w:rsidP="004573E8">
      <w:pPr>
        <w:pStyle w:val="Paragraf02"/>
        <w:rPr>
          <w:spacing w:val="-4"/>
          <w:lang w:val="sq-AL"/>
        </w:rPr>
      </w:pPr>
      <w:r w:rsidRPr="00CA0597">
        <w:rPr>
          <w:spacing w:val="-4"/>
          <w:lang w:val="sq-AL"/>
        </w:rPr>
        <w:t>Për gjithë sa më sipër cituar, Bordi i ERE-s</w:t>
      </w:r>
    </w:p>
    <w:p w:rsidR="004573E8" w:rsidRPr="00CA0597" w:rsidRDefault="004573E8" w:rsidP="004573E8">
      <w:pPr>
        <w:pStyle w:val="NeniNr"/>
        <w:rPr>
          <w:spacing w:val="-4"/>
          <w:lang w:val="sq-AL"/>
        </w:rPr>
      </w:pPr>
      <w:r w:rsidRPr="00CA0597">
        <w:rPr>
          <w:spacing w:val="-4"/>
          <w:lang w:val="sq-AL"/>
        </w:rPr>
        <w:t>VENDOSI:</w:t>
      </w:r>
    </w:p>
    <w:p w:rsidR="004573E8" w:rsidRPr="00CA0597" w:rsidRDefault="004573E8" w:rsidP="004573E8">
      <w:pPr>
        <w:pStyle w:val="Hapesira7"/>
        <w:rPr>
          <w:lang w:val="sq-AL"/>
        </w:rPr>
      </w:pPr>
    </w:p>
    <w:p w:rsidR="004573E8" w:rsidRPr="00CA0597" w:rsidRDefault="004573E8" w:rsidP="004573E8">
      <w:pPr>
        <w:pStyle w:val="Paragraf02"/>
        <w:rPr>
          <w:spacing w:val="-4"/>
          <w:lang w:val="sq-AL"/>
        </w:rPr>
      </w:pPr>
      <w:r w:rsidRPr="00CA0597">
        <w:rPr>
          <w:spacing w:val="-4"/>
          <w:lang w:val="sq-AL"/>
        </w:rPr>
        <w:t xml:space="preserve">1. Të licencojë shoqërinë “Devoll Hydropower” sh.a., në aktivitetin e prodhimit të energjisë elektrike nga HEC “Banjë”, me fuqi të instaluar 73,000 kw dhe “Moglicë”, me fuqi të instaluar 182,500 kw dhe fuqi totale të instaluar 255,500 kw për një afat 30-vjeçar. </w:t>
      </w:r>
    </w:p>
    <w:p w:rsidR="004573E8" w:rsidRPr="00CA0597" w:rsidRDefault="004573E8" w:rsidP="004573E8">
      <w:pPr>
        <w:pStyle w:val="Paragraf02"/>
        <w:rPr>
          <w:spacing w:val="-4"/>
          <w:lang w:val="sq-AL"/>
        </w:rPr>
      </w:pPr>
      <w:r w:rsidRPr="00CA0597">
        <w:rPr>
          <w:spacing w:val="-4"/>
          <w:lang w:val="sq-AL"/>
        </w:rPr>
        <w:t>2. Drejtoria e Licencimit, Monitorimit të Tregut dhe të të Licencuarve të njoftojë aplikuesin për vendimin e Bordit të ERE-s. </w:t>
      </w:r>
    </w:p>
    <w:p w:rsidR="004573E8" w:rsidRPr="00CA0597" w:rsidRDefault="004573E8" w:rsidP="004573E8">
      <w:pPr>
        <w:pStyle w:val="Paragraf02"/>
        <w:rPr>
          <w:spacing w:val="-4"/>
          <w:lang w:val="sq-AL"/>
        </w:rPr>
      </w:pPr>
      <w:r w:rsidRPr="00CA0597">
        <w:rPr>
          <w:spacing w:val="-4"/>
          <w:lang w:val="sq-AL"/>
        </w:rPr>
        <w:t xml:space="preserve">Ky vendim hyn në fuqi menjëherë. </w:t>
      </w:r>
    </w:p>
    <w:p w:rsidR="004573E8" w:rsidRPr="00CA0597" w:rsidRDefault="004573E8" w:rsidP="004573E8">
      <w:pPr>
        <w:pStyle w:val="Paragraf02"/>
        <w:rPr>
          <w:spacing w:val="-4"/>
          <w:lang w:val="sq-AL"/>
        </w:rPr>
      </w:pPr>
      <w:r w:rsidRPr="00CA0597">
        <w:rPr>
          <w:spacing w:val="-4"/>
          <w:lang w:val="sq-AL"/>
        </w:rPr>
        <w:t xml:space="preserve">Ky vendim botohet në Fletoren Zyrtare. </w:t>
      </w:r>
    </w:p>
    <w:p w:rsidR="004573E8" w:rsidRPr="00CA0597" w:rsidRDefault="004573E8" w:rsidP="004573E8">
      <w:pPr>
        <w:pStyle w:val="Hapesira7"/>
        <w:rPr>
          <w:lang w:val="sq-AL"/>
        </w:rPr>
      </w:pPr>
    </w:p>
    <w:p w:rsidR="004573E8" w:rsidRPr="00CA0597" w:rsidRDefault="004573E8" w:rsidP="004573E8">
      <w:pPr>
        <w:pStyle w:val="Paragraf02"/>
        <w:jc w:val="right"/>
        <w:rPr>
          <w:spacing w:val="-4"/>
          <w:lang w:val="sq-AL"/>
        </w:rPr>
      </w:pPr>
      <w:r w:rsidRPr="00CA0597">
        <w:rPr>
          <w:spacing w:val="-4"/>
          <w:lang w:val="sq-AL"/>
        </w:rPr>
        <w:t>KRYETARI</w:t>
      </w:r>
    </w:p>
    <w:p w:rsidR="004573E8" w:rsidRPr="00CA0597" w:rsidRDefault="004573E8" w:rsidP="004573E8">
      <w:pPr>
        <w:pStyle w:val="Paragraf02"/>
        <w:jc w:val="right"/>
        <w:rPr>
          <w:b/>
          <w:spacing w:val="-4"/>
          <w:lang w:val="sq-AL"/>
        </w:rPr>
      </w:pPr>
      <w:r w:rsidRPr="00CA0597">
        <w:rPr>
          <w:b/>
          <w:spacing w:val="-4"/>
          <w:lang w:val="sq-AL"/>
        </w:rPr>
        <w:t>Petrit Ahmeti</w:t>
      </w:r>
    </w:p>
    <w:p w:rsidR="00F21305" w:rsidRDefault="00F21305"/>
    <w:sectPr w:rsidR="00F2130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3E8"/>
    <w:rsid w:val="004573E8"/>
    <w:rsid w:val="00F2130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4573E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573E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573E8"/>
    <w:rPr>
      <w:rFonts w:ascii="Garamond" w:eastAsia="MS Mincho" w:hAnsi="Garamond" w:cs="CG Times"/>
      <w:sz w:val="24"/>
      <w:lang w:val="en-GB"/>
    </w:rPr>
  </w:style>
  <w:style w:type="paragraph" w:customStyle="1" w:styleId="Hapesira7">
    <w:name w:val="Hapesira 7"/>
    <w:basedOn w:val="Normal"/>
    <w:qFormat/>
    <w:rsid w:val="004573E8"/>
    <w:pPr>
      <w:widowControl w:val="0"/>
      <w:spacing w:after="0" w:line="240" w:lineRule="auto"/>
      <w:ind w:firstLine="284"/>
      <w:jc w:val="both"/>
    </w:pPr>
    <w:rPr>
      <w:rFonts w:ascii="Garamond" w:eastAsia="MS Mincho" w:hAnsi="Garamond" w:cs="CG Times"/>
      <w:sz w:val="14"/>
      <w:szCs w:val="24"/>
      <w:lang w:val="en-US"/>
    </w:rPr>
  </w:style>
  <w:style w:type="paragraph" w:customStyle="1" w:styleId="Paragraf02">
    <w:name w:val="Paragraf 0.2"/>
    <w:basedOn w:val="Normal"/>
    <w:qFormat/>
    <w:rsid w:val="004573E8"/>
    <w:pPr>
      <w:widowControl w:val="0"/>
      <w:tabs>
        <w:tab w:val="left" w:pos="6575"/>
      </w:tabs>
      <w:spacing w:after="0" w:line="240" w:lineRule="auto"/>
      <w:ind w:firstLine="284"/>
      <w:jc w:val="both"/>
    </w:pPr>
    <w:rPr>
      <w:rFonts w:ascii="Garamond" w:eastAsia="MS Mincho" w:hAnsi="Garamond" w:cs="CG Times"/>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4573E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573E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573E8"/>
    <w:rPr>
      <w:rFonts w:ascii="Garamond" w:eastAsia="MS Mincho" w:hAnsi="Garamond" w:cs="CG Times"/>
      <w:sz w:val="24"/>
      <w:lang w:val="en-GB"/>
    </w:rPr>
  </w:style>
  <w:style w:type="paragraph" w:customStyle="1" w:styleId="Hapesira7">
    <w:name w:val="Hapesira 7"/>
    <w:basedOn w:val="Normal"/>
    <w:qFormat/>
    <w:rsid w:val="004573E8"/>
    <w:pPr>
      <w:widowControl w:val="0"/>
      <w:spacing w:after="0" w:line="240" w:lineRule="auto"/>
      <w:ind w:firstLine="284"/>
      <w:jc w:val="both"/>
    </w:pPr>
    <w:rPr>
      <w:rFonts w:ascii="Garamond" w:eastAsia="MS Mincho" w:hAnsi="Garamond" w:cs="CG Times"/>
      <w:sz w:val="14"/>
      <w:szCs w:val="24"/>
      <w:lang w:val="en-US"/>
    </w:rPr>
  </w:style>
  <w:style w:type="paragraph" w:customStyle="1" w:styleId="Paragraf02">
    <w:name w:val="Paragraf 0.2"/>
    <w:basedOn w:val="Normal"/>
    <w:qFormat/>
    <w:rsid w:val="004573E8"/>
    <w:pPr>
      <w:widowControl w:val="0"/>
      <w:tabs>
        <w:tab w:val="left" w:pos="6575"/>
      </w:tabs>
      <w:spacing w:after="0" w:line="240" w:lineRule="auto"/>
      <w:ind w:firstLine="284"/>
      <w:jc w:val="both"/>
    </w:pPr>
    <w:rPr>
      <w:rFonts w:ascii="Garamond" w:eastAsia="MS Mincho" w:hAnsi="Garamond" w:cs="CG Times"/>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2016-07-08T07:10:00Z</dcterms:created>
  <dcterms:modified xsi:type="dcterms:W3CDTF">2016-07-08T07:10:00Z</dcterms:modified>
</cp:coreProperties>
</file>