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908" w:rsidRPr="0032422E" w:rsidRDefault="00D30908" w:rsidP="00D30908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32422E">
        <w:rPr>
          <w:b/>
          <w:spacing w:val="-4"/>
          <w:szCs w:val="24"/>
          <w:lang w:val="sq-AL"/>
        </w:rPr>
        <w:t>VENDIM</w:t>
      </w:r>
    </w:p>
    <w:p w:rsidR="00D30908" w:rsidRPr="0032422E" w:rsidRDefault="00D30908" w:rsidP="00D30908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bookmarkStart w:id="0" w:name="_GoBack"/>
      <w:r w:rsidRPr="0032422E">
        <w:rPr>
          <w:b/>
          <w:spacing w:val="-4"/>
          <w:szCs w:val="24"/>
          <w:lang w:val="sq-AL"/>
        </w:rPr>
        <w:t>Nr. 111, datë 1.7.2016</w:t>
      </w:r>
    </w:p>
    <w:bookmarkEnd w:id="0"/>
    <w:p w:rsidR="00D30908" w:rsidRPr="0032422E" w:rsidRDefault="00D30908" w:rsidP="00D30908">
      <w:pPr>
        <w:pStyle w:val="Hapesira7"/>
        <w:rPr>
          <w:lang w:val="sq-AL"/>
        </w:rPr>
      </w:pPr>
    </w:p>
    <w:p w:rsidR="00D30908" w:rsidRDefault="00D30908" w:rsidP="00D30908">
      <w:pPr>
        <w:pStyle w:val="Paragrafi"/>
        <w:tabs>
          <w:tab w:val="left" w:pos="540"/>
        </w:tabs>
        <w:jc w:val="center"/>
        <w:rPr>
          <w:rFonts w:cs="Tahoma"/>
          <w:b/>
          <w:spacing w:val="-4"/>
          <w:szCs w:val="24"/>
          <w:lang w:val="sq-AL"/>
        </w:rPr>
      </w:pPr>
      <w:r w:rsidRPr="0032422E">
        <w:rPr>
          <w:rFonts w:cs="Tahoma"/>
          <w:b/>
          <w:spacing w:val="-4"/>
          <w:szCs w:val="24"/>
          <w:lang w:val="sq-AL"/>
        </w:rPr>
        <w:t xml:space="preserve">MBI LËNIEN NË FUQI TË VENDIMEVE NR. 139, NR. 141, NR. 145, NR. 146, NR. 147, NR. 148, DATË 26.12.2014, TË BORDIT TË KOMISIONERËVE TË ERE-s, PËR PERIUDHËN 1 KORRIK </w:t>
      </w:r>
    </w:p>
    <w:p w:rsidR="00D30908" w:rsidRPr="0032422E" w:rsidRDefault="00D30908" w:rsidP="00D30908">
      <w:pPr>
        <w:pStyle w:val="Paragrafi"/>
        <w:tabs>
          <w:tab w:val="left" w:pos="540"/>
        </w:tabs>
        <w:jc w:val="center"/>
        <w:rPr>
          <w:rFonts w:cs="Tahoma"/>
          <w:b/>
          <w:spacing w:val="-4"/>
          <w:szCs w:val="24"/>
          <w:lang w:val="sq-AL"/>
        </w:rPr>
      </w:pPr>
      <w:r w:rsidRPr="0032422E">
        <w:rPr>
          <w:rFonts w:cs="Tahoma"/>
          <w:b/>
          <w:spacing w:val="-4"/>
          <w:szCs w:val="24"/>
          <w:lang w:val="sq-AL"/>
        </w:rPr>
        <w:t>2016–31 DHJETOR 2016</w:t>
      </w:r>
    </w:p>
    <w:p w:rsidR="00D30908" w:rsidRPr="0032422E" w:rsidRDefault="00D30908" w:rsidP="00D30908">
      <w:pPr>
        <w:pStyle w:val="Hapesira7"/>
        <w:rPr>
          <w:lang w:val="sq-AL"/>
        </w:rPr>
      </w:pP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32422E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neneve 10, pika 2; 16; 20, germa “c” dhe 109, pika 5, të ligjit nr. 43/2015, “Për sektorin e energjisë elektrike”, VKM-së </w:t>
      </w:r>
      <w:r w:rsidRPr="0032422E">
        <w:rPr>
          <w:rFonts w:ascii="Garamond" w:hAnsi="Garamond" w:cs="Garamond"/>
          <w:spacing w:val="-4"/>
          <w:sz w:val="24"/>
          <w:szCs w:val="24"/>
          <w:lang w:val="sq-AL"/>
        </w:rPr>
        <w:t>nr. 244, “</w:t>
      </w:r>
      <w:r w:rsidRPr="0032422E">
        <w:rPr>
          <w:rFonts w:ascii="Garamond" w:hAnsi="Garamond"/>
          <w:color w:val="000000"/>
          <w:spacing w:val="-4"/>
          <w:sz w:val="24"/>
          <w:szCs w:val="24"/>
          <w:lang w:val="sq-AL"/>
        </w:rPr>
        <w:t>Për miratimin e kushteve për vendosjen e detyrimit të shërbimit publik, që do të zbatohen ndaj të licencuarve në sektorin e energjisë elektrike, të cilët ushtrojnë aktivitetin e prodhimit, trans</w:t>
      </w: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>-</w:t>
      </w:r>
      <w:r w:rsidRPr="0032422E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metimit, shpërndarjes dhe furnizimit me energji elektrike” dhe </w:t>
      </w:r>
      <w:r w:rsidRPr="0032422E">
        <w:rPr>
          <w:rFonts w:ascii="Garamond" w:hAnsi="Garamond"/>
          <w:spacing w:val="-4"/>
          <w:sz w:val="24"/>
          <w:szCs w:val="24"/>
          <w:lang w:val="sq-AL"/>
        </w:rPr>
        <w:t>nenit 22 të “Rregullave të praktikës dhe procedurave të ERE-s”, miratuar me vendimin e Bordit të Komisionerëve të ERE-s nr. 96, datë 17.6.2016, të ndryshuar, Bordi i Entit Rregullator të Energjisë (ERE), në mbledhjen e tij të da</w:t>
      </w:r>
      <w:r>
        <w:rPr>
          <w:rFonts w:ascii="Garamond" w:hAnsi="Garamond"/>
          <w:spacing w:val="-4"/>
          <w:sz w:val="24"/>
          <w:szCs w:val="24"/>
          <w:lang w:val="sq-AL"/>
        </w:rPr>
        <w:t>tës 1.7.2016, pasi shqyrtoi</w:t>
      </w:r>
      <w:r w:rsidRPr="0032422E">
        <w:rPr>
          <w:rFonts w:ascii="Garamond" w:hAnsi="Garamond"/>
          <w:spacing w:val="-4"/>
          <w:sz w:val="24"/>
          <w:szCs w:val="24"/>
          <w:lang w:val="sq-AL"/>
        </w:rPr>
        <w:t xml:space="preserve"> relacionin e drejtorive teknike,</w:t>
      </w: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32422E">
        <w:rPr>
          <w:rFonts w:ascii="Garamond" w:hAnsi="Garamond"/>
          <w:spacing w:val="-4"/>
          <w:sz w:val="24"/>
          <w:szCs w:val="24"/>
          <w:lang w:val="sq-AL"/>
        </w:rPr>
        <w:t xml:space="preserve">konstatoi se: </w:t>
      </w: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>- Problematika e marrëdhënieve të ndërsjella, që ishte një nga shkaqet kryesore të mosaxhustimit të të ardhurave që i përkasin periudhës 2012–2014, si dhe vendimit nr. 156, datë 24.12.2015, vazhdon të ekzistojë.</w:t>
      </w: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>- Asnjë nga kompanitë nuk ka paraqitur axhustime të periudhave të mëparshme të vitit 2015, si dhe 6-mujorit të parë të vitit aktual.</w:t>
      </w: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>- Aplikimi i OSHEE-së dhe OST-së konsiston në llogaritje të të ardhurave të kërkuara për periudhën njëvjeçare.</w:t>
      </w: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- Mungesa e mbajtjes së llogarive të ndara për aktivitetin e shpërndarjes dhe të furnizimit apo dhe alokimi i kostove reale në </w:t>
      </w:r>
      <w:r w:rsidRPr="009A6256">
        <w:rPr>
          <w:rFonts w:ascii="Garamond" w:hAnsi="Garamond" w:cs="Arial"/>
          <w:bCs/>
          <w:spacing w:val="-4"/>
          <w:sz w:val="24"/>
          <w:szCs w:val="24"/>
          <w:lang w:val="sq-AL"/>
        </w:rPr>
        <w:t>nivelin tensioni</w:t>
      </w: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>, si pasojë e vështirësive që paraqet mbajtja e llogarive në kompani.</w:t>
      </w: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- Aktiviteti i furnizimit universal (furnizim me pakicë) tashmë duhet të reflektojë dhe kostot e aktivitetit të transferuar nga FPSH-ja nga data 1 korrik 2016. Në lidhje me këtë transferim nuk disponojmë asnjë dokument apo vendim të pronarit për mënyrën e transferimit të aktivitetit, duke përfshirë dhe kostot përkatëse. </w:t>
      </w: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- Në lidhje me përcaktimin e të ardhurave të kërkuara të aktivitetit të gjenerimit duhet të bëhet në përputhje me metodologjinë përkatëse, në respekt të ligjit </w:t>
      </w:r>
      <w:r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nr. </w:t>
      </w: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43/2015 dhe </w:t>
      </w:r>
      <w:r w:rsidRPr="0032422E">
        <w:rPr>
          <w:rFonts w:ascii="Garamond" w:hAnsi="Garamond"/>
          <w:spacing w:val="-4"/>
          <w:sz w:val="24"/>
          <w:szCs w:val="24"/>
          <w:lang w:val="sq-AL"/>
        </w:rPr>
        <w:t xml:space="preserve">VKM-së </w:t>
      </w:r>
      <w:r w:rsidRPr="0032422E">
        <w:rPr>
          <w:rFonts w:ascii="Garamond" w:hAnsi="Garamond" w:cs="Garamond"/>
          <w:spacing w:val="-4"/>
          <w:sz w:val="24"/>
          <w:szCs w:val="24"/>
          <w:lang w:val="sq-AL"/>
        </w:rPr>
        <w:t>nr. 244, “</w:t>
      </w:r>
      <w:r w:rsidRPr="0032422E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Për miratimin e kushteve për vendosjen e detyrimit të shërbimit publik, që do të zbatohen ndaj të licencuarve në sektorin e energjisë elektrike, të cilët ushtrojnë aktivitetin e prodhimit, transmetimit, shpërndarjes dhe furnizimit me energji elektrike”. </w:t>
      </w: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>Siç vërehet nga aplikimi i KESH sh.a. të ardhurat e kërkuara për aktivitetin e prodhimit publik, përfshijnë dhe elemente të të ardhurave të përcaktuara në metodologjinë e FPSH-së.</w:t>
      </w: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>- Metodologjitë e reja në përputhje me modelin e përkohshëm të tregut janë akoma në proces rishikimi në bashkëpunim me konsulencën e USAID-i dhe konsultimi me Sekretariatin e Vjenës.</w:t>
      </w: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32422E">
        <w:rPr>
          <w:rFonts w:ascii="Garamond" w:hAnsi="Garamond" w:cs="Arial"/>
          <w:bCs/>
          <w:spacing w:val="-4"/>
          <w:sz w:val="24"/>
          <w:szCs w:val="24"/>
          <w:lang w:val="sq-AL"/>
        </w:rPr>
        <w:t>- Një situatë financiare e përmirësuar e të tria kompanive, si dhe në likuiditetet përgjatë 6-mujorit të parë të vitit 2016.</w:t>
      </w:r>
    </w:p>
    <w:p w:rsidR="00D30908" w:rsidRPr="0032422E" w:rsidRDefault="00D30908" w:rsidP="00D30908">
      <w:pPr>
        <w:widowControl w:val="0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32422E">
        <w:rPr>
          <w:rFonts w:ascii="Garamond" w:hAnsi="Garamond"/>
          <w:spacing w:val="-4"/>
          <w:sz w:val="24"/>
          <w:szCs w:val="24"/>
          <w:lang w:val="sq-AL"/>
        </w:rPr>
        <w:t xml:space="preserve">- Mbështetur në nenin 10, pika 2, të ligjit 43/2015, “Për sektorin e energjisë elektrike”, ERE bashkëpunon me ministrinë përgjegjëse për energjinë dhe kjo e fundit në seancën zyrtare publike është shprehur pro shtrirjes së efektit të tarifave dhe çmimeve aktuale të energjisë elektrike edhe për 6-mujorin e dytë të vitit 2016. </w:t>
      </w:r>
    </w:p>
    <w:p w:rsidR="00D30908" w:rsidRPr="0032422E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t>Për gjithë sa më sipër cituar, Bordi i ERE-s</w:t>
      </w:r>
    </w:p>
    <w:p w:rsidR="00D30908" w:rsidRPr="0032422E" w:rsidRDefault="00D30908" w:rsidP="00D30908">
      <w:pPr>
        <w:pStyle w:val="Hapesira7"/>
        <w:rPr>
          <w:lang w:val="sq-AL"/>
        </w:rPr>
      </w:pPr>
    </w:p>
    <w:p w:rsidR="00D30908" w:rsidRPr="0032422E" w:rsidRDefault="00D30908" w:rsidP="00D30908">
      <w:pPr>
        <w:pStyle w:val="Paragrafi"/>
        <w:tabs>
          <w:tab w:val="left" w:pos="540"/>
        </w:tabs>
        <w:jc w:val="center"/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t>VENDOSI:</w:t>
      </w:r>
    </w:p>
    <w:p w:rsidR="00D30908" w:rsidRPr="0032422E" w:rsidRDefault="00D30908" w:rsidP="00D30908">
      <w:pPr>
        <w:pStyle w:val="Hapesira7"/>
        <w:rPr>
          <w:lang w:val="sq-AL"/>
        </w:rPr>
      </w:pPr>
    </w:p>
    <w:p w:rsidR="00D30908" w:rsidRPr="0032422E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t>1. Të lërë në fuqi deri për periudhën 1 korrik 2016 deri më 31 dhjetor 2016, tarifat dhe çmimet e energjisë elektrike</w:t>
      </w:r>
      <w:r>
        <w:rPr>
          <w:spacing w:val="-4"/>
          <w:szCs w:val="24"/>
          <w:lang w:val="sq-AL"/>
        </w:rPr>
        <w:t>,</w:t>
      </w:r>
      <w:r w:rsidRPr="0032422E">
        <w:rPr>
          <w:spacing w:val="-4"/>
          <w:szCs w:val="24"/>
          <w:lang w:val="sq-AL"/>
        </w:rPr>
        <w:t xml:space="preserve"> të miratuara përkatësisht me vendimet si më poshtë:</w:t>
      </w:r>
    </w:p>
    <w:p w:rsidR="00D30908" w:rsidRPr="0032422E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t>- Vendimin nr. 139, datë 26.12.2014, “Për përcaktimin e tarifës së prodhimit të energjisë elektrike nga KESH sh.a. për vitin 2015”.</w:t>
      </w:r>
    </w:p>
    <w:p w:rsidR="00D30908" w:rsidRPr="0032422E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lastRenderedPageBreak/>
        <w:t>- Vendimin nr. 141, datë 26.12.2014, “Për përcaktimin e tarifës për shërbimet ndihmëse të KESH sh.a. për vitin 2015”.</w:t>
      </w:r>
    </w:p>
    <w:p w:rsidR="00D30908" w:rsidRPr="0032422E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t xml:space="preserve">- Vendimin nr. 145, datë 26.12.2014, “Për përcaktimin e tarifës së transmetimit të energjisë elektrike nga OST sh.a. për vitin 2015”. </w:t>
      </w:r>
    </w:p>
    <w:p w:rsidR="00D30908" w:rsidRPr="0032422E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t>- Vendimin nr. 146, datë 26.12.2014, “Për përcaktimin e tarifës së shërbimit të shpërndarjes së energjisë elektrike për vitin 2015 në nivelin e tensionit 35 kv”.</w:t>
      </w:r>
    </w:p>
    <w:p w:rsidR="00D30908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t>- Vendimi nr. 147, datë 26.12.2014, “Për përcaktimin e tarifës mesatare të shërbimit të shpërndarjes së energjisë elektrike për vitin 2015”.</w:t>
      </w:r>
    </w:p>
    <w:p w:rsidR="00D30908" w:rsidRPr="0032422E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t xml:space="preserve"> </w:t>
      </w:r>
    </w:p>
    <w:p w:rsidR="00D30908" w:rsidRPr="00E51900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t xml:space="preserve">- Vendimi nr. 148, datë 26.12.2014, “Për përcaktimin e çmimeve të shitjes me pakicë të </w:t>
      </w:r>
      <w:r w:rsidRPr="00E51900">
        <w:rPr>
          <w:spacing w:val="-4"/>
          <w:szCs w:val="24"/>
          <w:lang w:val="sq-AL"/>
        </w:rPr>
        <w:t>energjisë elektrike për konsumatorët tariforë për vitin 2015”.</w:t>
      </w:r>
    </w:p>
    <w:p w:rsidR="00D30908" w:rsidRPr="00E51900" w:rsidRDefault="00D30908" w:rsidP="00D30908">
      <w:pPr>
        <w:pStyle w:val="Paragrafi"/>
        <w:rPr>
          <w:spacing w:val="-4"/>
        </w:rPr>
      </w:pPr>
      <w:r w:rsidRPr="00E51900">
        <w:rPr>
          <w:spacing w:val="-4"/>
        </w:rPr>
        <w:t xml:space="preserve">2. OSHEE </w:t>
      </w:r>
      <w:proofErr w:type="spellStart"/>
      <w:r w:rsidRPr="00E51900">
        <w:rPr>
          <w:spacing w:val="-4"/>
        </w:rPr>
        <w:t>sh.a</w:t>
      </w:r>
      <w:proofErr w:type="spellEnd"/>
      <w:r>
        <w:rPr>
          <w:spacing w:val="-4"/>
        </w:rPr>
        <w:t>.</w:t>
      </w:r>
      <w:r w:rsidRPr="00E51900">
        <w:rPr>
          <w:spacing w:val="-4"/>
        </w:rPr>
        <w:t xml:space="preserve"> </w:t>
      </w:r>
      <w:proofErr w:type="spellStart"/>
      <w:proofErr w:type="gramStart"/>
      <w:r w:rsidRPr="00E51900">
        <w:rPr>
          <w:spacing w:val="-4"/>
        </w:rPr>
        <w:t>për</w:t>
      </w:r>
      <w:proofErr w:type="spellEnd"/>
      <w:proofErr w:type="gram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periu</w:t>
      </w:r>
      <w:r>
        <w:rPr>
          <w:spacing w:val="-4"/>
        </w:rPr>
        <w:t>dhën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mbetur</w:t>
      </w:r>
      <w:proofErr w:type="spellEnd"/>
      <w:r>
        <w:rPr>
          <w:spacing w:val="-4"/>
        </w:rPr>
        <w:t xml:space="preserve"> 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vitit</w:t>
      </w:r>
      <w:proofErr w:type="spellEnd"/>
      <w:r>
        <w:rPr>
          <w:spacing w:val="-4"/>
        </w:rPr>
        <w:t xml:space="preserve"> 2016, </w:t>
      </w:r>
      <w:proofErr w:type="spellStart"/>
      <w:r>
        <w:rPr>
          <w:spacing w:val="-4"/>
        </w:rPr>
        <w:t>përveç</w:t>
      </w:r>
      <w:proofErr w:type="spellEnd"/>
      <w:r>
        <w:rPr>
          <w:spacing w:val="-4"/>
        </w:rPr>
        <w:t xml:space="preserve"> </w:t>
      </w:r>
      <w:proofErr w:type="spellStart"/>
      <w:r w:rsidRPr="00E51900">
        <w:rPr>
          <w:spacing w:val="-4"/>
        </w:rPr>
        <w:t>shlyerjes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së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detyrimeve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kor</w:t>
      </w:r>
      <w:r>
        <w:rPr>
          <w:spacing w:val="-4"/>
        </w:rPr>
        <w:t>r</w:t>
      </w:r>
      <w:r w:rsidRPr="00E51900">
        <w:rPr>
          <w:spacing w:val="-4"/>
        </w:rPr>
        <w:t>ente</w:t>
      </w:r>
      <w:proofErr w:type="spellEnd"/>
      <w:r w:rsidRPr="00E51900">
        <w:rPr>
          <w:spacing w:val="-4"/>
        </w:rPr>
        <w:t xml:space="preserve">, </w:t>
      </w:r>
      <w:proofErr w:type="spellStart"/>
      <w:r w:rsidRPr="00E51900">
        <w:rPr>
          <w:spacing w:val="-4"/>
        </w:rPr>
        <w:t>të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kryejë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edhe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pagesat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ndaj</w:t>
      </w:r>
      <w:proofErr w:type="spellEnd"/>
      <w:r w:rsidRPr="00E51900">
        <w:rPr>
          <w:spacing w:val="-4"/>
        </w:rPr>
        <w:t xml:space="preserve"> KESH </w:t>
      </w:r>
      <w:proofErr w:type="spellStart"/>
      <w:r w:rsidRPr="00E51900">
        <w:rPr>
          <w:spacing w:val="-4"/>
        </w:rPr>
        <w:t>sh.a</w:t>
      </w:r>
      <w:proofErr w:type="spellEnd"/>
      <w:r>
        <w:rPr>
          <w:spacing w:val="-4"/>
        </w:rPr>
        <w:t>.</w:t>
      </w:r>
      <w:r w:rsidRPr="00E51900">
        <w:rPr>
          <w:spacing w:val="-4"/>
        </w:rPr>
        <w:t xml:space="preserve"> </w:t>
      </w:r>
      <w:proofErr w:type="spellStart"/>
      <w:proofErr w:type="gramStart"/>
      <w:r w:rsidRPr="00E51900">
        <w:rPr>
          <w:spacing w:val="-4"/>
        </w:rPr>
        <w:t>dhe</w:t>
      </w:r>
      <w:proofErr w:type="spellEnd"/>
      <w:proofErr w:type="gramEnd"/>
      <w:r w:rsidRPr="00E51900">
        <w:rPr>
          <w:spacing w:val="-4"/>
        </w:rPr>
        <w:t xml:space="preserve"> OST </w:t>
      </w:r>
      <w:proofErr w:type="spellStart"/>
      <w:r w:rsidRPr="00E51900">
        <w:rPr>
          <w:spacing w:val="-4"/>
        </w:rPr>
        <w:t>sh.a</w:t>
      </w:r>
      <w:proofErr w:type="spellEnd"/>
      <w:r>
        <w:rPr>
          <w:spacing w:val="-4"/>
        </w:rPr>
        <w:t>.</w:t>
      </w:r>
      <w:r w:rsidRPr="00E51900">
        <w:rPr>
          <w:spacing w:val="-4"/>
        </w:rPr>
        <w:t xml:space="preserve">  </w:t>
      </w:r>
      <w:proofErr w:type="spellStart"/>
      <w:proofErr w:type="gramStart"/>
      <w:r w:rsidRPr="00E51900">
        <w:rPr>
          <w:spacing w:val="-4"/>
        </w:rPr>
        <w:t>nga</w:t>
      </w:r>
      <w:proofErr w:type="spellEnd"/>
      <w:r w:rsidRPr="00E51900">
        <w:rPr>
          <w:spacing w:val="-4"/>
        </w:rPr>
        <w:t xml:space="preserve">  </w:t>
      </w:r>
      <w:proofErr w:type="spellStart"/>
      <w:r w:rsidRPr="00E51900">
        <w:rPr>
          <w:spacing w:val="-4"/>
        </w:rPr>
        <w:t>detyrimet</w:t>
      </w:r>
      <w:proofErr w:type="spellEnd"/>
      <w:proofErr w:type="gramEnd"/>
      <w:r w:rsidRPr="00E51900">
        <w:rPr>
          <w:spacing w:val="-4"/>
        </w:rPr>
        <w:t xml:space="preserve"> e </w:t>
      </w:r>
      <w:proofErr w:type="spellStart"/>
      <w:r w:rsidRPr="00E51900">
        <w:rPr>
          <w:spacing w:val="-4"/>
        </w:rPr>
        <w:t>prapambetura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për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qëllime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të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pagesave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të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kredive</w:t>
      </w:r>
      <w:proofErr w:type="spellEnd"/>
      <w:r w:rsidRPr="00E51900">
        <w:rPr>
          <w:spacing w:val="-4"/>
        </w:rPr>
        <w:t xml:space="preserve"> </w:t>
      </w:r>
      <w:proofErr w:type="spellStart"/>
      <w:r w:rsidRPr="00E51900">
        <w:rPr>
          <w:spacing w:val="-4"/>
        </w:rPr>
        <w:t>nga</w:t>
      </w:r>
      <w:proofErr w:type="spellEnd"/>
      <w:r w:rsidRPr="00E51900">
        <w:rPr>
          <w:spacing w:val="-4"/>
        </w:rPr>
        <w:t xml:space="preserve"> OST  </w:t>
      </w:r>
      <w:proofErr w:type="spellStart"/>
      <w:r w:rsidRPr="00E51900">
        <w:rPr>
          <w:spacing w:val="-4"/>
        </w:rPr>
        <w:t>sh.a</w:t>
      </w:r>
      <w:proofErr w:type="spellEnd"/>
      <w:r>
        <w:rPr>
          <w:spacing w:val="-4"/>
        </w:rPr>
        <w:t>.</w:t>
      </w:r>
      <w:r w:rsidRPr="00E51900">
        <w:rPr>
          <w:spacing w:val="-4"/>
        </w:rPr>
        <w:t xml:space="preserve"> </w:t>
      </w:r>
      <w:proofErr w:type="spellStart"/>
      <w:proofErr w:type="gramStart"/>
      <w:r w:rsidRPr="00E51900">
        <w:rPr>
          <w:spacing w:val="-4"/>
        </w:rPr>
        <w:t>dhe</w:t>
      </w:r>
      <w:proofErr w:type="spellEnd"/>
      <w:proofErr w:type="gramEnd"/>
      <w:r w:rsidRPr="00E51900">
        <w:rPr>
          <w:spacing w:val="-4"/>
        </w:rPr>
        <w:t xml:space="preserve"> KESH </w:t>
      </w:r>
      <w:proofErr w:type="spellStart"/>
      <w:r w:rsidRPr="00E51900">
        <w:rPr>
          <w:spacing w:val="-4"/>
        </w:rPr>
        <w:t>sh.a</w:t>
      </w:r>
      <w:proofErr w:type="spellEnd"/>
      <w:r w:rsidRPr="00E51900">
        <w:rPr>
          <w:spacing w:val="-4"/>
        </w:rPr>
        <w:t xml:space="preserve">. </w:t>
      </w:r>
    </w:p>
    <w:p w:rsidR="00D30908" w:rsidRPr="00E51900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E51900">
        <w:rPr>
          <w:spacing w:val="-4"/>
          <w:szCs w:val="24"/>
          <w:lang w:val="sq-AL"/>
        </w:rPr>
        <w:t xml:space="preserve">3. Përditësimi dhe kompensimi i të gjitha efekteve të mundshme financiare për të licencuarit për periudhën 2015 dhe vitin 2016 do të bëhet në periudhën pasardhëse. </w:t>
      </w:r>
    </w:p>
    <w:p w:rsidR="00D30908" w:rsidRPr="00E51900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E51900">
        <w:rPr>
          <w:spacing w:val="-4"/>
          <w:szCs w:val="24"/>
          <w:lang w:val="sq-AL"/>
        </w:rPr>
        <w:t>4. Drejtoria e Tarifave dhe e Çmimeve të njoftojë të interesuarit për vendimmarrjen e Bordit të ERE-s.</w:t>
      </w:r>
    </w:p>
    <w:p w:rsidR="00D30908" w:rsidRPr="00E51900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E51900">
        <w:rPr>
          <w:spacing w:val="-4"/>
          <w:szCs w:val="24"/>
          <w:lang w:val="sq-AL"/>
        </w:rPr>
        <w:t xml:space="preserve">Ky vendim hyn në fuqi menjëherë. </w:t>
      </w:r>
    </w:p>
    <w:p w:rsidR="00D30908" w:rsidRPr="00E51900" w:rsidRDefault="00D30908" w:rsidP="00D30908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E51900">
        <w:rPr>
          <w:spacing w:val="-4"/>
          <w:szCs w:val="24"/>
          <w:lang w:val="sq-AL"/>
        </w:rPr>
        <w:t xml:space="preserve">Ky vendim botohet në Fletoren Zyrtare. </w:t>
      </w:r>
    </w:p>
    <w:p w:rsidR="00D30908" w:rsidRPr="0032422E" w:rsidRDefault="00D30908" w:rsidP="00D30908">
      <w:pPr>
        <w:pStyle w:val="Paragrafi"/>
        <w:tabs>
          <w:tab w:val="left" w:pos="540"/>
        </w:tabs>
        <w:rPr>
          <w:spacing w:val="-4"/>
          <w:sz w:val="14"/>
          <w:szCs w:val="14"/>
          <w:lang w:val="sq-AL"/>
        </w:rPr>
      </w:pPr>
    </w:p>
    <w:p w:rsidR="00D30908" w:rsidRPr="0032422E" w:rsidRDefault="00D30908" w:rsidP="00D30908">
      <w:pPr>
        <w:pStyle w:val="Paragrafi"/>
        <w:tabs>
          <w:tab w:val="left" w:pos="540"/>
        </w:tabs>
        <w:jc w:val="right"/>
        <w:rPr>
          <w:spacing w:val="-4"/>
          <w:szCs w:val="24"/>
          <w:lang w:val="sq-AL"/>
        </w:rPr>
      </w:pPr>
      <w:r w:rsidRPr="0032422E">
        <w:rPr>
          <w:spacing w:val="-4"/>
          <w:szCs w:val="24"/>
          <w:lang w:val="sq-AL"/>
        </w:rPr>
        <w:t xml:space="preserve">KRYETARI </w:t>
      </w:r>
    </w:p>
    <w:p w:rsidR="00D30908" w:rsidRPr="0032422E" w:rsidRDefault="00D30908" w:rsidP="00D30908">
      <w:pPr>
        <w:pStyle w:val="Paragrafi"/>
        <w:tabs>
          <w:tab w:val="left" w:pos="540"/>
        </w:tabs>
        <w:jc w:val="right"/>
        <w:rPr>
          <w:b/>
          <w:spacing w:val="-4"/>
          <w:szCs w:val="24"/>
          <w:lang w:val="sq-AL"/>
        </w:rPr>
      </w:pPr>
      <w:r w:rsidRPr="0032422E">
        <w:rPr>
          <w:b/>
          <w:spacing w:val="-4"/>
          <w:szCs w:val="24"/>
          <w:lang w:val="sq-AL"/>
        </w:rPr>
        <w:t>Petrit Ahmeti</w:t>
      </w:r>
    </w:p>
    <w:p w:rsidR="0075059E" w:rsidRDefault="0075059E"/>
    <w:sectPr w:rsidR="0075059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908"/>
    <w:rsid w:val="0075059E"/>
    <w:rsid w:val="00D3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90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309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30908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D3090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90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309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30908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D3090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2016-08-15T12:23:00Z</dcterms:created>
  <dcterms:modified xsi:type="dcterms:W3CDTF">2016-08-15T12:23:00Z</dcterms:modified>
</cp:coreProperties>
</file>