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3B8" w:rsidRPr="008A148F" w:rsidRDefault="00EB13B8" w:rsidP="00EB13B8">
      <w:pPr>
        <w:pStyle w:val="Paragrafi"/>
        <w:jc w:val="center"/>
        <w:rPr>
          <w:b/>
          <w:spacing w:val="-4"/>
          <w:lang w:val="sq-AL"/>
        </w:rPr>
      </w:pPr>
      <w:r w:rsidRPr="008A148F">
        <w:rPr>
          <w:b/>
          <w:spacing w:val="-4"/>
          <w:lang w:val="sq-AL"/>
        </w:rPr>
        <w:t>VENDIM</w:t>
      </w:r>
    </w:p>
    <w:p w:rsidR="00EB13B8" w:rsidRPr="008A148F" w:rsidRDefault="00EB13B8" w:rsidP="00EB13B8">
      <w:pPr>
        <w:pStyle w:val="Paragrafi"/>
        <w:jc w:val="center"/>
        <w:rPr>
          <w:b/>
          <w:spacing w:val="-4"/>
          <w:lang w:val="sq-AL"/>
        </w:rPr>
      </w:pPr>
      <w:bookmarkStart w:id="0" w:name="_GoBack"/>
      <w:r w:rsidRPr="008A148F">
        <w:rPr>
          <w:b/>
          <w:spacing w:val="-4"/>
          <w:lang w:val="sq-AL"/>
        </w:rPr>
        <w:t>Nr. 113, datë 8.7.2016</w:t>
      </w:r>
    </w:p>
    <w:bookmarkEnd w:id="0"/>
    <w:p w:rsidR="00EB13B8" w:rsidRPr="008A148F" w:rsidRDefault="00EB13B8" w:rsidP="00EB13B8">
      <w:pPr>
        <w:pStyle w:val="Hapesira7"/>
        <w:rPr>
          <w:lang w:val="sq-AL"/>
        </w:rPr>
      </w:pPr>
    </w:p>
    <w:p w:rsidR="00EB13B8" w:rsidRPr="008A148F" w:rsidRDefault="00EB13B8" w:rsidP="00EB13B8">
      <w:pPr>
        <w:pStyle w:val="Paragrafi"/>
        <w:jc w:val="center"/>
        <w:rPr>
          <w:b/>
          <w:spacing w:val="-4"/>
          <w:lang w:val="sq-AL"/>
        </w:rPr>
      </w:pPr>
      <w:r w:rsidRPr="008A148F">
        <w:rPr>
          <w:b/>
          <w:spacing w:val="-4"/>
          <w:lang w:val="sq-AL"/>
        </w:rPr>
        <w:t>MBI MIRATIMIN E RREGULLORES PËR NDRYSHIMIN E FURNIZUESIT TË ENERGJISË ELEKTRIKE</w:t>
      </w:r>
    </w:p>
    <w:p w:rsidR="00EB13B8" w:rsidRPr="008A148F" w:rsidRDefault="00EB13B8" w:rsidP="00EB13B8">
      <w:pPr>
        <w:pStyle w:val="Hapesira7"/>
        <w:rPr>
          <w:lang w:val="sq-AL"/>
        </w:rPr>
      </w:pPr>
    </w:p>
    <w:p w:rsidR="00EB13B8" w:rsidRPr="008A148F" w:rsidRDefault="00EB13B8" w:rsidP="00EB13B8">
      <w:pPr>
        <w:pStyle w:val="Paragrafi"/>
        <w:rPr>
          <w:spacing w:val="-4"/>
          <w:lang w:val="sq-AL"/>
        </w:rPr>
      </w:pPr>
      <w:r w:rsidRPr="008A148F">
        <w:rPr>
          <w:spacing w:val="-4"/>
          <w:lang w:val="sq-AL"/>
        </w:rPr>
        <w:t xml:space="preserve">Në mbështetje të neneve 16 dhe 88, pika 2, të ligjit nr. 43/2015, “Për sektorin e energjisë elektrike” dhe nenit 25 të “Rregullores së organizimit, funksionimit dhe procedurave të ERE-s”, të miratuar me vendimin e Bordit të ERE-s, nr. 96, datë 17.6.2016, të ndryshuar, Bordi i Entit Rregullator të Energjisë (ERE), në mbledhjen e tij të datës 8.7.2016, mbasi shqyrtoi relacionin e drejtorive teknike të ERE-s, në lidhje me miratimin e “Rregullores për ndryshimin e furnizuesit të energjisë elektrike”, </w:t>
      </w:r>
    </w:p>
    <w:p w:rsidR="00EB13B8" w:rsidRPr="008A148F" w:rsidRDefault="00EB13B8" w:rsidP="00EB13B8">
      <w:pPr>
        <w:pStyle w:val="Paragrafi"/>
        <w:rPr>
          <w:spacing w:val="-4"/>
          <w:lang w:val="sq-AL"/>
        </w:rPr>
      </w:pPr>
      <w:r w:rsidRPr="008A148F">
        <w:rPr>
          <w:spacing w:val="-4"/>
          <w:lang w:val="sq-AL"/>
        </w:rPr>
        <w:t>konstatoi se:</w:t>
      </w:r>
    </w:p>
    <w:p w:rsidR="00EB13B8" w:rsidRPr="008A148F" w:rsidRDefault="00EB13B8" w:rsidP="00EB13B8">
      <w:pPr>
        <w:pStyle w:val="Paragrafi"/>
        <w:rPr>
          <w:spacing w:val="-4"/>
          <w:lang w:val="sq-AL"/>
        </w:rPr>
      </w:pPr>
      <w:r w:rsidRPr="008A148F">
        <w:rPr>
          <w:spacing w:val="-4"/>
          <w:lang w:val="sq-AL"/>
        </w:rPr>
        <w:t xml:space="preserve">- ERE është organi kompetent për hartimin dhe miratimin e kësaj rregulloreje. </w:t>
      </w:r>
    </w:p>
    <w:p w:rsidR="00EB13B8" w:rsidRPr="008A148F" w:rsidRDefault="00EB13B8" w:rsidP="00EB13B8">
      <w:pPr>
        <w:pStyle w:val="Paragrafi"/>
        <w:rPr>
          <w:spacing w:val="-4"/>
          <w:lang w:val="sq-AL"/>
        </w:rPr>
      </w:pPr>
      <w:r w:rsidRPr="008A148F">
        <w:rPr>
          <w:spacing w:val="-4"/>
          <w:lang w:val="sq-AL"/>
        </w:rPr>
        <w:t xml:space="preserve">- Njehsimi i praktikës së rregullave për ndryshimin e furnizuesit në sektorin e energjisë elektrike, krijon lehtësira për të gjithë operatorët e tregut. </w:t>
      </w:r>
    </w:p>
    <w:p w:rsidR="00EB13B8" w:rsidRPr="008A148F" w:rsidRDefault="00EB13B8" w:rsidP="00EB13B8">
      <w:pPr>
        <w:pStyle w:val="Paragrafi"/>
        <w:rPr>
          <w:spacing w:val="-4"/>
          <w:lang w:val="sq-AL"/>
        </w:rPr>
      </w:pPr>
      <w:r w:rsidRPr="008A148F">
        <w:rPr>
          <w:spacing w:val="-4"/>
          <w:lang w:val="sq-AL"/>
        </w:rPr>
        <w:t>- Rregullorja e ndryshimit të furnizuesit përcakton kushtet, të drejtat dhe detyrimet e furnizuesve dhe klientëve të energjisë elektrike.</w:t>
      </w:r>
    </w:p>
    <w:p w:rsidR="00EB13B8" w:rsidRPr="008A148F" w:rsidRDefault="00EB13B8" w:rsidP="00EB13B8">
      <w:pPr>
        <w:pStyle w:val="Paragrafi"/>
        <w:rPr>
          <w:spacing w:val="-4"/>
          <w:lang w:val="sq-AL"/>
        </w:rPr>
      </w:pPr>
      <w:r w:rsidRPr="008A148F">
        <w:rPr>
          <w:spacing w:val="-4"/>
          <w:lang w:val="sq-AL"/>
        </w:rPr>
        <w:t>Për gjithë sa më sipër, Bordi i ERE-s</w:t>
      </w:r>
    </w:p>
    <w:p w:rsidR="00EB13B8" w:rsidRPr="008A148F" w:rsidRDefault="00EB13B8" w:rsidP="00EB13B8">
      <w:pPr>
        <w:pStyle w:val="Hapesira7"/>
        <w:rPr>
          <w:lang w:val="sq-AL"/>
        </w:rPr>
      </w:pPr>
    </w:p>
    <w:p w:rsidR="00EB13B8" w:rsidRPr="008A148F" w:rsidRDefault="00EB13B8" w:rsidP="00EB13B8">
      <w:pPr>
        <w:pStyle w:val="Paragrafi"/>
        <w:jc w:val="center"/>
        <w:rPr>
          <w:spacing w:val="-4"/>
          <w:lang w:val="sq-AL"/>
        </w:rPr>
      </w:pPr>
      <w:r w:rsidRPr="008A148F">
        <w:rPr>
          <w:spacing w:val="-4"/>
          <w:lang w:val="sq-AL"/>
        </w:rPr>
        <w:t>VENDOSI:</w:t>
      </w:r>
    </w:p>
    <w:p w:rsidR="00EB13B8" w:rsidRPr="008A148F" w:rsidRDefault="00EB13B8" w:rsidP="00EB13B8">
      <w:pPr>
        <w:pStyle w:val="Hapesira7"/>
        <w:rPr>
          <w:lang w:val="sq-AL"/>
        </w:rPr>
      </w:pPr>
    </w:p>
    <w:p w:rsidR="00EB13B8" w:rsidRPr="008A148F" w:rsidRDefault="00EB13B8" w:rsidP="00EB13B8">
      <w:pPr>
        <w:pStyle w:val="Paragrafi"/>
        <w:rPr>
          <w:spacing w:val="-4"/>
          <w:lang w:val="sq-AL"/>
        </w:rPr>
      </w:pPr>
      <w:r w:rsidRPr="008A148F">
        <w:rPr>
          <w:spacing w:val="-4"/>
          <w:lang w:val="sq-AL"/>
        </w:rPr>
        <w:t>1. Miratimin e rregullores për ndryshimin e furnizuesit të energjisë elektrike (bashkëlidhur këtij vendimi).</w:t>
      </w:r>
    </w:p>
    <w:p w:rsidR="00EB13B8" w:rsidRPr="008A148F" w:rsidRDefault="00EB13B8" w:rsidP="00EB13B8">
      <w:pPr>
        <w:pStyle w:val="Paragrafi"/>
        <w:rPr>
          <w:spacing w:val="-4"/>
          <w:lang w:val="sq-AL"/>
        </w:rPr>
      </w:pPr>
      <w:r w:rsidRPr="008A148F">
        <w:rPr>
          <w:spacing w:val="-4"/>
          <w:lang w:val="sq-AL"/>
        </w:rPr>
        <w:t>2. Drejtoria Juridike dhe e Mbrojtjes së Konsumatorit të njoftojë të interesuarit për vendimin e Bordit të ERE-s.</w:t>
      </w:r>
    </w:p>
    <w:p w:rsidR="00EB13B8" w:rsidRPr="008A148F" w:rsidRDefault="00EB13B8" w:rsidP="00EB13B8">
      <w:pPr>
        <w:pStyle w:val="Paragrafi"/>
        <w:rPr>
          <w:spacing w:val="-4"/>
          <w:lang w:val="sq-AL"/>
        </w:rPr>
      </w:pPr>
      <w:r w:rsidRPr="008A148F">
        <w:rPr>
          <w:spacing w:val="-4"/>
          <w:lang w:val="sq-AL"/>
        </w:rPr>
        <w:t xml:space="preserve">Ky vendim hyn në fuqi menjëherë. </w:t>
      </w:r>
    </w:p>
    <w:p w:rsidR="00EB13B8" w:rsidRPr="008A148F" w:rsidRDefault="00EB13B8" w:rsidP="00EB13B8">
      <w:pPr>
        <w:pStyle w:val="Paragrafi"/>
        <w:rPr>
          <w:spacing w:val="-4"/>
          <w:lang w:val="sq-AL"/>
        </w:rPr>
      </w:pPr>
      <w:r w:rsidRPr="008A148F">
        <w:rPr>
          <w:spacing w:val="-4"/>
          <w:lang w:val="sq-AL"/>
        </w:rPr>
        <w:t>Ky vendim botohet në Fletoren Zyrtare.</w:t>
      </w:r>
    </w:p>
    <w:p w:rsidR="00EB13B8" w:rsidRPr="008A148F" w:rsidRDefault="00EB13B8" w:rsidP="00EB13B8">
      <w:pPr>
        <w:pStyle w:val="Hapesira7"/>
        <w:rPr>
          <w:lang w:val="sq-AL"/>
        </w:rPr>
      </w:pPr>
    </w:p>
    <w:p w:rsidR="00EB13B8" w:rsidRPr="008A148F" w:rsidRDefault="00EB13B8" w:rsidP="00EB13B8">
      <w:pPr>
        <w:pStyle w:val="Paragrafi"/>
        <w:jc w:val="right"/>
        <w:rPr>
          <w:spacing w:val="-4"/>
          <w:lang w:val="sq-AL"/>
        </w:rPr>
      </w:pPr>
      <w:r w:rsidRPr="008A148F">
        <w:rPr>
          <w:spacing w:val="-4"/>
          <w:lang w:val="sq-AL"/>
        </w:rPr>
        <w:t>KRYETARI</w:t>
      </w:r>
    </w:p>
    <w:p w:rsidR="00EB13B8" w:rsidRPr="008A148F" w:rsidRDefault="00EB13B8" w:rsidP="00EB13B8">
      <w:pPr>
        <w:pStyle w:val="Paragrafi"/>
        <w:jc w:val="right"/>
        <w:rPr>
          <w:b/>
          <w:spacing w:val="-4"/>
          <w:lang w:val="sq-AL"/>
        </w:rPr>
      </w:pPr>
      <w:r w:rsidRPr="008A148F">
        <w:rPr>
          <w:b/>
          <w:spacing w:val="-4"/>
          <w:lang w:val="sq-AL"/>
        </w:rPr>
        <w:t>Petrit Ahmeti</w:t>
      </w:r>
    </w:p>
    <w:p w:rsidR="00EB13B8" w:rsidRPr="008A148F" w:rsidRDefault="00EB13B8" w:rsidP="00EB13B8">
      <w:pPr>
        <w:pStyle w:val="Paragrafi"/>
        <w:rPr>
          <w:spacing w:val="-4"/>
          <w:lang w:val="sq-AL"/>
        </w:rPr>
      </w:pPr>
    </w:p>
    <w:p w:rsidR="00EB13B8" w:rsidRPr="008A148F" w:rsidRDefault="00EB13B8" w:rsidP="00EB13B8">
      <w:pPr>
        <w:pStyle w:val="Paragrafi"/>
        <w:rPr>
          <w:b/>
          <w:spacing w:val="-4"/>
          <w:lang w:val="sq-AL"/>
        </w:rPr>
      </w:pPr>
    </w:p>
    <w:p w:rsidR="00EB13B8" w:rsidRDefault="00EB13B8" w:rsidP="00EB13B8">
      <w:pPr>
        <w:spacing w:after="0" w:line="240" w:lineRule="auto"/>
        <w:jc w:val="center"/>
        <w:rPr>
          <w:rFonts w:ascii="Garamond" w:hAnsi="Garamond"/>
          <w:b/>
          <w:spacing w:val="-4"/>
          <w:sz w:val="24"/>
          <w:szCs w:val="24"/>
          <w:lang w:val="sq-AL"/>
        </w:rPr>
      </w:pPr>
    </w:p>
    <w:p w:rsidR="00EB13B8" w:rsidRDefault="00EB13B8" w:rsidP="00EB13B8">
      <w:pPr>
        <w:spacing w:after="0" w:line="240" w:lineRule="auto"/>
        <w:jc w:val="center"/>
        <w:rPr>
          <w:rFonts w:ascii="Garamond" w:hAnsi="Garamond"/>
          <w:b/>
          <w:spacing w:val="-4"/>
          <w:sz w:val="24"/>
          <w:szCs w:val="24"/>
          <w:lang w:val="sq-AL"/>
        </w:rPr>
      </w:pPr>
    </w:p>
    <w:p w:rsidR="00EB13B8" w:rsidRDefault="00EB13B8" w:rsidP="00EB13B8">
      <w:pPr>
        <w:spacing w:after="0" w:line="240" w:lineRule="auto"/>
        <w:jc w:val="center"/>
        <w:rPr>
          <w:rFonts w:ascii="Garamond" w:hAnsi="Garamond"/>
          <w:b/>
          <w:spacing w:val="-4"/>
          <w:sz w:val="24"/>
          <w:szCs w:val="24"/>
          <w:lang w:val="sq-AL"/>
        </w:rPr>
      </w:pPr>
    </w:p>
    <w:p w:rsidR="00EB13B8" w:rsidRDefault="00EB13B8" w:rsidP="00EB13B8">
      <w:pPr>
        <w:spacing w:after="0" w:line="240" w:lineRule="auto"/>
        <w:jc w:val="center"/>
        <w:rPr>
          <w:rFonts w:ascii="Garamond" w:hAnsi="Garamond"/>
          <w:b/>
          <w:spacing w:val="-4"/>
          <w:sz w:val="24"/>
          <w:szCs w:val="24"/>
          <w:lang w:val="sq-AL"/>
        </w:rPr>
      </w:pPr>
    </w:p>
    <w:p w:rsidR="00EB13B8" w:rsidRDefault="00EB13B8" w:rsidP="00EB13B8">
      <w:pPr>
        <w:spacing w:after="0" w:line="240" w:lineRule="auto"/>
        <w:jc w:val="center"/>
        <w:rPr>
          <w:rFonts w:ascii="Garamond" w:hAnsi="Garamond"/>
          <w:b/>
          <w:spacing w:val="-4"/>
          <w:sz w:val="24"/>
          <w:szCs w:val="24"/>
          <w:lang w:val="sq-AL"/>
        </w:rPr>
      </w:pPr>
    </w:p>
    <w:p w:rsidR="00EB13B8" w:rsidRDefault="00EB13B8" w:rsidP="00EB13B8">
      <w:pPr>
        <w:spacing w:after="0" w:line="240" w:lineRule="auto"/>
        <w:jc w:val="center"/>
        <w:rPr>
          <w:rFonts w:ascii="Garamond" w:hAnsi="Garamond"/>
          <w:b/>
          <w:spacing w:val="-4"/>
          <w:sz w:val="24"/>
          <w:szCs w:val="24"/>
          <w:lang w:val="sq-AL"/>
        </w:rPr>
      </w:pPr>
    </w:p>
    <w:p w:rsidR="00EB13B8" w:rsidRDefault="00EB13B8" w:rsidP="00EB13B8">
      <w:pPr>
        <w:spacing w:after="0" w:line="240" w:lineRule="auto"/>
        <w:jc w:val="center"/>
        <w:rPr>
          <w:rFonts w:ascii="Garamond" w:hAnsi="Garamond"/>
          <w:b/>
          <w:spacing w:val="-4"/>
          <w:sz w:val="24"/>
          <w:szCs w:val="24"/>
          <w:lang w:val="sq-AL"/>
        </w:rPr>
      </w:pPr>
    </w:p>
    <w:p w:rsidR="00EB13B8" w:rsidRPr="008A148F" w:rsidRDefault="00EB13B8" w:rsidP="00EB13B8">
      <w:pPr>
        <w:spacing w:after="0" w:line="240" w:lineRule="auto"/>
        <w:jc w:val="center"/>
        <w:rPr>
          <w:rFonts w:ascii="Garamond" w:hAnsi="Garamond"/>
          <w:spacing w:val="-4"/>
          <w:sz w:val="24"/>
          <w:szCs w:val="24"/>
          <w:lang w:val="sq-AL"/>
        </w:rPr>
      </w:pPr>
      <w:r w:rsidRPr="008A148F">
        <w:rPr>
          <w:rFonts w:ascii="Garamond" w:hAnsi="Garamond"/>
          <w:b/>
          <w:spacing w:val="-4"/>
          <w:sz w:val="24"/>
          <w:szCs w:val="24"/>
          <w:lang w:val="sq-AL"/>
        </w:rPr>
        <w:t>RREGULLORE</w:t>
      </w:r>
      <w:r w:rsidRPr="008A148F">
        <w:rPr>
          <w:rFonts w:ascii="Garamond" w:hAnsi="Garamond"/>
          <w:spacing w:val="-4"/>
          <w:sz w:val="24"/>
          <w:szCs w:val="24"/>
          <w:lang w:val="sq-AL"/>
        </w:rPr>
        <w:t xml:space="preserve"> </w:t>
      </w:r>
    </w:p>
    <w:p w:rsidR="00EB13B8" w:rsidRPr="008A148F" w:rsidRDefault="00EB13B8" w:rsidP="00EB13B8">
      <w:pPr>
        <w:spacing w:after="0" w:line="240" w:lineRule="auto"/>
        <w:jc w:val="center"/>
        <w:rPr>
          <w:rFonts w:ascii="Garamond" w:hAnsi="Garamond"/>
          <w:spacing w:val="-4"/>
          <w:sz w:val="24"/>
          <w:szCs w:val="24"/>
          <w:lang w:val="sq-AL"/>
        </w:rPr>
      </w:pPr>
      <w:r w:rsidRPr="008A148F">
        <w:rPr>
          <w:rFonts w:ascii="Garamond" w:hAnsi="Garamond"/>
          <w:spacing w:val="-4"/>
          <w:sz w:val="24"/>
          <w:szCs w:val="24"/>
          <w:lang w:val="sq-AL"/>
        </w:rPr>
        <w:t xml:space="preserve">MBI NDRYSHIMIN E FURNIZUESIT TË ENERGJISË ELEKTRIKE </w:t>
      </w:r>
    </w:p>
    <w:p w:rsidR="00EB13B8" w:rsidRPr="008A148F" w:rsidRDefault="00EB13B8" w:rsidP="00EB13B8">
      <w:pPr>
        <w:pStyle w:val="Hapesira7"/>
        <w:rPr>
          <w:lang w:val="sq-AL"/>
        </w:rPr>
      </w:pPr>
    </w:p>
    <w:p w:rsidR="00EB13B8" w:rsidRPr="008A148F" w:rsidRDefault="00EB13B8" w:rsidP="00EB13B8">
      <w:pPr>
        <w:spacing w:after="0" w:line="240" w:lineRule="auto"/>
        <w:jc w:val="center"/>
        <w:rPr>
          <w:rFonts w:ascii="Garamond" w:hAnsi="Garamond"/>
          <w:spacing w:val="-4"/>
          <w:sz w:val="24"/>
          <w:szCs w:val="24"/>
          <w:lang w:val="sq-AL"/>
        </w:rPr>
      </w:pPr>
      <w:r w:rsidRPr="008A148F">
        <w:rPr>
          <w:rFonts w:ascii="Garamond" w:hAnsi="Garamond"/>
          <w:spacing w:val="-4"/>
          <w:sz w:val="24"/>
          <w:szCs w:val="24"/>
          <w:lang w:val="sq-AL"/>
        </w:rPr>
        <w:t>PJESA I</w:t>
      </w:r>
    </w:p>
    <w:p w:rsidR="00EB13B8" w:rsidRPr="008A148F" w:rsidRDefault="00EB13B8" w:rsidP="00EB13B8">
      <w:pPr>
        <w:spacing w:after="0" w:line="240" w:lineRule="auto"/>
        <w:jc w:val="center"/>
        <w:rPr>
          <w:rFonts w:ascii="Garamond" w:hAnsi="Garamond"/>
          <w:spacing w:val="-4"/>
          <w:sz w:val="24"/>
          <w:szCs w:val="24"/>
          <w:lang w:val="sq-AL"/>
        </w:rPr>
      </w:pPr>
      <w:r w:rsidRPr="008A148F">
        <w:rPr>
          <w:rFonts w:ascii="Garamond" w:hAnsi="Garamond"/>
          <w:spacing w:val="-4"/>
          <w:sz w:val="24"/>
          <w:szCs w:val="24"/>
          <w:lang w:val="sq-AL"/>
        </w:rPr>
        <w:t>DISPOZITA TË PËRGJITHSHME</w:t>
      </w:r>
    </w:p>
    <w:p w:rsidR="00EB13B8" w:rsidRPr="008A148F" w:rsidRDefault="00EB13B8" w:rsidP="00EB13B8">
      <w:pPr>
        <w:pStyle w:val="Hapesira7"/>
        <w:rPr>
          <w:lang w:val="sq-AL"/>
        </w:rPr>
      </w:pPr>
    </w:p>
    <w:p w:rsidR="00EB13B8" w:rsidRPr="008A148F" w:rsidRDefault="00EB13B8" w:rsidP="00EB13B8">
      <w:pPr>
        <w:pStyle w:val="NeniNr"/>
        <w:rPr>
          <w:spacing w:val="-4"/>
          <w:lang w:val="sq-AL"/>
        </w:rPr>
      </w:pPr>
      <w:r w:rsidRPr="008A148F">
        <w:rPr>
          <w:spacing w:val="-4"/>
          <w:lang w:val="sq-AL"/>
        </w:rPr>
        <w:t>Neni 1</w:t>
      </w:r>
    </w:p>
    <w:p w:rsidR="00EB13B8" w:rsidRPr="008A148F" w:rsidRDefault="00EB13B8" w:rsidP="00EB13B8">
      <w:pPr>
        <w:pStyle w:val="NeniTitull"/>
        <w:rPr>
          <w:spacing w:val="-4"/>
          <w:lang w:val="sq-AL"/>
        </w:rPr>
      </w:pPr>
      <w:r w:rsidRPr="008A148F">
        <w:rPr>
          <w:spacing w:val="-4"/>
          <w:lang w:val="sq-AL"/>
        </w:rPr>
        <w:t>Qëllimi</w:t>
      </w:r>
    </w:p>
    <w:p w:rsidR="00EB13B8" w:rsidRPr="008A148F" w:rsidRDefault="00EB13B8" w:rsidP="00EB13B8">
      <w:pPr>
        <w:pStyle w:val="Hapesira7"/>
        <w:rPr>
          <w:lang w:val="sq-AL"/>
        </w:rPr>
      </w:pPr>
    </w:p>
    <w:p w:rsidR="00EB13B8" w:rsidRPr="008A148F" w:rsidRDefault="00EB13B8" w:rsidP="00EB13B8">
      <w:pPr>
        <w:spacing w:after="0" w:line="240" w:lineRule="auto"/>
        <w:rPr>
          <w:rFonts w:ascii="Garamond" w:hAnsi="Garamond"/>
          <w:spacing w:val="-4"/>
          <w:sz w:val="24"/>
          <w:szCs w:val="24"/>
          <w:lang w:val="sq-AL"/>
        </w:rPr>
      </w:pPr>
      <w:r w:rsidRPr="008A148F">
        <w:rPr>
          <w:rFonts w:ascii="Garamond" w:hAnsi="Garamond"/>
          <w:spacing w:val="-4"/>
          <w:sz w:val="24"/>
          <w:szCs w:val="24"/>
          <w:lang w:val="sq-AL"/>
        </w:rPr>
        <w:t>Këto rregulla do të normojnë kushtet dhe procedurat për ndryshimin e furnizuesit të energjisë elektrike, të cilët furnizojnë klientin fundor sipas kontratës së furnizimit, si dhe përcaktojnë të drejtat dhe detyrimet e furnizuesit, klientëve dhe të operatorit të sistemit në kuadër të procedurës së ndryshimit të furnizuesit.</w:t>
      </w:r>
    </w:p>
    <w:p w:rsidR="00EB13B8" w:rsidRPr="008A148F" w:rsidRDefault="00EB13B8" w:rsidP="00EB13B8">
      <w:pPr>
        <w:pStyle w:val="Hapesira7"/>
        <w:rPr>
          <w:lang w:val="sq-AL"/>
        </w:rPr>
      </w:pPr>
    </w:p>
    <w:p w:rsidR="00EB13B8" w:rsidRPr="008A148F" w:rsidRDefault="00EB13B8" w:rsidP="00EB13B8">
      <w:pPr>
        <w:pStyle w:val="NeniNr"/>
        <w:rPr>
          <w:spacing w:val="-4"/>
          <w:lang w:val="sq-AL"/>
        </w:rPr>
      </w:pPr>
      <w:r w:rsidRPr="008A148F">
        <w:rPr>
          <w:spacing w:val="-4"/>
          <w:lang w:val="sq-AL"/>
        </w:rPr>
        <w:lastRenderedPageBreak/>
        <w:t>Neni 2</w:t>
      </w:r>
    </w:p>
    <w:p w:rsidR="00EB13B8" w:rsidRPr="008A148F" w:rsidRDefault="00EB13B8" w:rsidP="00EB13B8">
      <w:pPr>
        <w:pStyle w:val="NeniTitull"/>
        <w:rPr>
          <w:spacing w:val="-4"/>
          <w:lang w:val="sq-AL"/>
        </w:rPr>
      </w:pPr>
      <w:r w:rsidRPr="008A148F">
        <w:rPr>
          <w:spacing w:val="-4"/>
          <w:lang w:val="sq-AL"/>
        </w:rPr>
        <w:t>Objekti</w:t>
      </w:r>
    </w:p>
    <w:p w:rsidR="00EB13B8" w:rsidRPr="008A148F" w:rsidRDefault="00EB13B8" w:rsidP="00EB13B8">
      <w:pPr>
        <w:pStyle w:val="Hapesira7"/>
        <w:rPr>
          <w:lang w:val="sq-AL"/>
        </w:rPr>
      </w:pPr>
    </w:p>
    <w:p w:rsidR="00EB13B8" w:rsidRPr="008A148F" w:rsidRDefault="00EB13B8" w:rsidP="00EB13B8">
      <w:pPr>
        <w:numPr>
          <w:ilvl w:val="0"/>
          <w:numId w:val="2"/>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Objekti i kësaj rregulloreje janë vendosja e rregullave për palët në kontratë, për ndryshimin e furnizuesit të energjisë elektrike dhe garantimi i së drejtës së klientit për të kërkuar ndryshimin e furnizuesit. </w:t>
      </w:r>
    </w:p>
    <w:p w:rsidR="00EB13B8" w:rsidRPr="008A148F" w:rsidRDefault="00EB13B8" w:rsidP="00EB13B8">
      <w:pPr>
        <w:pStyle w:val="Hapesira7"/>
        <w:rPr>
          <w:highlight w:val="yellow"/>
          <w:lang w:val="sq-AL"/>
        </w:rPr>
      </w:pPr>
    </w:p>
    <w:p w:rsidR="00EB13B8" w:rsidRPr="008A148F" w:rsidRDefault="00EB13B8" w:rsidP="00EB13B8">
      <w:pPr>
        <w:pStyle w:val="NeniNr"/>
        <w:rPr>
          <w:spacing w:val="-4"/>
          <w:lang w:val="sq-AL"/>
        </w:rPr>
      </w:pPr>
      <w:r w:rsidRPr="008A148F">
        <w:rPr>
          <w:spacing w:val="-4"/>
          <w:lang w:val="sq-AL"/>
        </w:rPr>
        <w:t>Neni 3</w:t>
      </w:r>
    </w:p>
    <w:p w:rsidR="00EB13B8" w:rsidRDefault="00EB13B8" w:rsidP="00EB13B8">
      <w:pPr>
        <w:pStyle w:val="NeniTitull"/>
        <w:rPr>
          <w:spacing w:val="-4"/>
          <w:lang w:val="sq-AL"/>
        </w:rPr>
      </w:pPr>
      <w:r w:rsidRPr="008A148F">
        <w:rPr>
          <w:spacing w:val="-4"/>
          <w:lang w:val="sq-AL"/>
        </w:rPr>
        <w:t>Baza ligjore</w:t>
      </w:r>
    </w:p>
    <w:p w:rsidR="00EB13B8" w:rsidRPr="007C62BF" w:rsidRDefault="00EB13B8" w:rsidP="00EB13B8">
      <w:pPr>
        <w:spacing w:after="0" w:line="240" w:lineRule="auto"/>
        <w:ind w:firstLine="0"/>
        <w:rPr>
          <w:sz w:val="14"/>
          <w:lang w:val="sq-AL"/>
        </w:rPr>
      </w:pPr>
    </w:p>
    <w:p w:rsidR="00EB13B8" w:rsidRPr="008A148F" w:rsidRDefault="00EB13B8" w:rsidP="00EB13B8">
      <w:pPr>
        <w:pStyle w:val="BodyText"/>
        <w:tabs>
          <w:tab w:val="left" w:pos="734"/>
        </w:tabs>
        <w:kinsoku w:val="0"/>
        <w:overflowPunct w:val="0"/>
        <w:ind w:left="0" w:firstLine="284"/>
        <w:rPr>
          <w:rFonts w:ascii="Garamond" w:hAnsi="Garamond"/>
          <w:spacing w:val="-4"/>
          <w:lang w:val="sq-AL"/>
        </w:rPr>
      </w:pPr>
      <w:r w:rsidRPr="008A148F">
        <w:rPr>
          <w:rFonts w:ascii="Garamond" w:hAnsi="Garamond"/>
          <w:spacing w:val="-4"/>
          <w:lang w:val="sq-AL"/>
        </w:rPr>
        <w:t xml:space="preserve">Kjo rregullore mbështet në: </w:t>
      </w:r>
    </w:p>
    <w:p w:rsidR="00EB13B8" w:rsidRPr="008A148F" w:rsidRDefault="00EB13B8" w:rsidP="00EB13B8">
      <w:pPr>
        <w:pStyle w:val="BodyText"/>
        <w:numPr>
          <w:ilvl w:val="0"/>
          <w:numId w:val="0"/>
        </w:numPr>
        <w:tabs>
          <w:tab w:val="left" w:pos="734"/>
        </w:tabs>
        <w:kinsoku w:val="0"/>
        <w:overflowPunct w:val="0"/>
        <w:ind w:left="288" w:hanging="288"/>
        <w:rPr>
          <w:rFonts w:ascii="Garamond" w:hAnsi="Garamond"/>
          <w:spacing w:val="-4"/>
          <w:lang w:val="sq-AL"/>
        </w:rPr>
      </w:pPr>
      <w:r w:rsidRPr="008A148F">
        <w:rPr>
          <w:rFonts w:ascii="Garamond" w:hAnsi="Garamond"/>
          <w:spacing w:val="-4"/>
          <w:lang w:val="sq-AL"/>
        </w:rPr>
        <w:tab/>
        <w:t>- Ligjin nr. 43/2015, “Për sektorin e energjisë elektrike”, nenet 79; 80; 81; 82; 88.</w:t>
      </w:r>
    </w:p>
    <w:p w:rsidR="00EB13B8" w:rsidRPr="008A148F" w:rsidRDefault="00EB13B8" w:rsidP="00EB13B8">
      <w:pPr>
        <w:pStyle w:val="BodyText"/>
        <w:numPr>
          <w:ilvl w:val="0"/>
          <w:numId w:val="0"/>
        </w:numPr>
        <w:tabs>
          <w:tab w:val="left" w:pos="734"/>
        </w:tabs>
        <w:kinsoku w:val="0"/>
        <w:overflowPunct w:val="0"/>
        <w:ind w:left="288" w:hanging="288"/>
        <w:rPr>
          <w:rFonts w:ascii="Garamond" w:hAnsi="Garamond"/>
          <w:spacing w:val="-4"/>
          <w:lang w:val="sq-AL"/>
        </w:rPr>
      </w:pPr>
      <w:r w:rsidRPr="008A148F">
        <w:rPr>
          <w:rFonts w:ascii="Garamond" w:hAnsi="Garamond"/>
          <w:spacing w:val="-4"/>
          <w:lang w:val="sq-AL"/>
        </w:rPr>
        <w:tab/>
        <w:t>- Ligjin nr. 44/2015, “Kodi</w:t>
      </w:r>
      <w:r>
        <w:rPr>
          <w:rFonts w:ascii="Garamond" w:hAnsi="Garamond"/>
          <w:spacing w:val="-4"/>
          <w:lang w:val="sq-AL"/>
        </w:rPr>
        <w:t xml:space="preserve"> </w:t>
      </w:r>
      <w:r w:rsidRPr="008A148F">
        <w:rPr>
          <w:rFonts w:ascii="Garamond" w:hAnsi="Garamond"/>
          <w:spacing w:val="-4"/>
          <w:lang w:val="sq-AL"/>
        </w:rPr>
        <w:t>i</w:t>
      </w:r>
      <w:r>
        <w:rPr>
          <w:rFonts w:ascii="Garamond" w:hAnsi="Garamond"/>
          <w:spacing w:val="-4"/>
          <w:lang w:val="sq-AL"/>
        </w:rPr>
        <w:t xml:space="preserve"> </w:t>
      </w:r>
      <w:r w:rsidRPr="008A148F">
        <w:rPr>
          <w:rFonts w:ascii="Garamond" w:hAnsi="Garamond"/>
          <w:spacing w:val="-4"/>
          <w:lang w:val="sq-AL"/>
        </w:rPr>
        <w:t>Procedurave</w:t>
      </w:r>
      <w:r>
        <w:rPr>
          <w:rFonts w:ascii="Garamond" w:hAnsi="Garamond"/>
          <w:spacing w:val="-4"/>
          <w:lang w:val="sq-AL"/>
        </w:rPr>
        <w:t xml:space="preserve"> </w:t>
      </w:r>
      <w:r w:rsidRPr="008A148F">
        <w:rPr>
          <w:rFonts w:ascii="Garamond" w:hAnsi="Garamond"/>
          <w:spacing w:val="-4"/>
          <w:lang w:val="sq-AL"/>
        </w:rPr>
        <w:t>Administrative</w:t>
      </w:r>
      <w:r>
        <w:rPr>
          <w:rFonts w:ascii="Garamond" w:hAnsi="Garamond"/>
          <w:spacing w:val="-4"/>
          <w:lang w:val="sq-AL"/>
        </w:rPr>
        <w:t xml:space="preserve"> </w:t>
      </w:r>
      <w:r w:rsidRPr="008A148F">
        <w:rPr>
          <w:rFonts w:ascii="Garamond" w:hAnsi="Garamond"/>
          <w:spacing w:val="-4"/>
          <w:lang w:val="sq-AL"/>
        </w:rPr>
        <w:t>të</w:t>
      </w:r>
      <w:r>
        <w:rPr>
          <w:rFonts w:ascii="Garamond" w:hAnsi="Garamond"/>
          <w:spacing w:val="-4"/>
          <w:lang w:val="sq-AL"/>
        </w:rPr>
        <w:t xml:space="preserve"> </w:t>
      </w:r>
      <w:r w:rsidRPr="008A148F">
        <w:rPr>
          <w:rFonts w:ascii="Garamond" w:hAnsi="Garamond"/>
          <w:spacing w:val="-4"/>
          <w:lang w:val="sq-AL"/>
        </w:rPr>
        <w:t>Republikës së Shqipërisë”.</w:t>
      </w:r>
    </w:p>
    <w:p w:rsidR="00EB13B8" w:rsidRPr="008A148F" w:rsidRDefault="00EB13B8" w:rsidP="00EB13B8">
      <w:pPr>
        <w:pStyle w:val="BodyText"/>
        <w:numPr>
          <w:ilvl w:val="0"/>
          <w:numId w:val="0"/>
        </w:numPr>
        <w:tabs>
          <w:tab w:val="left" w:pos="734"/>
        </w:tabs>
        <w:kinsoku w:val="0"/>
        <w:overflowPunct w:val="0"/>
        <w:ind w:firstLine="288"/>
        <w:rPr>
          <w:rFonts w:ascii="Garamond" w:hAnsi="Garamond"/>
          <w:spacing w:val="-4"/>
          <w:lang w:val="sq-AL"/>
        </w:rPr>
      </w:pPr>
      <w:r w:rsidRPr="008A148F">
        <w:rPr>
          <w:rFonts w:ascii="Garamond" w:hAnsi="Garamond"/>
          <w:spacing w:val="-4"/>
          <w:lang w:val="sq-AL"/>
        </w:rPr>
        <w:t>- “Rregulloren e organizimit, funksionimit dhe procedurave të ERE-s”, miratuar me vendimin e Bordit të ERE-s nr. 96, datë 17.5.2016.</w:t>
      </w:r>
    </w:p>
    <w:p w:rsidR="00EB13B8" w:rsidRPr="008A148F" w:rsidRDefault="00EB13B8" w:rsidP="00EB13B8">
      <w:pPr>
        <w:spacing w:after="0" w:line="240" w:lineRule="auto"/>
        <w:ind w:firstLine="288"/>
        <w:rPr>
          <w:rFonts w:ascii="Garamond" w:hAnsi="Garamond"/>
          <w:spacing w:val="-4"/>
          <w:sz w:val="24"/>
          <w:szCs w:val="24"/>
          <w:lang w:val="sq-AL"/>
        </w:rPr>
      </w:pPr>
      <w:r w:rsidRPr="008A148F">
        <w:rPr>
          <w:rFonts w:ascii="Garamond" w:hAnsi="Garamond"/>
          <w:spacing w:val="-4"/>
          <w:sz w:val="24"/>
          <w:szCs w:val="24"/>
          <w:lang w:val="sq-AL"/>
        </w:rPr>
        <w:t xml:space="preserve">- Ligjin nr. 9902, datë 17.4.2008, “Për mbrojtjen e konsumatorëve”. </w:t>
      </w:r>
    </w:p>
    <w:p w:rsidR="00EB13B8" w:rsidRPr="008A148F" w:rsidRDefault="00EB13B8" w:rsidP="00EB13B8">
      <w:pPr>
        <w:spacing w:after="0" w:line="240" w:lineRule="auto"/>
        <w:ind w:firstLine="288"/>
        <w:rPr>
          <w:rFonts w:ascii="Garamond" w:hAnsi="Garamond"/>
          <w:spacing w:val="-4"/>
          <w:sz w:val="24"/>
          <w:szCs w:val="24"/>
          <w:lang w:val="sq-AL"/>
        </w:rPr>
      </w:pPr>
      <w:r w:rsidRPr="008A148F">
        <w:rPr>
          <w:rFonts w:ascii="Garamond" w:hAnsi="Garamond"/>
          <w:spacing w:val="-4"/>
          <w:sz w:val="24"/>
          <w:szCs w:val="24"/>
          <w:lang w:val="sq-AL"/>
        </w:rPr>
        <w:t>- Ligjin nr. 9887, datë 10.3.2008, “Për mbrojtjen e të dhënave personale”.</w:t>
      </w:r>
    </w:p>
    <w:p w:rsidR="00EB13B8" w:rsidRPr="008A148F" w:rsidRDefault="00EB13B8" w:rsidP="00EB13B8">
      <w:pPr>
        <w:spacing w:after="0" w:line="240" w:lineRule="auto"/>
        <w:ind w:firstLine="288"/>
        <w:rPr>
          <w:rFonts w:ascii="Garamond" w:hAnsi="Garamond"/>
          <w:spacing w:val="-4"/>
          <w:sz w:val="24"/>
          <w:szCs w:val="24"/>
          <w:lang w:val="sq-AL"/>
        </w:rPr>
      </w:pPr>
      <w:r w:rsidRPr="008A148F">
        <w:rPr>
          <w:rFonts w:ascii="Garamond" w:hAnsi="Garamond"/>
          <w:spacing w:val="-4"/>
          <w:sz w:val="24"/>
          <w:szCs w:val="24"/>
          <w:lang w:val="sq-AL"/>
        </w:rPr>
        <w:t xml:space="preserve">- Kodin e Matjes. </w:t>
      </w:r>
    </w:p>
    <w:p w:rsidR="00EB13B8" w:rsidRPr="008A148F" w:rsidRDefault="00EB13B8" w:rsidP="00EB13B8">
      <w:pPr>
        <w:spacing w:after="0" w:line="240" w:lineRule="auto"/>
        <w:ind w:firstLine="288"/>
        <w:rPr>
          <w:rFonts w:ascii="Garamond" w:hAnsi="Garamond"/>
          <w:spacing w:val="-4"/>
          <w:sz w:val="24"/>
          <w:szCs w:val="24"/>
          <w:lang w:val="sq-AL"/>
        </w:rPr>
      </w:pPr>
      <w:r w:rsidRPr="008A148F">
        <w:rPr>
          <w:rFonts w:ascii="Garamond" w:hAnsi="Garamond"/>
          <w:spacing w:val="-4"/>
          <w:sz w:val="24"/>
          <w:szCs w:val="24"/>
          <w:lang w:val="sq-AL"/>
        </w:rPr>
        <w:t>- Kodin e Shpërndarjes.</w:t>
      </w:r>
    </w:p>
    <w:p w:rsidR="00EB13B8" w:rsidRPr="008A148F" w:rsidRDefault="00EB13B8" w:rsidP="00EB13B8">
      <w:pPr>
        <w:spacing w:after="0" w:line="240" w:lineRule="auto"/>
        <w:ind w:firstLine="288"/>
        <w:rPr>
          <w:rFonts w:ascii="Garamond" w:hAnsi="Garamond"/>
          <w:spacing w:val="-4"/>
          <w:sz w:val="24"/>
          <w:szCs w:val="24"/>
          <w:lang w:val="sq-AL"/>
        </w:rPr>
      </w:pPr>
      <w:r w:rsidRPr="008A148F">
        <w:rPr>
          <w:rFonts w:ascii="Garamond" w:hAnsi="Garamond"/>
          <w:spacing w:val="-4"/>
          <w:sz w:val="24"/>
          <w:szCs w:val="24"/>
          <w:lang w:val="sq-AL"/>
        </w:rPr>
        <w:t>- Kodin e Transmetimit.</w:t>
      </w:r>
    </w:p>
    <w:p w:rsidR="00EB13B8" w:rsidRPr="008A148F" w:rsidRDefault="00EB13B8" w:rsidP="00EB13B8">
      <w:pPr>
        <w:pStyle w:val="Hapesira7"/>
        <w:rPr>
          <w:lang w:val="sq-AL"/>
        </w:rPr>
      </w:pPr>
    </w:p>
    <w:p w:rsidR="00EB13B8" w:rsidRPr="008A148F" w:rsidRDefault="00EB13B8" w:rsidP="00EB13B8">
      <w:pPr>
        <w:pStyle w:val="NeniNr"/>
        <w:rPr>
          <w:spacing w:val="-4"/>
          <w:lang w:val="sq-AL"/>
        </w:rPr>
      </w:pPr>
      <w:r w:rsidRPr="008A148F">
        <w:rPr>
          <w:spacing w:val="-4"/>
          <w:lang w:val="sq-AL"/>
        </w:rPr>
        <w:t>Neni 4</w:t>
      </w:r>
    </w:p>
    <w:p w:rsidR="00EB13B8" w:rsidRPr="008A148F" w:rsidRDefault="00EB13B8" w:rsidP="00EB13B8">
      <w:pPr>
        <w:pStyle w:val="NeniTitull"/>
        <w:rPr>
          <w:spacing w:val="-4"/>
          <w:lang w:val="sq-AL"/>
        </w:rPr>
      </w:pPr>
      <w:r w:rsidRPr="008A148F">
        <w:rPr>
          <w:spacing w:val="-4"/>
          <w:lang w:val="sq-AL"/>
        </w:rPr>
        <w:t>Përkufizimet</w:t>
      </w:r>
    </w:p>
    <w:p w:rsidR="00EB13B8" w:rsidRPr="008A148F" w:rsidRDefault="00EB13B8" w:rsidP="00EB13B8">
      <w:pPr>
        <w:pStyle w:val="Hapesira7"/>
        <w:rPr>
          <w:lang w:val="sq-AL"/>
        </w:rPr>
      </w:pPr>
    </w:p>
    <w:p w:rsidR="00EB13B8" w:rsidRPr="008A148F" w:rsidRDefault="00EB13B8" w:rsidP="00EB13B8">
      <w:pPr>
        <w:spacing w:after="0" w:line="240" w:lineRule="auto"/>
        <w:rPr>
          <w:rFonts w:ascii="Garamond" w:hAnsi="Garamond"/>
          <w:spacing w:val="-4"/>
          <w:sz w:val="24"/>
          <w:szCs w:val="24"/>
          <w:lang w:val="sq-AL"/>
        </w:rPr>
      </w:pPr>
      <w:r w:rsidRPr="008A148F">
        <w:rPr>
          <w:rFonts w:ascii="Garamond" w:hAnsi="Garamond"/>
          <w:spacing w:val="-4"/>
          <w:sz w:val="24"/>
          <w:szCs w:val="24"/>
          <w:lang w:val="sq-AL"/>
        </w:rPr>
        <w:t>Përkufizimet pjesë e kësaj rregulloreje kanë kuptimin si më poshtë:</w:t>
      </w:r>
    </w:p>
    <w:p w:rsidR="00EB13B8" w:rsidRPr="008A148F" w:rsidRDefault="00EB13B8" w:rsidP="00EB13B8">
      <w:pPr>
        <w:spacing w:after="0" w:line="240" w:lineRule="auto"/>
        <w:rPr>
          <w:rFonts w:ascii="Garamond" w:hAnsi="Garamond"/>
          <w:spacing w:val="-4"/>
          <w:sz w:val="24"/>
          <w:szCs w:val="24"/>
          <w:lang w:val="sq-AL"/>
        </w:rPr>
      </w:pPr>
      <w:r w:rsidRPr="008A148F">
        <w:rPr>
          <w:rFonts w:ascii="Garamond" w:hAnsi="Garamond"/>
          <w:spacing w:val="-4"/>
          <w:sz w:val="24"/>
          <w:szCs w:val="24"/>
          <w:lang w:val="sq-AL"/>
        </w:rPr>
        <w:t>1. “Ligji i energjisë” nënkuptohet ligji nr. 43/2015, “Për sektorin e energjisë elektrike”.</w:t>
      </w:r>
    </w:p>
    <w:p w:rsidR="00EB13B8" w:rsidRPr="008A148F" w:rsidRDefault="00EB13B8" w:rsidP="00EB13B8">
      <w:pPr>
        <w:pStyle w:val="BodyText"/>
        <w:numPr>
          <w:ilvl w:val="0"/>
          <w:numId w:val="0"/>
        </w:numPr>
        <w:tabs>
          <w:tab w:val="left" w:pos="840"/>
        </w:tabs>
        <w:kinsoku w:val="0"/>
        <w:overflowPunct w:val="0"/>
        <w:ind w:firstLine="284"/>
        <w:rPr>
          <w:rFonts w:ascii="Garamond" w:hAnsi="Garamond"/>
          <w:spacing w:val="-4"/>
          <w:lang w:val="sq-AL"/>
        </w:rPr>
      </w:pPr>
      <w:r w:rsidRPr="008A148F">
        <w:rPr>
          <w:rFonts w:ascii="Garamond" w:hAnsi="Garamond"/>
          <w:spacing w:val="-4"/>
          <w:lang w:val="sq-AL"/>
        </w:rPr>
        <w:t>2. “Enti rregullator i energjisë” ose “ERE” është autoriteti rregullator i sektorit të energjisë elektrike dhe gazit natyror, i cili funksionon në përputhje me ligjin “Për sektorin e energjisë elektrike”.</w:t>
      </w:r>
    </w:p>
    <w:p w:rsidR="00EB13B8" w:rsidRPr="008A148F" w:rsidRDefault="00EB13B8" w:rsidP="00EB13B8">
      <w:pPr>
        <w:pStyle w:val="BodyText"/>
        <w:numPr>
          <w:ilvl w:val="0"/>
          <w:numId w:val="0"/>
        </w:numPr>
        <w:tabs>
          <w:tab w:val="left" w:pos="840"/>
        </w:tabs>
        <w:kinsoku w:val="0"/>
        <w:overflowPunct w:val="0"/>
        <w:ind w:firstLine="284"/>
        <w:rPr>
          <w:rFonts w:ascii="Garamond" w:hAnsi="Garamond"/>
          <w:spacing w:val="-4"/>
          <w:lang w:val="sq-AL"/>
        </w:rPr>
      </w:pPr>
      <w:r w:rsidRPr="008A148F">
        <w:rPr>
          <w:rFonts w:ascii="Garamond" w:hAnsi="Garamond"/>
          <w:spacing w:val="-4"/>
          <w:lang w:val="sq-AL"/>
        </w:rPr>
        <w:t xml:space="preserve">3. “I licencuar” është një person i pajisur me licencë për të zhvilluar aktivitet në sektorin e energjisë elektrike, në përputhje me dispozitat e ligjit për energjinë. </w:t>
      </w:r>
    </w:p>
    <w:p w:rsidR="00EB13B8" w:rsidRPr="008A148F" w:rsidRDefault="00EB13B8" w:rsidP="00EB13B8">
      <w:pPr>
        <w:pStyle w:val="BodyText"/>
        <w:numPr>
          <w:ilvl w:val="0"/>
          <w:numId w:val="0"/>
        </w:numPr>
        <w:tabs>
          <w:tab w:val="left" w:pos="840"/>
        </w:tabs>
        <w:kinsoku w:val="0"/>
        <w:overflowPunct w:val="0"/>
        <w:ind w:firstLine="284"/>
        <w:rPr>
          <w:rFonts w:ascii="Garamond" w:hAnsi="Garamond"/>
          <w:spacing w:val="-4"/>
          <w:lang w:val="sq-AL"/>
        </w:rPr>
      </w:pPr>
      <w:r w:rsidRPr="008A148F">
        <w:rPr>
          <w:rFonts w:ascii="Garamond" w:hAnsi="Garamond"/>
          <w:spacing w:val="-4"/>
          <w:lang w:val="sq-AL"/>
        </w:rPr>
        <w:t xml:space="preserve">4. “Pika e shpërndarjes”, pika e përcaktuar si pika e shpërndarjes/furnizimit nga rregullorja, e cila normon kushtet e përgjithshme të furnizimit dhe shpërndarjes së energjisë elektrike. </w:t>
      </w:r>
    </w:p>
    <w:p w:rsidR="00EB13B8" w:rsidRPr="008A148F" w:rsidRDefault="00EB13B8" w:rsidP="00EB13B8">
      <w:pPr>
        <w:pStyle w:val="BodyText"/>
        <w:numPr>
          <w:ilvl w:val="0"/>
          <w:numId w:val="0"/>
        </w:numPr>
        <w:tabs>
          <w:tab w:val="left" w:pos="840"/>
        </w:tabs>
        <w:kinsoku w:val="0"/>
        <w:overflowPunct w:val="0"/>
        <w:ind w:firstLine="288"/>
        <w:rPr>
          <w:rFonts w:ascii="Garamond" w:hAnsi="Garamond"/>
          <w:spacing w:val="-4"/>
          <w:lang w:val="sq-AL"/>
        </w:rPr>
      </w:pPr>
      <w:r w:rsidRPr="008A148F">
        <w:rPr>
          <w:rFonts w:ascii="Garamond" w:hAnsi="Garamond"/>
          <w:spacing w:val="-4"/>
          <w:lang w:val="sq-AL"/>
        </w:rPr>
        <w:t>5. “Furnizues i ri”, furnizuesi me të cilin klienti dëshiron të nënshkruajë një kontratë furnizimi në fillim të procedurës për ndryshimin e furnizuesit.</w:t>
      </w:r>
    </w:p>
    <w:p w:rsidR="00EB13B8" w:rsidRPr="008A148F" w:rsidRDefault="00EB13B8" w:rsidP="00EB13B8">
      <w:pPr>
        <w:pStyle w:val="BodyText"/>
        <w:numPr>
          <w:ilvl w:val="0"/>
          <w:numId w:val="0"/>
        </w:numPr>
        <w:tabs>
          <w:tab w:val="left" w:pos="840"/>
        </w:tabs>
        <w:kinsoku w:val="0"/>
        <w:overflowPunct w:val="0"/>
        <w:ind w:firstLine="288"/>
        <w:rPr>
          <w:rFonts w:ascii="Garamond" w:hAnsi="Garamond"/>
          <w:spacing w:val="-4"/>
          <w:lang w:val="sq-AL"/>
        </w:rPr>
      </w:pPr>
      <w:r w:rsidRPr="008A148F">
        <w:rPr>
          <w:rFonts w:ascii="Garamond" w:hAnsi="Garamond"/>
          <w:spacing w:val="-4"/>
          <w:lang w:val="sq-AL"/>
        </w:rPr>
        <w:t>6. “Operator i sistemit” është një person juridik, përgjegjës për operimin e sigurt, të besueshëm dhe të efektshëm të rrjetit të shpërndarjes/transmetimit, duke siguruar mirëmbajtjen dhe zhvillimin e sistemit të shpërndarjes, të shtrirë në një zonë të caktuar dhe, kur është e aplikueshme, lidhjet e tij me sisteme të tjera për të siguruar aftësi afatgjatë të sistemit për të përmbushur kërkesat e arsyeshme për shpërndarjen e energjisë, në harmoni me mjedisin dhe eficiencën e energjisë.</w:t>
      </w:r>
    </w:p>
    <w:p w:rsidR="00EB13B8" w:rsidRPr="008A148F" w:rsidRDefault="00EB13B8" w:rsidP="00EB13B8">
      <w:pPr>
        <w:pStyle w:val="BodyText"/>
        <w:numPr>
          <w:ilvl w:val="0"/>
          <w:numId w:val="0"/>
        </w:numPr>
        <w:tabs>
          <w:tab w:val="left" w:pos="840"/>
        </w:tabs>
        <w:kinsoku w:val="0"/>
        <w:overflowPunct w:val="0"/>
        <w:ind w:firstLine="288"/>
        <w:rPr>
          <w:rFonts w:ascii="Garamond" w:hAnsi="Garamond"/>
          <w:spacing w:val="-4"/>
          <w:lang w:val="sq-AL"/>
        </w:rPr>
      </w:pPr>
      <w:r w:rsidRPr="008A148F">
        <w:rPr>
          <w:rFonts w:ascii="Garamond" w:hAnsi="Garamond"/>
          <w:spacing w:val="-4"/>
          <w:lang w:val="sq-AL"/>
        </w:rPr>
        <w:t>7. “Furnizues aktual”, furnizuesi i cili furnizon klientin në fillim të procedurës së ndryshimit të furnizuesit.</w:t>
      </w:r>
    </w:p>
    <w:p w:rsidR="00EB13B8" w:rsidRPr="008A148F" w:rsidRDefault="00EB13B8" w:rsidP="00EB13B8">
      <w:pPr>
        <w:pStyle w:val="BodyText"/>
        <w:numPr>
          <w:ilvl w:val="0"/>
          <w:numId w:val="0"/>
        </w:numPr>
        <w:tabs>
          <w:tab w:val="left" w:pos="840"/>
        </w:tabs>
        <w:kinsoku w:val="0"/>
        <w:overflowPunct w:val="0"/>
        <w:ind w:firstLine="288"/>
        <w:rPr>
          <w:rFonts w:ascii="Garamond" w:hAnsi="Garamond"/>
          <w:spacing w:val="-4"/>
          <w:lang w:val="sq-AL"/>
        </w:rPr>
      </w:pPr>
      <w:r w:rsidRPr="008A148F">
        <w:rPr>
          <w:rFonts w:ascii="Garamond" w:hAnsi="Garamond"/>
          <w:spacing w:val="-4"/>
          <w:lang w:val="sq-AL"/>
        </w:rPr>
        <w:t xml:space="preserve">8. “Furnizim” është shitja, përfshirë rishitjen e energjisë elektrike te klientët. </w:t>
      </w:r>
    </w:p>
    <w:p w:rsidR="00EB13B8" w:rsidRPr="008A148F" w:rsidRDefault="00EB13B8" w:rsidP="00EB13B8">
      <w:pPr>
        <w:pStyle w:val="BodyText"/>
        <w:numPr>
          <w:ilvl w:val="0"/>
          <w:numId w:val="0"/>
        </w:numPr>
        <w:tabs>
          <w:tab w:val="left" w:pos="840"/>
        </w:tabs>
        <w:kinsoku w:val="0"/>
        <w:overflowPunct w:val="0"/>
        <w:ind w:firstLine="288"/>
        <w:rPr>
          <w:rFonts w:ascii="Garamond" w:hAnsi="Garamond"/>
          <w:spacing w:val="-4"/>
          <w:lang w:val="sq-AL"/>
        </w:rPr>
      </w:pPr>
      <w:r w:rsidRPr="008A148F">
        <w:rPr>
          <w:rFonts w:ascii="Garamond" w:hAnsi="Garamond"/>
          <w:spacing w:val="-4"/>
          <w:lang w:val="sq-AL"/>
        </w:rPr>
        <w:t xml:space="preserve">9. “Furnizues” është një person e licencuar për kryerjen e veprimtarisë së furnizimit. </w:t>
      </w:r>
    </w:p>
    <w:p w:rsidR="00EB13B8" w:rsidRPr="008A148F" w:rsidRDefault="00EB13B8" w:rsidP="00EB13B8">
      <w:pPr>
        <w:pStyle w:val="BodyText"/>
        <w:numPr>
          <w:ilvl w:val="0"/>
          <w:numId w:val="0"/>
        </w:numPr>
        <w:tabs>
          <w:tab w:val="left" w:pos="840"/>
        </w:tabs>
        <w:kinsoku w:val="0"/>
        <w:overflowPunct w:val="0"/>
        <w:ind w:firstLine="288"/>
        <w:rPr>
          <w:rFonts w:ascii="Garamond" w:hAnsi="Garamond"/>
          <w:spacing w:val="-4"/>
          <w:lang w:val="sq-AL"/>
        </w:rPr>
      </w:pPr>
      <w:r w:rsidRPr="008A148F">
        <w:rPr>
          <w:rFonts w:ascii="Garamond" w:hAnsi="Garamond"/>
          <w:spacing w:val="-4"/>
          <w:lang w:val="sq-AL"/>
        </w:rPr>
        <w:t>10. “Furnizues i mundësisë së fundit” është një furnizues i caktuar në përputhje me dispozitat e këtij ligji, i cili ofron për një periudhë të kufizuar kohe shërbimin e furnizimit në kushte të rregulluara ndaj klientëve, të cilët nuk kanë mundur të kontraktojnë vetë një furnizues ose kanë humbur furnizuesin e tyre.</w:t>
      </w:r>
    </w:p>
    <w:p w:rsidR="00EB13B8" w:rsidRPr="008A148F" w:rsidRDefault="00EB13B8" w:rsidP="00EB13B8">
      <w:pPr>
        <w:pStyle w:val="BodyText"/>
        <w:numPr>
          <w:ilvl w:val="0"/>
          <w:numId w:val="0"/>
        </w:numPr>
        <w:tabs>
          <w:tab w:val="left" w:pos="840"/>
        </w:tabs>
        <w:kinsoku w:val="0"/>
        <w:overflowPunct w:val="0"/>
        <w:ind w:firstLine="288"/>
        <w:rPr>
          <w:rFonts w:ascii="Garamond" w:hAnsi="Garamond"/>
          <w:spacing w:val="-4"/>
          <w:lang w:val="sq-AL"/>
        </w:rPr>
      </w:pPr>
      <w:r w:rsidRPr="008A148F">
        <w:rPr>
          <w:rFonts w:ascii="Garamond" w:hAnsi="Garamond"/>
          <w:spacing w:val="-4"/>
          <w:lang w:val="sq-AL"/>
        </w:rPr>
        <w:t>11. “Klient” është një klient shumice ose fundor i energjisë elektrike.</w:t>
      </w:r>
    </w:p>
    <w:p w:rsidR="00EB13B8" w:rsidRPr="008A148F" w:rsidRDefault="00EB13B8" w:rsidP="00EB13B8">
      <w:pPr>
        <w:pStyle w:val="BodyText"/>
        <w:numPr>
          <w:ilvl w:val="0"/>
          <w:numId w:val="0"/>
        </w:numPr>
        <w:tabs>
          <w:tab w:val="left" w:pos="840"/>
        </w:tabs>
        <w:kinsoku w:val="0"/>
        <w:overflowPunct w:val="0"/>
        <w:ind w:firstLine="288"/>
        <w:rPr>
          <w:rFonts w:ascii="Garamond" w:hAnsi="Garamond"/>
          <w:spacing w:val="-4"/>
          <w:lang w:val="sq-AL"/>
        </w:rPr>
      </w:pPr>
      <w:r w:rsidRPr="008A148F">
        <w:rPr>
          <w:rFonts w:ascii="Garamond" w:hAnsi="Garamond"/>
          <w:spacing w:val="-4"/>
          <w:lang w:val="sq-AL"/>
        </w:rPr>
        <w:t xml:space="preserve">12. “Klient fundor” është </w:t>
      </w:r>
      <w:r w:rsidRPr="008A148F">
        <w:rPr>
          <w:rFonts w:ascii="Garamond" w:hAnsi="Garamond"/>
          <w:bCs/>
          <w:spacing w:val="-4"/>
          <w:lang w:val="sq-AL"/>
        </w:rPr>
        <w:t>një klient që blen energji elektrike vetëm për përdorim vetjak.</w:t>
      </w:r>
    </w:p>
    <w:p w:rsidR="00EB13B8" w:rsidRPr="008A148F" w:rsidRDefault="00EB13B8" w:rsidP="00EB13B8">
      <w:pPr>
        <w:pStyle w:val="BodyText"/>
        <w:numPr>
          <w:ilvl w:val="0"/>
          <w:numId w:val="0"/>
        </w:numPr>
        <w:tabs>
          <w:tab w:val="left" w:pos="840"/>
        </w:tabs>
        <w:kinsoku w:val="0"/>
        <w:overflowPunct w:val="0"/>
        <w:ind w:firstLine="288"/>
        <w:rPr>
          <w:rFonts w:ascii="Garamond" w:hAnsi="Garamond"/>
          <w:spacing w:val="-4"/>
          <w:lang w:val="sq-AL"/>
        </w:rPr>
      </w:pPr>
      <w:r w:rsidRPr="008A148F">
        <w:rPr>
          <w:rFonts w:ascii="Garamond" w:hAnsi="Garamond"/>
          <w:spacing w:val="-4"/>
          <w:lang w:val="sq-AL"/>
        </w:rPr>
        <w:t xml:space="preserve">13. “Kodi i shpërndarjes” është tërësia e rregullave teknike, të cilat rregullojnë funksionimin e rrjetit të shpërndarjes, si dhe vendosin kushtet e shërbimit që ofrohen nga operatorët e sistemit të shpërndarjes për përdoruesit e sistemit të shpërndarjes. </w:t>
      </w:r>
    </w:p>
    <w:p w:rsidR="00EB13B8" w:rsidRPr="008A148F" w:rsidRDefault="00EB13B8" w:rsidP="00EB13B8">
      <w:pPr>
        <w:pStyle w:val="BodyText"/>
        <w:numPr>
          <w:ilvl w:val="0"/>
          <w:numId w:val="0"/>
        </w:numPr>
        <w:tabs>
          <w:tab w:val="left" w:pos="840"/>
        </w:tabs>
        <w:kinsoku w:val="0"/>
        <w:overflowPunct w:val="0"/>
        <w:ind w:firstLine="288"/>
        <w:rPr>
          <w:rFonts w:ascii="Garamond" w:hAnsi="Garamond"/>
          <w:spacing w:val="-4"/>
          <w:lang w:val="sq-AL"/>
        </w:rPr>
      </w:pPr>
      <w:r w:rsidRPr="008A148F">
        <w:rPr>
          <w:rFonts w:ascii="Garamond" w:hAnsi="Garamond"/>
          <w:spacing w:val="-4"/>
          <w:lang w:val="sq-AL"/>
        </w:rPr>
        <w:lastRenderedPageBreak/>
        <w:t>14. “Kodi i transmetimit” është tërësia e rregullave teknike, të cilat rregullojnë operimin e sistemit të transmetimit, si dhe përcaktojnë kushtet e shërbimit që ofrohen nga operatori i sistemit të transmetimit ndaj përdoruesve të sistemit të trans</w:t>
      </w:r>
      <w:r>
        <w:rPr>
          <w:rFonts w:ascii="Garamond" w:hAnsi="Garamond"/>
          <w:spacing w:val="-4"/>
          <w:lang w:val="sq-AL"/>
        </w:rPr>
        <w:t>-</w:t>
      </w:r>
      <w:r w:rsidRPr="008A148F">
        <w:rPr>
          <w:rFonts w:ascii="Garamond" w:hAnsi="Garamond"/>
          <w:spacing w:val="-4"/>
          <w:lang w:val="sq-AL"/>
        </w:rPr>
        <w:t>metimit, në përputhje me rregullat e ENTSO-e.</w:t>
      </w:r>
    </w:p>
    <w:p w:rsidR="00EB13B8" w:rsidRPr="008A148F" w:rsidRDefault="00EB13B8" w:rsidP="00EB13B8">
      <w:pPr>
        <w:spacing w:after="0" w:line="240" w:lineRule="auto"/>
        <w:ind w:firstLine="288"/>
        <w:rPr>
          <w:rFonts w:ascii="Garamond" w:hAnsi="Garamond"/>
          <w:spacing w:val="-4"/>
          <w:sz w:val="24"/>
          <w:szCs w:val="24"/>
          <w:lang w:val="sq-AL"/>
        </w:rPr>
      </w:pPr>
      <w:r w:rsidRPr="008A148F">
        <w:rPr>
          <w:rFonts w:ascii="Garamond" w:hAnsi="Garamond"/>
          <w:spacing w:val="-4"/>
          <w:sz w:val="24"/>
          <w:szCs w:val="24"/>
          <w:lang w:val="sq-AL"/>
        </w:rPr>
        <w:t>15. “Kodi i matjes” është tërësia e normave minimale të detyrueshme për matjen dhe regjis</w:t>
      </w:r>
      <w:r>
        <w:rPr>
          <w:rFonts w:ascii="Garamond" w:hAnsi="Garamond"/>
          <w:spacing w:val="-4"/>
          <w:sz w:val="24"/>
          <w:szCs w:val="24"/>
          <w:lang w:val="sq-AL"/>
        </w:rPr>
        <w:t>-</w:t>
      </w:r>
      <w:r w:rsidRPr="008A148F">
        <w:rPr>
          <w:rFonts w:ascii="Garamond" w:hAnsi="Garamond"/>
          <w:spacing w:val="-4"/>
          <w:sz w:val="24"/>
          <w:szCs w:val="24"/>
          <w:lang w:val="sq-AL"/>
        </w:rPr>
        <w:t xml:space="preserve">trimin e energjisë elektrike. </w:t>
      </w:r>
    </w:p>
    <w:p w:rsidR="00EB13B8" w:rsidRPr="008A148F" w:rsidRDefault="00EB13B8" w:rsidP="00EB13B8">
      <w:pPr>
        <w:spacing w:after="0" w:line="240" w:lineRule="auto"/>
        <w:rPr>
          <w:rFonts w:ascii="Garamond" w:hAnsi="Garamond"/>
          <w:spacing w:val="-4"/>
          <w:sz w:val="24"/>
          <w:szCs w:val="24"/>
          <w:lang w:val="sq-AL"/>
        </w:rPr>
      </w:pPr>
      <w:r w:rsidRPr="008A148F">
        <w:rPr>
          <w:rFonts w:ascii="Garamond" w:hAnsi="Garamond"/>
          <w:spacing w:val="-4"/>
          <w:sz w:val="24"/>
          <w:szCs w:val="24"/>
          <w:lang w:val="sq-AL"/>
        </w:rPr>
        <w:t>16. “Kontrata e furnizimit” është një kontratë për furnizimin me energji elektrike, por që nuk përfshin derivativët e energjisë elektrike.</w:t>
      </w:r>
    </w:p>
    <w:p w:rsidR="00EB13B8" w:rsidRPr="008A148F" w:rsidRDefault="00EB13B8" w:rsidP="00EB13B8">
      <w:pPr>
        <w:tabs>
          <w:tab w:val="left" w:pos="4770"/>
        </w:tabs>
        <w:spacing w:after="0" w:line="240" w:lineRule="auto"/>
        <w:rPr>
          <w:rFonts w:ascii="Garamond" w:hAnsi="Garamond"/>
          <w:spacing w:val="-4"/>
          <w:sz w:val="24"/>
          <w:szCs w:val="24"/>
          <w:lang w:val="sq-AL"/>
        </w:rPr>
      </w:pPr>
      <w:r w:rsidRPr="008A148F">
        <w:rPr>
          <w:rFonts w:ascii="Garamond" w:hAnsi="Garamond"/>
          <w:spacing w:val="-4"/>
          <w:sz w:val="24"/>
          <w:szCs w:val="24"/>
          <w:lang w:val="sq-AL"/>
        </w:rPr>
        <w:t>17. “Ditë” do të thotë ditë kalendarike dhe, në çdo rast që përfundimi i afatit përkon me një ditë pushimi apo festë zyrtare, afati shtyhet në ditën e parë të punës pasardhëse.</w:t>
      </w:r>
    </w:p>
    <w:p w:rsidR="00EB13B8" w:rsidRPr="008A148F" w:rsidRDefault="00EB13B8" w:rsidP="00EB13B8">
      <w:pPr>
        <w:pStyle w:val="Hapesira7"/>
        <w:rPr>
          <w:lang w:val="sq-AL"/>
        </w:rPr>
      </w:pPr>
    </w:p>
    <w:p w:rsidR="00EB13B8" w:rsidRPr="008A148F" w:rsidRDefault="00EB13B8" w:rsidP="00EB13B8">
      <w:pPr>
        <w:pStyle w:val="NeniNr"/>
        <w:rPr>
          <w:spacing w:val="-4"/>
          <w:lang w:val="sq-AL"/>
        </w:rPr>
      </w:pPr>
      <w:r w:rsidRPr="008A148F">
        <w:rPr>
          <w:spacing w:val="-4"/>
          <w:lang w:val="sq-AL"/>
        </w:rPr>
        <w:t>Neni 5</w:t>
      </w:r>
    </w:p>
    <w:p w:rsidR="00EB13B8" w:rsidRPr="008A148F" w:rsidRDefault="00EB13B8" w:rsidP="00EB13B8">
      <w:pPr>
        <w:pStyle w:val="NeniTitull"/>
        <w:rPr>
          <w:spacing w:val="-4"/>
          <w:lang w:val="sq-AL"/>
        </w:rPr>
      </w:pPr>
      <w:r w:rsidRPr="008A148F">
        <w:rPr>
          <w:spacing w:val="-4"/>
          <w:lang w:val="sq-AL"/>
        </w:rPr>
        <w:t xml:space="preserve">Procedura për paraqitjen e kërkesës/aplikimit </w:t>
      </w:r>
    </w:p>
    <w:p w:rsidR="00EB13B8" w:rsidRPr="008A148F" w:rsidRDefault="00EB13B8" w:rsidP="00EB13B8">
      <w:pPr>
        <w:pStyle w:val="Hapesira7"/>
        <w:rPr>
          <w:lang w:val="sq-AL"/>
        </w:rPr>
      </w:pPr>
    </w:p>
    <w:p w:rsidR="00EB13B8" w:rsidRPr="008A148F" w:rsidRDefault="00EB13B8" w:rsidP="00EB13B8">
      <w:pPr>
        <w:pStyle w:val="ColorfulList-Accent11"/>
        <w:numPr>
          <w:ilvl w:val="0"/>
          <w:numId w:val="5"/>
        </w:numPr>
        <w:ind w:left="0" w:firstLine="284"/>
        <w:jc w:val="both"/>
        <w:rPr>
          <w:rFonts w:ascii="Garamond" w:hAnsi="Garamond"/>
          <w:spacing w:val="-4"/>
          <w:lang w:val="sq-AL"/>
        </w:rPr>
      </w:pPr>
      <w:r w:rsidRPr="008A148F">
        <w:rPr>
          <w:rFonts w:ascii="Garamond" w:hAnsi="Garamond"/>
          <w:spacing w:val="-4"/>
          <w:lang w:val="sq-AL"/>
        </w:rPr>
        <w:t xml:space="preserve"> Ka të drejtë të bëjë kërkesë për ndryshimin e furnizuesit çdo klient i energjisë elektrike me kusht që të ketë ekzekutuar të gjitha detyrimet në raport me furnizuesin e parë. </w:t>
      </w:r>
    </w:p>
    <w:p w:rsidR="00EB13B8" w:rsidRPr="008A148F" w:rsidRDefault="00EB13B8" w:rsidP="00EB13B8">
      <w:pPr>
        <w:numPr>
          <w:ilvl w:val="0"/>
          <w:numId w:val="5"/>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Procedura për ndryshimin e furnizuesit fillon me paraqitjen e një kërkese dhe dokumentacioni në kuadër të kësaj rregulloreje, do të paraqitet në mënyrë direkte, pranë selive të furnizuesit aktual ose nëpërmjet postës.</w:t>
      </w:r>
    </w:p>
    <w:p w:rsidR="00EB13B8" w:rsidRPr="008A148F" w:rsidRDefault="00EB13B8" w:rsidP="00EB13B8">
      <w:pPr>
        <w:numPr>
          <w:ilvl w:val="0"/>
          <w:numId w:val="5"/>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Së bashku me kërkesën për ndryshim, personi i përcaktuar për pranimin e dokumentacionit do të konfirmojë/vërtetojë marrjen dhe pranimin e aplikimit e tyre.</w:t>
      </w:r>
    </w:p>
    <w:p w:rsidR="00EB13B8" w:rsidRPr="008A148F" w:rsidRDefault="00EB13B8" w:rsidP="00EB13B8">
      <w:pPr>
        <w:numPr>
          <w:ilvl w:val="0"/>
          <w:numId w:val="5"/>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Paraqitja e dokumentacionit do të konsi</w:t>
      </w:r>
      <w:r>
        <w:rPr>
          <w:rFonts w:ascii="Garamond" w:hAnsi="Garamond"/>
          <w:spacing w:val="-4"/>
          <w:sz w:val="24"/>
          <w:szCs w:val="24"/>
          <w:lang w:val="sq-AL"/>
        </w:rPr>
        <w:t>-</w:t>
      </w:r>
      <w:r w:rsidRPr="008A148F">
        <w:rPr>
          <w:rFonts w:ascii="Garamond" w:hAnsi="Garamond"/>
          <w:spacing w:val="-4"/>
          <w:sz w:val="24"/>
          <w:szCs w:val="24"/>
          <w:lang w:val="sq-AL"/>
        </w:rPr>
        <w:t>derohet e vlefshme në datën e pranimit të tij. Pranimi i kërkesës për ndryshimin e furnizuesit do të konsiderohet i vlefshëm në datën kur ai pranohet, sipas afateve të përcaktuara në këtë rregullore.</w:t>
      </w:r>
    </w:p>
    <w:p w:rsidR="00EB13B8" w:rsidRPr="008A148F" w:rsidRDefault="00EB13B8" w:rsidP="00EB13B8">
      <w:pPr>
        <w:numPr>
          <w:ilvl w:val="0"/>
          <w:numId w:val="5"/>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Me pranimin e kërkesës për ndryshimin e furnizuesit nga furnizuesi aktual, klientit i lind e drejta për të aplikuar pranë cilitdo furnizues/</w:t>
      </w:r>
      <w:r>
        <w:rPr>
          <w:rFonts w:ascii="Garamond" w:hAnsi="Garamond"/>
          <w:spacing w:val="-4"/>
          <w:sz w:val="24"/>
          <w:szCs w:val="24"/>
          <w:lang w:val="sq-AL"/>
        </w:rPr>
        <w:t xml:space="preserve"> </w:t>
      </w:r>
      <w:r w:rsidRPr="008A148F">
        <w:rPr>
          <w:rFonts w:ascii="Garamond" w:hAnsi="Garamond"/>
          <w:spacing w:val="-4"/>
          <w:sz w:val="24"/>
          <w:szCs w:val="24"/>
          <w:lang w:val="sq-AL"/>
        </w:rPr>
        <w:t>furnizuesve të zgjedhur prej tij.</w:t>
      </w:r>
    </w:p>
    <w:p w:rsidR="00EB13B8" w:rsidRPr="008A148F" w:rsidRDefault="00EB13B8" w:rsidP="00EB13B8">
      <w:pPr>
        <w:numPr>
          <w:ilvl w:val="0"/>
          <w:numId w:val="5"/>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Procedura e ndryshimit të furnizuesit nuk mund të tejkalojë afatin 15-ditor, afat i cili fillon nga data e dorëzimit të aplikimit. </w:t>
      </w:r>
    </w:p>
    <w:p w:rsidR="00EB13B8" w:rsidRDefault="00EB13B8" w:rsidP="00EB13B8">
      <w:pPr>
        <w:numPr>
          <w:ilvl w:val="0"/>
          <w:numId w:val="5"/>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Klienti, i cili ka nënshkruar një kontratë furnizimi duhet të paraqesë aplikimin, siç parashikohet në paragrafin 1 të këtij neni jo më vonë se 15 ditë përpara periudhës së vlefshme të përfundimit të kontratës në fuqi. </w:t>
      </w:r>
    </w:p>
    <w:p w:rsidR="00EB13B8" w:rsidRPr="007C62BF" w:rsidRDefault="00EB13B8" w:rsidP="00EB13B8">
      <w:pPr>
        <w:pStyle w:val="Paragrafi"/>
      </w:pPr>
      <w:r w:rsidRPr="007C62BF">
        <w:t xml:space="preserve">8. </w:t>
      </w:r>
      <w:proofErr w:type="spellStart"/>
      <w:r w:rsidRPr="007C62BF">
        <w:t>Në</w:t>
      </w:r>
      <w:proofErr w:type="spellEnd"/>
      <w:r w:rsidRPr="007C62BF">
        <w:t xml:space="preserve"> </w:t>
      </w:r>
      <w:proofErr w:type="spellStart"/>
      <w:r w:rsidRPr="007C62BF">
        <w:t>veçanti</w:t>
      </w:r>
      <w:proofErr w:type="spellEnd"/>
      <w:r w:rsidRPr="007C62BF">
        <w:t xml:space="preserve">, </w:t>
      </w:r>
      <w:proofErr w:type="spellStart"/>
      <w:r w:rsidRPr="007C62BF">
        <w:t>formati</w:t>
      </w:r>
      <w:proofErr w:type="spellEnd"/>
      <w:r w:rsidRPr="007C62BF">
        <w:t xml:space="preserve"> </w:t>
      </w:r>
      <w:proofErr w:type="spellStart"/>
      <w:r w:rsidRPr="007C62BF">
        <w:t>duhet</w:t>
      </w:r>
      <w:proofErr w:type="spellEnd"/>
      <w:r w:rsidRPr="007C62BF">
        <w:t xml:space="preserve"> </w:t>
      </w:r>
      <w:proofErr w:type="spellStart"/>
      <w:r w:rsidRPr="007C62BF">
        <w:t>të</w:t>
      </w:r>
      <w:proofErr w:type="spellEnd"/>
      <w:r w:rsidRPr="007C62BF">
        <w:t xml:space="preserve"> </w:t>
      </w:r>
      <w:proofErr w:type="spellStart"/>
      <w:r w:rsidRPr="007C62BF">
        <w:t>përfshijë</w:t>
      </w:r>
      <w:proofErr w:type="spellEnd"/>
      <w:r w:rsidRPr="007C62BF">
        <w:t>:</w:t>
      </w:r>
    </w:p>
    <w:p w:rsidR="00EB13B8" w:rsidRPr="007C62BF" w:rsidRDefault="00EB13B8" w:rsidP="00EB13B8">
      <w:pPr>
        <w:pStyle w:val="Paragrafi"/>
      </w:pPr>
      <w:r w:rsidRPr="007C62BF">
        <w:t xml:space="preserve">- </w:t>
      </w:r>
      <w:proofErr w:type="spellStart"/>
      <w:r w:rsidRPr="007C62BF">
        <w:t>të</w:t>
      </w:r>
      <w:proofErr w:type="spellEnd"/>
      <w:r w:rsidRPr="007C62BF">
        <w:t xml:space="preserve"> </w:t>
      </w:r>
      <w:proofErr w:type="spellStart"/>
      <w:r w:rsidRPr="007C62BF">
        <w:t>dhënat</w:t>
      </w:r>
      <w:proofErr w:type="spellEnd"/>
      <w:r w:rsidRPr="007C62BF">
        <w:t xml:space="preserve"> e </w:t>
      </w:r>
      <w:proofErr w:type="spellStart"/>
      <w:r w:rsidRPr="007C62BF">
        <w:t>shoqërisë</w:t>
      </w:r>
      <w:proofErr w:type="spellEnd"/>
      <w:r w:rsidRPr="007C62BF">
        <w:t xml:space="preserve"> </w:t>
      </w:r>
      <w:proofErr w:type="spellStart"/>
      <w:r w:rsidRPr="007C62BF">
        <w:t>tregtare</w:t>
      </w:r>
      <w:proofErr w:type="spellEnd"/>
      <w:r w:rsidRPr="007C62BF">
        <w:t>/</w:t>
      </w:r>
      <w:proofErr w:type="spellStart"/>
      <w:r w:rsidRPr="007C62BF">
        <w:t>personit</w:t>
      </w:r>
      <w:proofErr w:type="spellEnd"/>
      <w:r w:rsidRPr="007C62BF">
        <w:t xml:space="preserve"> </w:t>
      </w:r>
      <w:proofErr w:type="spellStart"/>
      <w:r w:rsidRPr="007C62BF">
        <w:t>fizik</w:t>
      </w:r>
      <w:proofErr w:type="spellEnd"/>
      <w:r w:rsidRPr="007C62BF">
        <w:t>/</w:t>
      </w:r>
      <w:proofErr w:type="spellStart"/>
      <w:r w:rsidRPr="007C62BF">
        <w:t>juridik</w:t>
      </w:r>
      <w:proofErr w:type="spellEnd"/>
      <w:r w:rsidRPr="007C62BF">
        <w:t xml:space="preserve">, </w:t>
      </w:r>
      <w:proofErr w:type="spellStart"/>
      <w:r w:rsidRPr="007C62BF">
        <w:t>selinë</w:t>
      </w:r>
      <w:proofErr w:type="spellEnd"/>
      <w:r w:rsidRPr="007C62BF">
        <w:t>/</w:t>
      </w:r>
      <w:proofErr w:type="spellStart"/>
      <w:r w:rsidRPr="007C62BF">
        <w:t>adresën</w:t>
      </w:r>
      <w:proofErr w:type="spellEnd"/>
      <w:r w:rsidRPr="007C62BF">
        <w:t xml:space="preserve">, NUIS/ID) </w:t>
      </w:r>
      <w:proofErr w:type="spellStart"/>
      <w:r w:rsidRPr="007C62BF">
        <w:t>emrin</w:t>
      </w:r>
      <w:proofErr w:type="spellEnd"/>
      <w:r w:rsidRPr="007C62BF">
        <w:t xml:space="preserve"> </w:t>
      </w:r>
      <w:proofErr w:type="spellStart"/>
      <w:r w:rsidRPr="007C62BF">
        <w:t>dhe</w:t>
      </w:r>
      <w:proofErr w:type="spellEnd"/>
      <w:r w:rsidRPr="007C62BF">
        <w:t xml:space="preserve"> </w:t>
      </w:r>
      <w:proofErr w:type="spellStart"/>
      <w:r w:rsidRPr="007C62BF">
        <w:t>mbiemrin</w:t>
      </w:r>
      <w:proofErr w:type="spellEnd"/>
      <w:r w:rsidRPr="007C62BF">
        <w:t xml:space="preserve">, </w:t>
      </w:r>
      <w:proofErr w:type="spellStart"/>
      <w:r w:rsidRPr="007C62BF">
        <w:t>si</w:t>
      </w:r>
      <w:proofErr w:type="spellEnd"/>
      <w:r w:rsidRPr="007C62BF">
        <w:t xml:space="preserve"> </w:t>
      </w:r>
      <w:proofErr w:type="spellStart"/>
      <w:r w:rsidRPr="007C62BF">
        <w:t>dhe</w:t>
      </w:r>
      <w:proofErr w:type="spellEnd"/>
      <w:r w:rsidRPr="007C62BF">
        <w:t xml:space="preserve"> </w:t>
      </w:r>
      <w:proofErr w:type="spellStart"/>
      <w:r w:rsidRPr="007C62BF">
        <w:t>të</w:t>
      </w:r>
      <w:proofErr w:type="spellEnd"/>
      <w:r w:rsidRPr="007C62BF">
        <w:t xml:space="preserve"> </w:t>
      </w:r>
      <w:proofErr w:type="spellStart"/>
      <w:r w:rsidRPr="007C62BF">
        <w:t>dhënat</w:t>
      </w:r>
      <w:proofErr w:type="spellEnd"/>
      <w:r w:rsidRPr="007C62BF">
        <w:t xml:space="preserve"> e </w:t>
      </w:r>
      <w:proofErr w:type="spellStart"/>
      <w:r w:rsidRPr="007C62BF">
        <w:t>klientit</w:t>
      </w:r>
      <w:proofErr w:type="spellEnd"/>
      <w:r w:rsidRPr="007C62BF">
        <w:t xml:space="preserve"> </w:t>
      </w:r>
      <w:proofErr w:type="spellStart"/>
      <w:r w:rsidRPr="007C62BF">
        <w:t>kërkues</w:t>
      </w:r>
      <w:proofErr w:type="spellEnd"/>
      <w:r w:rsidRPr="007C62BF">
        <w:t>;</w:t>
      </w:r>
    </w:p>
    <w:p w:rsidR="00EB13B8" w:rsidRPr="008A148F" w:rsidRDefault="00EB13B8" w:rsidP="00EB13B8">
      <w:pPr>
        <w:pStyle w:val="ColorfulList-Accent11"/>
        <w:ind w:left="284"/>
        <w:jc w:val="both"/>
        <w:rPr>
          <w:rFonts w:ascii="Garamond" w:hAnsi="Garamond"/>
          <w:spacing w:val="-4"/>
          <w:lang w:val="sq-AL"/>
        </w:rPr>
      </w:pPr>
      <w:r w:rsidRPr="008A148F">
        <w:rPr>
          <w:rFonts w:ascii="Garamond" w:hAnsi="Garamond"/>
          <w:spacing w:val="-4"/>
          <w:lang w:val="sq-AL"/>
        </w:rPr>
        <w:t>- numrin identifikues të pikës së shpërndarjes/</w:t>
      </w:r>
      <w:r>
        <w:rPr>
          <w:rFonts w:ascii="Garamond" w:hAnsi="Garamond"/>
          <w:spacing w:val="-4"/>
          <w:lang w:val="sq-AL"/>
        </w:rPr>
        <w:t xml:space="preserve"> </w:t>
      </w:r>
      <w:r w:rsidRPr="008A148F">
        <w:rPr>
          <w:rFonts w:ascii="Garamond" w:hAnsi="Garamond"/>
          <w:spacing w:val="-4"/>
          <w:lang w:val="sq-AL"/>
        </w:rPr>
        <w:t>furnizuesit</w:t>
      </w:r>
      <w:r>
        <w:rPr>
          <w:rFonts w:ascii="Garamond" w:hAnsi="Garamond"/>
          <w:spacing w:val="-4"/>
          <w:lang w:val="sq-AL"/>
        </w:rPr>
        <w:t>,</w:t>
      </w:r>
      <w:r w:rsidRPr="008A148F">
        <w:rPr>
          <w:rFonts w:ascii="Garamond" w:hAnsi="Garamond"/>
          <w:spacing w:val="-4"/>
          <w:lang w:val="sq-AL"/>
        </w:rPr>
        <w:t xml:space="preserve"> siç paraqitet në bazën e të dhënave të operatorëve të sistemit; </w:t>
      </w:r>
    </w:p>
    <w:p w:rsidR="00EB13B8" w:rsidRPr="008A148F" w:rsidRDefault="00EB13B8" w:rsidP="00EB13B8">
      <w:pPr>
        <w:pStyle w:val="ColorfulList-Accent11"/>
        <w:ind w:left="0" w:firstLine="288"/>
        <w:jc w:val="both"/>
        <w:rPr>
          <w:rFonts w:ascii="Garamond" w:hAnsi="Garamond"/>
          <w:spacing w:val="-4"/>
          <w:lang w:val="sq-AL"/>
        </w:rPr>
      </w:pPr>
      <w:r w:rsidRPr="008A148F">
        <w:rPr>
          <w:rFonts w:ascii="Garamond" w:hAnsi="Garamond"/>
          <w:spacing w:val="-4"/>
          <w:lang w:val="sq-AL"/>
        </w:rPr>
        <w:t xml:space="preserve">- fuqinë e aprovuar; </w:t>
      </w:r>
    </w:p>
    <w:p w:rsidR="00EB13B8" w:rsidRPr="008A148F" w:rsidRDefault="00EB13B8" w:rsidP="00EB13B8">
      <w:pPr>
        <w:pStyle w:val="ColorfulList-Accent11"/>
        <w:ind w:left="0" w:firstLine="288"/>
        <w:jc w:val="both"/>
        <w:rPr>
          <w:rFonts w:ascii="Garamond" w:hAnsi="Garamond"/>
          <w:spacing w:val="-4"/>
          <w:lang w:val="sq-AL"/>
        </w:rPr>
      </w:pPr>
      <w:r w:rsidRPr="008A148F">
        <w:rPr>
          <w:rFonts w:ascii="Garamond" w:hAnsi="Garamond"/>
          <w:spacing w:val="-4"/>
          <w:lang w:val="sq-AL"/>
        </w:rPr>
        <w:t>- datën e dorëzimit të aplikimit;</w:t>
      </w:r>
    </w:p>
    <w:p w:rsidR="00EB13B8" w:rsidRPr="008A148F" w:rsidRDefault="00EB13B8" w:rsidP="00EB13B8">
      <w:pPr>
        <w:pStyle w:val="ColorfulList-Accent11"/>
        <w:ind w:left="0" w:firstLine="288"/>
        <w:jc w:val="both"/>
        <w:rPr>
          <w:rFonts w:ascii="Garamond" w:hAnsi="Garamond"/>
          <w:spacing w:val="-4"/>
          <w:lang w:val="sq-AL"/>
        </w:rPr>
      </w:pPr>
      <w:r w:rsidRPr="008A148F">
        <w:rPr>
          <w:rFonts w:ascii="Garamond" w:hAnsi="Garamond"/>
          <w:spacing w:val="-4"/>
          <w:lang w:val="sq-AL"/>
        </w:rPr>
        <w:t>- emri i shoqërisë tregtare të furnizuesit aktual dhe numrin identifikues të kontratës së nënshkruar mes klientit dhe furnizuesit aktual.</w:t>
      </w:r>
    </w:p>
    <w:p w:rsidR="00EB13B8" w:rsidRPr="008A148F" w:rsidRDefault="00EB13B8" w:rsidP="00EB13B8">
      <w:pPr>
        <w:pStyle w:val="Hapesira7"/>
        <w:rPr>
          <w:lang w:val="sq-AL"/>
        </w:rPr>
      </w:pPr>
    </w:p>
    <w:p w:rsidR="00EB13B8" w:rsidRPr="008A148F" w:rsidRDefault="00EB13B8" w:rsidP="00EB13B8">
      <w:pPr>
        <w:pStyle w:val="NeniNr"/>
        <w:rPr>
          <w:spacing w:val="-4"/>
          <w:lang w:val="sq-AL"/>
        </w:rPr>
      </w:pPr>
      <w:r w:rsidRPr="008A148F">
        <w:rPr>
          <w:spacing w:val="-4"/>
          <w:lang w:val="sq-AL"/>
        </w:rPr>
        <w:t>Neni 6</w:t>
      </w:r>
    </w:p>
    <w:p w:rsidR="00EB13B8" w:rsidRPr="008A148F" w:rsidRDefault="00EB13B8" w:rsidP="00EB13B8">
      <w:pPr>
        <w:pStyle w:val="NeniTitull"/>
        <w:rPr>
          <w:spacing w:val="-4"/>
          <w:lang w:val="sq-AL"/>
        </w:rPr>
      </w:pPr>
      <w:r w:rsidRPr="008A148F">
        <w:rPr>
          <w:spacing w:val="-4"/>
          <w:lang w:val="sq-AL"/>
        </w:rPr>
        <w:t>Paraqitja e dokumentacionit</w:t>
      </w:r>
    </w:p>
    <w:p w:rsidR="00EB13B8" w:rsidRPr="008A148F" w:rsidRDefault="00EB13B8" w:rsidP="00EB13B8">
      <w:pPr>
        <w:pStyle w:val="Hapesira7"/>
        <w:rPr>
          <w:lang w:val="sq-AL"/>
        </w:rPr>
      </w:pP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Mbas paraqitjes se aplikimit siç parashikohet nenin 5, klienti duhet të paraqesë në dy kopje (njëra e noterizuar dhe tjetra fotokopje) dokumentacionin e mëposhtëm: </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Një vërtetim, të lëshuar nga furnizuesi aktual me qëllimin për të iniciuar procedurat e ndryshimit të furnizuesit, e cila nuk duhet të lëshohet më vonë se 7 (shtatë) ditë përpara datës së dorëzimit të aplikimit. Nëpërmjet këtij dokumenti, furnizuesi aktual konfirmon se përgjegjësitë financiare të përbashkëta të kontratës së furnizimit, efektive në ditën që është lëshuar dokumenti, janë zgjidhur mes furnizuesit dhe klientit</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Pëlqimin e klientit për të përdorur të dhënat personale dhe të dhëna të tjera të përfituara përgjatë procedurës së ndryshimit të furnizuesit, e vlefshme vetëm në funksion të ndryshimit të furnizuesit. </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lastRenderedPageBreak/>
        <w:t xml:space="preserve"> Me marrjen e konfirmimit të aplikimit për ndryshim të furnizuesit, furnizuesi i ri do të përcaktojë, gjithashtu, kohëzgjatjen e shqyrtimit të aplikimit për lidhjen e kontratës së re.</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Furnizuesi ka detyrimin ta bëjë publik formatin e aplikimit dhe t’i sigurojë klientit në çdo rast një të tillë pa pagesë. </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Nëse furnizuesi i ri e cilëson aplikimin të pakuptueshëm ose jo të plotë brenda periudhës kohore 3-ditore nga pranimi i tij, ai do të ftojë klientin për të korrigjuar mangësitë në të, si dhe të vërë në dijeni klientin mbi pasojat që vijnë si rezultat i mospërmbushjes së kushteve të kërkesës.</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Nëse furnizuesi i ri evidenton se aplikimi është i pavlefshëm do të njoftojë klientin dhe operatorin e sistemit mbi mospërmbushjen e kushteve për ndryshimin e furnizuesit.</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Brenda tri ditëve nga dita e marrjes së deklaratës/kërkesës, furnizuesi aktual ka të drejtën për të paraqitur një ankesë tek operatori i sistemit, nëse konstaton se klienti nuk e plotëson kushtin për ndryshimin e furnizuesit. </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Nëse furnizuesi aktual nuk paraqet një ankim tek operatori sistemit, ky i fundit do të informojë klientin dhe furnizuesin e ri mbi mospërmbushjen e kushteve për ndryshimit e furnizuesit.</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Nëse furnizuesi aktual nuk paraqet një ankim, si m</w:t>
      </w:r>
      <w:r>
        <w:rPr>
          <w:rFonts w:ascii="Garamond" w:hAnsi="Garamond"/>
          <w:spacing w:val="-4"/>
          <w:lang w:val="sq-AL"/>
        </w:rPr>
        <w:t>ë</w:t>
      </w:r>
      <w:r w:rsidRPr="008A148F">
        <w:rPr>
          <w:rFonts w:ascii="Garamond" w:hAnsi="Garamond"/>
          <w:spacing w:val="-4"/>
          <w:lang w:val="sq-AL"/>
        </w:rPr>
        <w:t xml:space="preserve"> sipër parashikuar, operatori i sistemit do të mundësojë të dhënat e matjes për pikën/pikat e shkëmbimit të klientit - për të cilën procedura është iniciuar me paraqitjen e aplikimit - brenda 7 (shtatë) ditëve nga afati i fundit për paraqitjen e ankimit. </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Për sa i përket klientit, operatori i sistemit do të paraqesë të dhënat e matjes për pikën e shpërndarjes, në ditën e përfundimit të kontratës. </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Nëse gjatë procedurës së ndryshimit të furnizuesit dhe deri në ditën e ndryshimit të furnizuesit, operatori i sistemit merr disa aplikime nga furnizues të ndryshëm për të njëjtën pikë/pika shpërndarjeje, për të njëjtin klient, operatori i sistemit do të ftojë klientin brenda 3 ditëve që prej ditës që lajmërimi është paraqitur, në mënyrë që të vendosë se me cilin aplikim do të procedojë duke lajmëruar, gjithashtu, mbi pasojat që rëndojnë në rast mospërmbushjeje të afatit kohor të përcaktuar. </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Nëse, përgjatë ecurisë së aplikimit të përcjellë si me sipër operatori i sistemit, pasi ka kontrolluar të dhënat dhe </w:t>
      </w:r>
      <w:r w:rsidRPr="008A148F">
        <w:rPr>
          <w:rFonts w:ascii="Garamond" w:hAnsi="Garamond"/>
          <w:i/>
          <w:spacing w:val="-4"/>
          <w:lang w:val="sq-AL"/>
        </w:rPr>
        <w:t>database</w:t>
      </w:r>
      <w:r w:rsidRPr="008A148F">
        <w:rPr>
          <w:rFonts w:ascii="Garamond" w:hAnsi="Garamond"/>
          <w:spacing w:val="-4"/>
          <w:lang w:val="sq-AL"/>
        </w:rPr>
        <w:t>-n, dhe nëse evidenton pasaktësi të të dhënave të aplikimit, ai do të informojë furnizuesin brenda 3 ditëve mbi këto pasaktësi. Me marrjen e lajmërimit/njoftimit me shkrim nga operatori i sistemit, furnizuesi i ri do të ftojë klientin për të ndryshuar të dhënat e paraqitura në aplikim brenda 3  (tri) ditëve nga dita që klienti është ftuar për të ndryshuar të dhënat e vendosura në aplikim, duke saktësuar një afat kohor për rishikimin.</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Nëse klienti rishikon aplikimin brenda afatit të përcaktuar, furnizuesi i ri do t’i përcjellë aplikimin e rishikuar operatorit të sistemit brenda 3 ditëve prej marrjes së tij, ndërsa operatori i sistemit do të veprojë sipas nenit 6. </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Nëse klienti nuk rishikon të dhënat brenda afatit të përcaktuar edhe pse ai është ftuar për të vepruar në këtë mënyrë, furnizuesi i ri do të njoftojë klientin mbi mospërmbushjen e kushteve për ndryshimin e furnizuesit brenda afatit dhe jo më shumë se tri ditë nga paraqitja e aplikimit.</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Të dhënat e matjes të pikës/pikave të shpërndarjes, të cilat janë dhënë nga operatori i sistemit siç parashikohet në këtë nen, duhet të përfshijnë datën së cilës i referohen, datë e cila konsiderohet të jetë dita e ndërrimit të furnizuesit.</w:t>
      </w:r>
    </w:p>
    <w:p w:rsidR="00EB13B8" w:rsidRPr="008A148F" w:rsidRDefault="00EB13B8" w:rsidP="00EB13B8">
      <w:pPr>
        <w:pStyle w:val="ColorfulList-Accent11"/>
        <w:numPr>
          <w:ilvl w:val="0"/>
          <w:numId w:val="4"/>
        </w:numPr>
        <w:ind w:left="0" w:firstLine="284"/>
        <w:jc w:val="both"/>
        <w:rPr>
          <w:rFonts w:ascii="Garamond" w:hAnsi="Garamond"/>
          <w:spacing w:val="-4"/>
          <w:lang w:val="sq-AL"/>
        </w:rPr>
      </w:pPr>
      <w:r w:rsidRPr="008A148F">
        <w:rPr>
          <w:rFonts w:ascii="Garamond" w:hAnsi="Garamond"/>
          <w:spacing w:val="-4"/>
          <w:lang w:val="sq-AL"/>
        </w:rPr>
        <w:t xml:space="preserve"> Në ditën që furnizuesi është ndryshuar, kontrata e furnizimit e nënshkruar mes klientit dhe furnizuesit të ri do të hyjë në fuqi dhe kontrata mes klientit dhe furnizuesit aktual do të pushojë efektet juridike. Pika e shpërndarjes ekzistuese do t’i transferohet furnizuesit të ri.</w:t>
      </w:r>
    </w:p>
    <w:p w:rsidR="00EB13B8" w:rsidRPr="008A148F" w:rsidRDefault="00EB13B8" w:rsidP="00EB13B8">
      <w:pPr>
        <w:pStyle w:val="Hapesira7"/>
        <w:rPr>
          <w:lang w:val="sq-AL"/>
        </w:rPr>
      </w:pPr>
    </w:p>
    <w:p w:rsidR="00EB13B8" w:rsidRPr="008A148F" w:rsidRDefault="00EB13B8" w:rsidP="00EB13B8">
      <w:pPr>
        <w:pStyle w:val="NeniNr"/>
        <w:rPr>
          <w:spacing w:val="-4"/>
          <w:lang w:val="sq-AL"/>
        </w:rPr>
      </w:pPr>
      <w:r w:rsidRPr="008A148F">
        <w:rPr>
          <w:spacing w:val="-4"/>
          <w:lang w:val="sq-AL"/>
        </w:rPr>
        <w:t>Neni 7</w:t>
      </w:r>
    </w:p>
    <w:p w:rsidR="00EB13B8" w:rsidRPr="008A148F" w:rsidRDefault="00EB13B8" w:rsidP="00EB13B8">
      <w:pPr>
        <w:pStyle w:val="NeniTitull"/>
        <w:rPr>
          <w:spacing w:val="-4"/>
          <w:lang w:val="sq-AL"/>
        </w:rPr>
      </w:pPr>
      <w:r w:rsidRPr="008A148F">
        <w:rPr>
          <w:spacing w:val="-4"/>
          <w:lang w:val="sq-AL"/>
        </w:rPr>
        <w:t xml:space="preserve">Procedura e ndërrimit të furnizuesit </w:t>
      </w:r>
    </w:p>
    <w:p w:rsidR="00EB13B8" w:rsidRPr="008A148F" w:rsidRDefault="00EB13B8" w:rsidP="00EB13B8">
      <w:pPr>
        <w:pStyle w:val="NeniTitull"/>
        <w:rPr>
          <w:spacing w:val="-4"/>
          <w:lang w:val="sq-AL"/>
        </w:rPr>
      </w:pPr>
      <w:r w:rsidRPr="008A148F">
        <w:rPr>
          <w:spacing w:val="-4"/>
          <w:lang w:val="sq-AL"/>
        </w:rPr>
        <w:t>në rastet e ndërrimit te furnizuesi i mundësisë së fundit</w:t>
      </w:r>
    </w:p>
    <w:p w:rsidR="00EB13B8" w:rsidRPr="008A148F" w:rsidRDefault="00EB13B8" w:rsidP="00EB13B8">
      <w:pPr>
        <w:pStyle w:val="Hapesira7"/>
        <w:rPr>
          <w:lang w:val="sq-AL"/>
        </w:rPr>
      </w:pPr>
    </w:p>
    <w:p w:rsidR="00EB13B8" w:rsidRPr="008A148F" w:rsidRDefault="00EB13B8" w:rsidP="00EB13B8">
      <w:pPr>
        <w:numPr>
          <w:ilvl w:val="0"/>
          <w:numId w:val="3"/>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Në rast ndryshimi te furnizuesi i mundësisë së fundit, për shkak të falimentimit apo paaftësisë paguese, pezullimit apo heqjes së licencës së furnizuesit aktual apo kur klienti nuk ka arritur të gjejë një furnizues në treg dita e ndryshimit të furnizuesit do të konsiderohet dita kur pasojat ligjore </w:t>
      </w:r>
      <w:r w:rsidRPr="008A148F">
        <w:rPr>
          <w:rFonts w:ascii="Garamond" w:hAnsi="Garamond"/>
          <w:spacing w:val="-4"/>
          <w:sz w:val="24"/>
          <w:szCs w:val="24"/>
          <w:lang w:val="sq-AL"/>
        </w:rPr>
        <w:lastRenderedPageBreak/>
        <w:t>që kanë çuar në fillimin e procedurave të falimentit dhe procedurat e likuidimit dhe rastet e tjera të përcaktuara në këtë nen, kanë hyrë në fuqi.</w:t>
      </w:r>
    </w:p>
    <w:p w:rsidR="00EB13B8" w:rsidRPr="008A148F" w:rsidRDefault="00EB13B8" w:rsidP="00EB13B8">
      <w:pPr>
        <w:numPr>
          <w:ilvl w:val="0"/>
          <w:numId w:val="3"/>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Furnizuesi aktual është i detyruar të informojë klientët, operatorët e sistemit dhe furnizuesin e mundësisë së fundit në ditën që pasojat ligjore të falimentit dhe likuidimit apo rrethanave të tjera kanë hyrë në fuqi, pa asnjë vonesë, në harkun kohor jo më vonë se 15 (pesëmbëdhjetë) ditë, duke filluar nga dita që furnizuesi aktual është i vetëdijshëm për paaftësinë e tij për të kryer aktivitetin e furnizimit.</w:t>
      </w:r>
    </w:p>
    <w:p w:rsidR="00EB13B8" w:rsidRPr="008A148F" w:rsidRDefault="00EB13B8" w:rsidP="00EB13B8">
      <w:pPr>
        <w:numPr>
          <w:ilvl w:val="0"/>
          <w:numId w:val="3"/>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Brenda 15 (pesëmbëdhjetë) ditëve nga dorëzimi i lajmërimit të furnizuesit aktual, operatori i sistemit duhet të paraqesë të dhënat e matjes për pikën/pikat e shpërndarjes dhe t’ia përcjellë ato klientit, furnizuesit aktual dhe furnizuesit të mundësisë së fundit.</w:t>
      </w:r>
    </w:p>
    <w:p w:rsidR="00EB13B8" w:rsidRPr="008A148F" w:rsidRDefault="00EB13B8" w:rsidP="00EB13B8">
      <w:pPr>
        <w:numPr>
          <w:ilvl w:val="0"/>
          <w:numId w:val="3"/>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Në rast se licenca e furnizuesit aktual përfundon, është pezulluar apo hequr, pa asnjë vonesë, në harkun kohor të 15 ditëve, nga data e përfundimit të vlefshmërisë së licencës ose nga data e hyrjes në fuqi të vendimit për heqjen ose pezullimin e licencës ERE do të informojë të gjithë operatorët e sistemit, dhe furnizuesin e mundësisë së fundit mbi heqjen apo pezullimin e licencës së furnizimit. </w:t>
      </w:r>
    </w:p>
    <w:p w:rsidR="00EB13B8" w:rsidRPr="008A148F" w:rsidRDefault="00EB13B8" w:rsidP="00EB13B8">
      <w:pPr>
        <w:numPr>
          <w:ilvl w:val="0"/>
          <w:numId w:val="3"/>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Operatori i sistemit duhet të paraqesë të dhënat matjes të pikës/pikave të shpërndarjes/</w:t>
      </w:r>
      <w:r>
        <w:rPr>
          <w:rFonts w:ascii="Garamond" w:hAnsi="Garamond"/>
          <w:spacing w:val="-4"/>
          <w:sz w:val="24"/>
          <w:szCs w:val="24"/>
          <w:lang w:val="sq-AL"/>
        </w:rPr>
        <w:t xml:space="preserve"> </w:t>
      </w:r>
      <w:r w:rsidRPr="008A148F">
        <w:rPr>
          <w:rFonts w:ascii="Garamond" w:hAnsi="Garamond"/>
          <w:spacing w:val="-4"/>
          <w:sz w:val="24"/>
          <w:szCs w:val="24"/>
          <w:lang w:val="sq-AL"/>
        </w:rPr>
        <w:t>furnizimit brenda 15 (pesëmbëdhjetë) ditëve nga dorëzimi i njoftimit të ERE-s dhe të informojë klientët apo furnizuesin të cilit i ka përfunduar afati i licencës, shfuqizuar apo revokuar, si dhe furnizuesin e mundësisë së fundit.</w:t>
      </w:r>
    </w:p>
    <w:p w:rsidR="00EB13B8" w:rsidRPr="008A148F" w:rsidRDefault="00EB13B8" w:rsidP="00EB13B8">
      <w:pPr>
        <w:numPr>
          <w:ilvl w:val="0"/>
          <w:numId w:val="3"/>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Klienti i cili gëzon të drejtën për t’u furnizuar sipas mundësisë së fundit, i cili nuk ka gjetur një furnizues pas përfundimit të kontratës së shitjes/</w:t>
      </w:r>
      <w:r>
        <w:rPr>
          <w:rFonts w:ascii="Garamond" w:hAnsi="Garamond"/>
          <w:spacing w:val="-4"/>
          <w:sz w:val="24"/>
          <w:szCs w:val="24"/>
          <w:lang w:val="sq-AL"/>
        </w:rPr>
        <w:t xml:space="preserve"> </w:t>
      </w:r>
      <w:r w:rsidRPr="008A148F">
        <w:rPr>
          <w:rFonts w:ascii="Garamond" w:hAnsi="Garamond"/>
          <w:spacing w:val="-4"/>
          <w:sz w:val="24"/>
          <w:szCs w:val="24"/>
          <w:lang w:val="sq-AL"/>
        </w:rPr>
        <w:t xml:space="preserve">furnizimit me furnizuesin e mëparshëm, i lind e drejta për të kërkuar për t’u furnizuar nga furnizuesi i mundësisë së fundit për një periudhë jo më shumë se 60 ditë, afat kohor i cili fillon që nga dita e përfundimit të afatit të kontratës së mëparshme të shfuqizuar. </w:t>
      </w:r>
    </w:p>
    <w:p w:rsidR="00EB13B8" w:rsidRPr="008A148F" w:rsidRDefault="00EB13B8" w:rsidP="00EB13B8">
      <w:pPr>
        <w:numPr>
          <w:ilvl w:val="0"/>
          <w:numId w:val="3"/>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Brenda tri ditëve nga dorëzimi i aplikimit për furnizuesin e mundësisë së fundit, ky i fundit duhet të lidhë kontratën e furnizimit me klientin, e cila do të hyjë në fuqi dhe do të fillojë të zbatohet ditën që ndryshohet furnizuesi dhe do të informojë operatorin e sistemit brenda tri ditëve. </w:t>
      </w:r>
    </w:p>
    <w:p w:rsidR="00EB13B8" w:rsidRPr="008A148F" w:rsidRDefault="00EB13B8" w:rsidP="00EB13B8">
      <w:pPr>
        <w:numPr>
          <w:ilvl w:val="0"/>
          <w:numId w:val="3"/>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Në çdo rast dhe jo më vonë se 3 (tri) ditë nga dorëzimi i njoftimit me shkrim të furnizuesit të mundësisë së fundit, operatori i sistemit është i detyruar të paraqesë të dhënat e matjes për pikën/pikat e shpërndarjes dhe të informojë furnizuesin e mundësisë së fundit, si dhe klientin.</w:t>
      </w:r>
    </w:p>
    <w:p w:rsidR="00EB13B8" w:rsidRPr="008A148F" w:rsidRDefault="00EB13B8" w:rsidP="00EB13B8">
      <w:pPr>
        <w:pStyle w:val="Hapesira7"/>
        <w:rPr>
          <w:lang w:val="sq-AL"/>
        </w:rPr>
      </w:pPr>
    </w:p>
    <w:p w:rsidR="00EB13B8" w:rsidRPr="008A148F" w:rsidRDefault="00EB13B8" w:rsidP="00EB13B8">
      <w:pPr>
        <w:pStyle w:val="NeniNr"/>
        <w:rPr>
          <w:spacing w:val="-4"/>
          <w:lang w:val="sq-AL"/>
        </w:rPr>
      </w:pPr>
      <w:r w:rsidRPr="008A148F">
        <w:rPr>
          <w:spacing w:val="-4"/>
          <w:lang w:val="sq-AL"/>
        </w:rPr>
        <w:t>Neni 8</w:t>
      </w:r>
    </w:p>
    <w:p w:rsidR="00EB13B8" w:rsidRPr="008A148F" w:rsidRDefault="00EB13B8" w:rsidP="00EB13B8">
      <w:pPr>
        <w:pStyle w:val="NeniTitull"/>
        <w:rPr>
          <w:spacing w:val="-4"/>
          <w:lang w:val="sq-AL"/>
        </w:rPr>
      </w:pPr>
      <w:r w:rsidRPr="008A148F">
        <w:rPr>
          <w:spacing w:val="-4"/>
          <w:lang w:val="sq-AL"/>
        </w:rPr>
        <w:t xml:space="preserve"> Të drejtat dhe detyrimet e furnizuesit</w:t>
      </w:r>
    </w:p>
    <w:p w:rsidR="00EB13B8" w:rsidRPr="008A148F" w:rsidRDefault="00EB13B8" w:rsidP="00EB13B8">
      <w:pPr>
        <w:pStyle w:val="Hapesira7"/>
        <w:rPr>
          <w:lang w:val="sq-AL"/>
        </w:rPr>
      </w:pPr>
    </w:p>
    <w:p w:rsidR="00EB13B8" w:rsidRPr="008A148F" w:rsidRDefault="00EB13B8" w:rsidP="00EB13B8">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1. Një furnizues i energjisë elektrike gëzon të drejtën për të marrë pjesë në procedurën e ndryshimit të furnizuesit në cilësinë e furnizuesit të ri, siç parashikohet në këtë rregullore, vetëm nëse furnizuesi është licencuar dhe riregjistruar në regjistrin e pjesëmarrjeve të tregut të energjisë elektrike të mbajtur nga operatori i tregut, në përputhje me ligjin nr. 43/2015, “Për sektorin e energjisë elektrike”. </w:t>
      </w:r>
    </w:p>
    <w:p w:rsidR="00EB13B8" w:rsidRPr="008A148F" w:rsidRDefault="00EB13B8" w:rsidP="00EB13B8">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2. Furnizuesi i ri i energjisë, pika e shpërndarjes e të cilit është brenda sistemit të transmetimit duhet të sigurojë kapacitete në pikën e daljes nga sistemi i transmetimit me qëllimin e shpërndarjes së energjisë elektrike ndaj klientit të ri. </w:t>
      </w:r>
    </w:p>
    <w:p w:rsidR="00EB13B8" w:rsidRPr="008A148F" w:rsidRDefault="00EB13B8" w:rsidP="00EB13B8">
      <w:pPr>
        <w:pStyle w:val="Hapesira7"/>
        <w:rPr>
          <w:lang w:val="sq-AL"/>
        </w:rPr>
      </w:pPr>
    </w:p>
    <w:p w:rsidR="00EB13B8" w:rsidRDefault="00EB13B8" w:rsidP="00EB13B8">
      <w:pPr>
        <w:pStyle w:val="ListParagraph"/>
        <w:spacing w:after="0" w:line="240" w:lineRule="auto"/>
        <w:ind w:left="0" w:firstLine="284"/>
        <w:jc w:val="center"/>
        <w:rPr>
          <w:rFonts w:ascii="Garamond" w:hAnsi="Garamond"/>
          <w:spacing w:val="-4"/>
          <w:sz w:val="24"/>
          <w:szCs w:val="24"/>
          <w:lang w:val="sq-AL"/>
        </w:rPr>
      </w:pPr>
    </w:p>
    <w:p w:rsidR="00EB13B8" w:rsidRDefault="00EB13B8" w:rsidP="00EB13B8">
      <w:pPr>
        <w:pStyle w:val="ListParagraph"/>
        <w:spacing w:after="0" w:line="240" w:lineRule="auto"/>
        <w:ind w:left="0" w:firstLine="284"/>
        <w:jc w:val="center"/>
        <w:rPr>
          <w:rFonts w:ascii="Garamond" w:hAnsi="Garamond"/>
          <w:spacing w:val="-4"/>
          <w:sz w:val="24"/>
          <w:szCs w:val="24"/>
          <w:lang w:val="sq-AL"/>
        </w:rPr>
      </w:pPr>
    </w:p>
    <w:p w:rsidR="00EB13B8" w:rsidRPr="008A148F" w:rsidRDefault="00EB13B8" w:rsidP="00EB13B8">
      <w:pPr>
        <w:pStyle w:val="ListParagraph"/>
        <w:spacing w:after="0" w:line="240" w:lineRule="auto"/>
        <w:ind w:left="0" w:firstLine="284"/>
        <w:jc w:val="center"/>
        <w:rPr>
          <w:rFonts w:ascii="Garamond" w:hAnsi="Garamond"/>
          <w:spacing w:val="-4"/>
          <w:sz w:val="24"/>
          <w:szCs w:val="24"/>
          <w:lang w:val="sq-AL"/>
        </w:rPr>
      </w:pPr>
      <w:r w:rsidRPr="008A148F">
        <w:rPr>
          <w:rFonts w:ascii="Garamond" w:hAnsi="Garamond"/>
          <w:spacing w:val="-4"/>
          <w:sz w:val="24"/>
          <w:szCs w:val="24"/>
          <w:lang w:val="sq-AL"/>
        </w:rPr>
        <w:t xml:space="preserve">PJESA II </w:t>
      </w:r>
    </w:p>
    <w:p w:rsidR="00EB13B8" w:rsidRPr="008A148F" w:rsidRDefault="00EB13B8" w:rsidP="00EB13B8">
      <w:pPr>
        <w:pStyle w:val="Paragrafi"/>
        <w:jc w:val="center"/>
        <w:rPr>
          <w:spacing w:val="-4"/>
          <w:szCs w:val="24"/>
          <w:lang w:val="sq-AL"/>
        </w:rPr>
      </w:pPr>
      <w:r w:rsidRPr="008A148F">
        <w:rPr>
          <w:spacing w:val="-4"/>
          <w:szCs w:val="24"/>
          <w:lang w:val="sq-AL"/>
        </w:rPr>
        <w:t>DISPOZITA PËRFUNDIMTARE</w:t>
      </w:r>
    </w:p>
    <w:p w:rsidR="00EB13B8" w:rsidRPr="008A148F" w:rsidRDefault="00EB13B8" w:rsidP="00EB13B8">
      <w:pPr>
        <w:pStyle w:val="Hapesira7"/>
        <w:rPr>
          <w:lang w:val="sq-AL"/>
        </w:rPr>
      </w:pPr>
    </w:p>
    <w:p w:rsidR="00EB13B8" w:rsidRPr="008A148F" w:rsidRDefault="00EB13B8" w:rsidP="00EB13B8">
      <w:pPr>
        <w:pStyle w:val="NeniNr"/>
        <w:rPr>
          <w:spacing w:val="-4"/>
          <w:lang w:val="sq-AL"/>
        </w:rPr>
      </w:pPr>
      <w:r w:rsidRPr="008A148F">
        <w:rPr>
          <w:spacing w:val="-4"/>
          <w:lang w:val="sq-AL"/>
        </w:rPr>
        <w:t>Neni 9</w:t>
      </w:r>
    </w:p>
    <w:p w:rsidR="00EB13B8" w:rsidRPr="008A148F" w:rsidRDefault="00EB13B8" w:rsidP="00EB13B8">
      <w:pPr>
        <w:pStyle w:val="NeniTitull"/>
        <w:rPr>
          <w:spacing w:val="-4"/>
          <w:lang w:val="sq-AL"/>
        </w:rPr>
      </w:pPr>
      <w:r w:rsidRPr="008A148F">
        <w:rPr>
          <w:spacing w:val="-4"/>
          <w:lang w:val="sq-AL"/>
        </w:rPr>
        <w:t>Ankimimi</w:t>
      </w:r>
    </w:p>
    <w:p w:rsidR="00EB13B8" w:rsidRPr="008A148F" w:rsidRDefault="00EB13B8" w:rsidP="00EB13B8">
      <w:pPr>
        <w:pStyle w:val="Hapesira7"/>
        <w:rPr>
          <w:lang w:val="sq-AL"/>
        </w:rPr>
      </w:pPr>
    </w:p>
    <w:p w:rsidR="00EB13B8" w:rsidRPr="008A148F" w:rsidRDefault="00EB13B8" w:rsidP="00EB13B8">
      <w:pPr>
        <w:pStyle w:val="Paragrafi"/>
        <w:rPr>
          <w:spacing w:val="-4"/>
          <w:szCs w:val="24"/>
          <w:lang w:val="sq-AL"/>
        </w:rPr>
      </w:pPr>
      <w:r w:rsidRPr="008A148F">
        <w:rPr>
          <w:spacing w:val="-4"/>
          <w:szCs w:val="24"/>
          <w:lang w:val="sq-AL"/>
        </w:rPr>
        <w:t>1. Çdo ankesë lidhur me procedurën e ndryshimit të furnizuesit, mund paraqitet në ERE brenda 30 ditëve kalendarike.</w:t>
      </w:r>
    </w:p>
    <w:p w:rsidR="00EB13B8" w:rsidRPr="008A148F" w:rsidRDefault="00EB13B8" w:rsidP="00EB13B8">
      <w:pPr>
        <w:pStyle w:val="Paragrafi"/>
        <w:rPr>
          <w:spacing w:val="-4"/>
          <w:szCs w:val="24"/>
          <w:lang w:val="sq-AL"/>
        </w:rPr>
      </w:pPr>
      <w:r w:rsidRPr="008A148F">
        <w:rPr>
          <w:spacing w:val="-4"/>
          <w:szCs w:val="24"/>
          <w:lang w:val="sq-AL"/>
        </w:rPr>
        <w:t xml:space="preserve"> 2. Ankesa nuk pezullon afatin për ndryshimin e furnizuesit dhe/ose të hyrjes në fuqi të kontratës </w:t>
      </w:r>
      <w:r w:rsidRPr="008A148F">
        <w:rPr>
          <w:spacing w:val="-4"/>
          <w:szCs w:val="24"/>
          <w:lang w:val="sq-AL"/>
        </w:rPr>
        <w:lastRenderedPageBreak/>
        <w:t xml:space="preserve">së re të furnizimit. </w:t>
      </w:r>
    </w:p>
    <w:p w:rsidR="00EB13B8" w:rsidRPr="008A148F" w:rsidRDefault="00EB13B8" w:rsidP="00EB13B8">
      <w:pPr>
        <w:pStyle w:val="Hapesira7"/>
        <w:rPr>
          <w:lang w:val="sq-AL"/>
        </w:rPr>
      </w:pPr>
    </w:p>
    <w:p w:rsidR="00EB13B8" w:rsidRPr="008A148F" w:rsidRDefault="00EB13B8" w:rsidP="00EB13B8">
      <w:pPr>
        <w:pStyle w:val="NeniNr"/>
        <w:rPr>
          <w:spacing w:val="-4"/>
          <w:lang w:val="sq-AL"/>
        </w:rPr>
      </w:pPr>
      <w:r w:rsidRPr="008A148F">
        <w:rPr>
          <w:spacing w:val="-4"/>
          <w:lang w:val="sq-AL"/>
        </w:rPr>
        <w:t>Neni 10</w:t>
      </w:r>
    </w:p>
    <w:p w:rsidR="00EB13B8" w:rsidRPr="008A148F" w:rsidRDefault="00EB13B8" w:rsidP="00EB13B8">
      <w:pPr>
        <w:pStyle w:val="NeniTitull"/>
        <w:rPr>
          <w:spacing w:val="-4"/>
          <w:lang w:val="sq-AL"/>
        </w:rPr>
      </w:pPr>
      <w:r w:rsidRPr="008A148F">
        <w:rPr>
          <w:spacing w:val="-4"/>
          <w:lang w:val="sq-AL"/>
        </w:rPr>
        <w:t>Rishikimi dhe ndryshimi i rregullave</w:t>
      </w:r>
    </w:p>
    <w:p w:rsidR="00EB13B8" w:rsidRPr="008A148F" w:rsidRDefault="00EB13B8" w:rsidP="00EB13B8">
      <w:pPr>
        <w:pStyle w:val="Hapesira7"/>
        <w:rPr>
          <w:lang w:val="sq-AL"/>
        </w:rPr>
      </w:pPr>
    </w:p>
    <w:p w:rsidR="00EB13B8" w:rsidRPr="008A148F" w:rsidRDefault="00EB13B8" w:rsidP="00EB13B8">
      <w:pPr>
        <w:pStyle w:val="Paragrafi"/>
        <w:rPr>
          <w:spacing w:val="-4"/>
          <w:szCs w:val="24"/>
          <w:lang w:val="sq-AL"/>
        </w:rPr>
      </w:pPr>
      <w:r w:rsidRPr="008A148F">
        <w:rPr>
          <w:spacing w:val="-4"/>
          <w:szCs w:val="24"/>
          <w:lang w:val="sq-AL"/>
        </w:rPr>
        <w:t xml:space="preserve">Kjo rregullore është objekt rishikimi dhe ndryshimi me vendim të Bordit të ERE-s. </w:t>
      </w:r>
    </w:p>
    <w:p w:rsidR="00EB13B8" w:rsidRPr="008A148F" w:rsidRDefault="00EB13B8" w:rsidP="00EB13B8">
      <w:pPr>
        <w:pStyle w:val="Hapesira7"/>
        <w:rPr>
          <w:lang w:val="sq-AL"/>
        </w:rPr>
      </w:pPr>
    </w:p>
    <w:p w:rsidR="00EB13B8" w:rsidRPr="008A148F" w:rsidRDefault="00EB13B8" w:rsidP="00EB13B8">
      <w:pPr>
        <w:pStyle w:val="NeniNr"/>
        <w:rPr>
          <w:spacing w:val="-4"/>
          <w:lang w:val="sq-AL"/>
        </w:rPr>
      </w:pPr>
      <w:r w:rsidRPr="008A148F">
        <w:rPr>
          <w:spacing w:val="-4"/>
          <w:lang w:val="sq-AL"/>
        </w:rPr>
        <w:t>Neni 11</w:t>
      </w:r>
    </w:p>
    <w:p w:rsidR="00EB13B8" w:rsidRPr="008A148F" w:rsidRDefault="00EB13B8" w:rsidP="00EB13B8">
      <w:pPr>
        <w:pStyle w:val="NeniTitull"/>
        <w:rPr>
          <w:spacing w:val="-4"/>
          <w:lang w:val="sq-AL"/>
        </w:rPr>
      </w:pPr>
      <w:r w:rsidRPr="008A148F">
        <w:rPr>
          <w:spacing w:val="-4"/>
          <w:lang w:val="sq-AL"/>
        </w:rPr>
        <w:t>Hyrja në fuqi</w:t>
      </w:r>
    </w:p>
    <w:p w:rsidR="00EB13B8" w:rsidRPr="008A148F" w:rsidRDefault="00EB13B8" w:rsidP="00EB13B8">
      <w:pPr>
        <w:pStyle w:val="Hapesira7"/>
        <w:rPr>
          <w:lang w:val="sq-AL"/>
        </w:rPr>
      </w:pPr>
    </w:p>
    <w:p w:rsidR="00EB13B8" w:rsidRPr="008A148F" w:rsidRDefault="00EB13B8" w:rsidP="00EB13B8">
      <w:pPr>
        <w:pStyle w:val="Paragrafi"/>
        <w:rPr>
          <w:spacing w:val="-4"/>
          <w:szCs w:val="24"/>
          <w:lang w:val="sq-AL"/>
        </w:rPr>
      </w:pPr>
      <w:r w:rsidRPr="008A148F">
        <w:rPr>
          <w:spacing w:val="-4"/>
          <w:szCs w:val="24"/>
          <w:lang w:val="sq-AL"/>
        </w:rPr>
        <w:t xml:space="preserve">Kjo rregullore hyn në fuqi mbas miratimit nga Bordi i ERE-s. </w:t>
      </w:r>
    </w:p>
    <w:p w:rsidR="00216EA0" w:rsidRDefault="00216EA0"/>
    <w:sectPr w:rsidR="00216EA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hybridMultilevel"/>
    <w:tmpl w:val="9286BC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A"/>
    <w:multiLevelType w:val="hybridMultilevel"/>
    <w:tmpl w:val="102226B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000000C"/>
    <w:multiLevelType w:val="hybridMultilevel"/>
    <w:tmpl w:val="DB88950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14"/>
    <w:multiLevelType w:val="hybridMultilevel"/>
    <w:tmpl w:val="12129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3B8"/>
    <w:rsid w:val="00216EA0"/>
    <w:rsid w:val="00EB13B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3B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B13B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B13B8"/>
    <w:rPr>
      <w:rFonts w:ascii="Garamond" w:eastAsia="MS Mincho" w:hAnsi="Garamond" w:cs="CG Times"/>
      <w:sz w:val="24"/>
      <w:lang w:val="en-US"/>
    </w:rPr>
  </w:style>
  <w:style w:type="paragraph" w:customStyle="1" w:styleId="NeniNr">
    <w:name w:val="Neni_Nr"/>
    <w:next w:val="Normal"/>
    <w:link w:val="NeniNrChar"/>
    <w:rsid w:val="00EB13B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13B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13B8"/>
    <w:rPr>
      <w:rFonts w:ascii="Garamond" w:eastAsia="MS Mincho" w:hAnsi="Garamond" w:cs="CG Times"/>
      <w:sz w:val="24"/>
      <w:lang w:val="en-GB"/>
    </w:rPr>
  </w:style>
  <w:style w:type="paragraph" w:customStyle="1" w:styleId="Hapesira7">
    <w:name w:val="Hapesira 7"/>
    <w:basedOn w:val="Paragrafi"/>
    <w:qFormat/>
    <w:rsid w:val="00EB13B8"/>
    <w:rPr>
      <w:sz w:val="14"/>
      <w:szCs w:val="24"/>
    </w:rPr>
  </w:style>
  <w:style w:type="paragraph" w:styleId="ListParagraph">
    <w:name w:val="List Paragraph"/>
    <w:aliases w:val="List Paragraph2"/>
    <w:basedOn w:val="Normal"/>
    <w:link w:val="ListParagraphChar"/>
    <w:uiPriority w:val="34"/>
    <w:qFormat/>
    <w:rsid w:val="00EB13B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13B8"/>
    <w:rPr>
      <w:rFonts w:ascii="Calibri" w:eastAsia="Times New Roman" w:hAnsi="Calibri" w:cs="Times New Roman"/>
      <w:lang w:val="en-US"/>
    </w:rPr>
  </w:style>
  <w:style w:type="paragraph" w:styleId="BodyText">
    <w:name w:val="Body Text"/>
    <w:basedOn w:val="Normal"/>
    <w:link w:val="BodyTextChar"/>
    <w:uiPriority w:val="1"/>
    <w:qFormat/>
    <w:rsid w:val="00EB13B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B13B8"/>
    <w:rPr>
      <w:rFonts w:ascii="Arial" w:eastAsia="Times New Roman" w:hAnsi="Arial" w:cs="Arial"/>
      <w:color w:val="000000"/>
      <w:sz w:val="24"/>
      <w:szCs w:val="24"/>
      <w:lang w:val="en-US"/>
    </w:rPr>
  </w:style>
  <w:style w:type="paragraph" w:customStyle="1" w:styleId="ColorfulList-Accent11">
    <w:name w:val="Colorful List - Accent 11"/>
    <w:basedOn w:val="Normal"/>
    <w:uiPriority w:val="34"/>
    <w:qFormat/>
    <w:rsid w:val="00EB13B8"/>
    <w:pPr>
      <w:spacing w:after="0" w:line="240" w:lineRule="auto"/>
      <w:ind w:left="720" w:firstLine="0"/>
      <w:contextualSpacing/>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3B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B13B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B13B8"/>
    <w:rPr>
      <w:rFonts w:ascii="Garamond" w:eastAsia="MS Mincho" w:hAnsi="Garamond" w:cs="CG Times"/>
      <w:sz w:val="24"/>
      <w:lang w:val="en-US"/>
    </w:rPr>
  </w:style>
  <w:style w:type="paragraph" w:customStyle="1" w:styleId="NeniNr">
    <w:name w:val="Neni_Nr"/>
    <w:next w:val="Normal"/>
    <w:link w:val="NeniNrChar"/>
    <w:rsid w:val="00EB13B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13B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13B8"/>
    <w:rPr>
      <w:rFonts w:ascii="Garamond" w:eastAsia="MS Mincho" w:hAnsi="Garamond" w:cs="CG Times"/>
      <w:sz w:val="24"/>
      <w:lang w:val="en-GB"/>
    </w:rPr>
  </w:style>
  <w:style w:type="paragraph" w:customStyle="1" w:styleId="Hapesira7">
    <w:name w:val="Hapesira 7"/>
    <w:basedOn w:val="Paragrafi"/>
    <w:qFormat/>
    <w:rsid w:val="00EB13B8"/>
    <w:rPr>
      <w:sz w:val="14"/>
      <w:szCs w:val="24"/>
    </w:rPr>
  </w:style>
  <w:style w:type="paragraph" w:styleId="ListParagraph">
    <w:name w:val="List Paragraph"/>
    <w:aliases w:val="List Paragraph2"/>
    <w:basedOn w:val="Normal"/>
    <w:link w:val="ListParagraphChar"/>
    <w:uiPriority w:val="34"/>
    <w:qFormat/>
    <w:rsid w:val="00EB13B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13B8"/>
    <w:rPr>
      <w:rFonts w:ascii="Calibri" w:eastAsia="Times New Roman" w:hAnsi="Calibri" w:cs="Times New Roman"/>
      <w:lang w:val="en-US"/>
    </w:rPr>
  </w:style>
  <w:style w:type="paragraph" w:styleId="BodyText">
    <w:name w:val="Body Text"/>
    <w:basedOn w:val="Normal"/>
    <w:link w:val="BodyTextChar"/>
    <w:uiPriority w:val="1"/>
    <w:qFormat/>
    <w:rsid w:val="00EB13B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B13B8"/>
    <w:rPr>
      <w:rFonts w:ascii="Arial" w:eastAsia="Times New Roman" w:hAnsi="Arial" w:cs="Arial"/>
      <w:color w:val="000000"/>
      <w:sz w:val="24"/>
      <w:szCs w:val="24"/>
      <w:lang w:val="en-US"/>
    </w:rPr>
  </w:style>
  <w:style w:type="paragraph" w:customStyle="1" w:styleId="ColorfulList-Accent11">
    <w:name w:val="Colorful List - Accent 11"/>
    <w:basedOn w:val="Normal"/>
    <w:uiPriority w:val="34"/>
    <w:qFormat/>
    <w:rsid w:val="00EB13B8"/>
    <w:pPr>
      <w:spacing w:after="0" w:line="240" w:lineRule="auto"/>
      <w:ind w:left="720" w:firstLine="0"/>
      <w:contextualSpacing/>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2448</Words>
  <Characters>13956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2016-08-15T10:21:00Z</dcterms:created>
  <dcterms:modified xsi:type="dcterms:W3CDTF">2016-08-15T10:22:00Z</dcterms:modified>
</cp:coreProperties>
</file>